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03366"/>
          <w:sz w:val="44"/>
        </w:rPr>
        <w:t>Infrastructure as Code Based DevOps Platform Using Terraform, AWS, Kubernetes and CI/CD</w:t>
      </w:r>
    </w:p>
    <w:p>
      <w:pPr>
        <w:spacing w:before="0" w:after="720"/>
        <w:jc w:val="center"/>
      </w:pPr>
      <w:r>
        <w:rPr>
          <w:rFonts w:ascii="Times New Roman" w:hAnsi="Times New Roman"/>
          <w:i/>
          <w:color w:val="444444"/>
          <w:sz w:val="28"/>
        </w:rPr>
        <w:t>Complete Infrastructure, Automation, Deployment, Security, and Monitoring Technical Report</w:t>
      </w:r>
    </w:p>
    <w:tbl>
      <w:tblPr>
        <w:tblW w:type="auto" w:w="0"/>
        <w:jc w:val="center"/>
        <w:tblLook w:firstColumn="1" w:firstRow="1" w:lastColumn="0" w:lastRow="0" w:noHBand="0" w:noVBand="1" w:val="04A0"/>
      </w:tblPr>
      <w:tblGrid>
        <w:gridCol w:w="4514"/>
        <w:gridCol w:w="4514"/>
      </w:tblGrid>
      <w:tr>
        <w:tc>
          <w:tcPr>
            <w:tcW w:type="dxa" w:w="4514"/>
            <w:shd w:fill="003366"/>
            <w:tcMar>
              <w:top w:w="100" w:type="dxa"/>
              <w:bottom w:w="100" w:type="dxa"/>
              <w:left w:w="120" w:type="dxa"/>
              <w:right w:w="120" w:type="dxa"/>
            </w:tcMar>
          </w:tcPr>
          <w:p>
            <w:pPr>
              <w:spacing w:after="0"/>
              <w:jc w:val="left"/>
            </w:pPr>
            <w:r>
              <w:rPr>
                <w:rFonts w:ascii="Times New Roman" w:hAnsi="Times New Roman"/>
                <w:b/>
                <w:color w:val="FFFFFF"/>
                <w:sz w:val="19"/>
              </w:rPr>
              <w:t>Project Metadata Field</w:t>
            </w:r>
          </w:p>
        </w:tc>
        <w:tc>
          <w:tcPr>
            <w:tcW w:type="dxa" w:w="4514"/>
            <w:shd w:fill="003366"/>
            <w:tcMar>
              <w:top w:w="100" w:type="dxa"/>
              <w:bottom w:w="100" w:type="dxa"/>
              <w:left w:w="120" w:type="dxa"/>
              <w:right w:w="120" w:type="dxa"/>
            </w:tcMar>
          </w:tcPr>
          <w:p>
            <w:pPr>
              <w:spacing w:after="0"/>
              <w:jc w:val="left"/>
            </w:pPr>
            <w:r>
              <w:rPr>
                <w:rFonts w:ascii="Times New Roman" w:hAnsi="Times New Roman"/>
                <w:b/>
                <w:color w:val="FFFFFF"/>
                <w:sz w:val="19"/>
              </w:rPr>
              <w:t>Specification Details</w:t>
            </w:r>
          </w:p>
        </w:tc>
      </w:tr>
      <w:tr>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Project Title</w:t>
            </w:r>
          </w:p>
        </w:tc>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National GDP Prediction Engine Cloud Infrastructure Platform</w:t>
            </w:r>
          </w:p>
        </w:tc>
      </w:tr>
      <w:tr>
        <w:tc>
          <w:tcPr>
            <w:tcW w:type="dxa" w:w="4514"/>
            <w:shd w:fill="F9FAFC"/>
            <w:tcMar>
              <w:top w:w="80" w:type="dxa"/>
              <w:bottom w:w="80" w:type="dxa"/>
              <w:left w:w="120" w:type="dxa"/>
              <w:right w:w="120" w:type="dxa"/>
            </w:tcMar>
          </w:tcPr>
          <w:p>
            <w:pPr>
              <w:spacing w:after="0"/>
              <w:jc w:val="left"/>
            </w:pPr>
            <w:r>
              <w:rPr>
                <w:rFonts w:ascii="Times New Roman" w:hAnsi="Times New Roman"/>
                <w:color w:val="222222"/>
                <w:sz w:val="18"/>
              </w:rPr>
              <w:t>Author</w:t>
            </w:r>
          </w:p>
        </w:tc>
        <w:tc>
          <w:tcPr>
            <w:tcW w:type="dxa" w:w="4514"/>
            <w:shd w:fill="F9FAFC"/>
            <w:tcMar>
              <w:top w:w="80" w:type="dxa"/>
              <w:bottom w:w="80" w:type="dxa"/>
              <w:left w:w="120" w:type="dxa"/>
              <w:right w:w="120" w:type="dxa"/>
            </w:tcMar>
          </w:tcPr>
          <w:p>
            <w:pPr>
              <w:spacing w:after="0"/>
              <w:jc w:val="left"/>
            </w:pPr>
            <w:r>
              <w:rPr>
                <w:rFonts w:ascii="Times New Roman" w:hAnsi="Times New Roman"/>
                <w:color w:val="222222"/>
                <w:sz w:val="18"/>
              </w:rPr>
              <w:t>[Senior DevOps &amp; Cloud Engineering Team]</w:t>
            </w:r>
          </w:p>
        </w:tc>
      </w:tr>
      <w:tr>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Organization</w:t>
            </w:r>
          </w:p>
        </w:tc>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[Enterprise Cloud &amp; Platform Engineering]</w:t>
            </w:r>
          </w:p>
        </w:tc>
      </w:tr>
      <w:tr>
        <w:tc>
          <w:tcPr>
            <w:tcW w:type="dxa" w:w="4514"/>
            <w:shd w:fill="F9FAFC"/>
            <w:tcMar>
              <w:top w:w="80" w:type="dxa"/>
              <w:bottom w:w="80" w:type="dxa"/>
              <w:left w:w="120" w:type="dxa"/>
              <w:right w:w="120" w:type="dxa"/>
            </w:tcMar>
          </w:tcPr>
          <w:p>
            <w:pPr>
              <w:spacing w:after="0"/>
              <w:jc w:val="left"/>
            </w:pPr>
            <w:r>
              <w:rPr>
                <w:rFonts w:ascii="Times New Roman" w:hAnsi="Times New Roman"/>
                <w:color w:val="222222"/>
                <w:sz w:val="18"/>
              </w:rPr>
              <w:t>Version</w:t>
            </w:r>
          </w:p>
        </w:tc>
        <w:tc>
          <w:tcPr>
            <w:tcW w:type="dxa" w:w="4514"/>
            <w:shd w:fill="F9FAFC"/>
            <w:tcMar>
              <w:top w:w="80" w:type="dxa"/>
              <w:bottom w:w="80" w:type="dxa"/>
              <w:left w:w="120" w:type="dxa"/>
              <w:right w:w="120" w:type="dxa"/>
            </w:tcMar>
          </w:tcPr>
          <w:p>
            <w:pPr>
              <w:spacing w:after="0"/>
              <w:jc w:val="left"/>
            </w:pPr>
            <w:r>
              <w:rPr>
                <w:rFonts w:ascii="Times New Roman" w:hAnsi="Times New Roman"/>
                <w:color w:val="222222"/>
                <w:sz w:val="18"/>
              </w:rPr>
              <w:t>1.0.0 Production Release</w:t>
            </w:r>
          </w:p>
        </w:tc>
      </w:tr>
      <w:tr>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Target Environment</w:t>
            </w:r>
          </w:p>
        </w:tc>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AWS (Amazon Web Services) &amp; Kubernetes (EKS v1.30)</w:t>
            </w:r>
          </w:p>
        </w:tc>
      </w:tr>
      <w:tr>
        <w:tc>
          <w:tcPr>
            <w:tcW w:type="dxa" w:w="4514"/>
            <w:shd w:fill="F9FAFC"/>
            <w:tcMar>
              <w:top w:w="80" w:type="dxa"/>
              <w:bottom w:w="80" w:type="dxa"/>
              <w:left w:w="120" w:type="dxa"/>
              <w:right w:w="120" w:type="dxa"/>
            </w:tcMar>
          </w:tcPr>
          <w:p>
            <w:pPr>
              <w:spacing w:after="0"/>
              <w:jc w:val="left"/>
            </w:pPr>
            <w:r>
              <w:rPr>
                <w:rFonts w:ascii="Times New Roman" w:hAnsi="Times New Roman"/>
                <w:color w:val="222222"/>
                <w:sz w:val="18"/>
              </w:rPr>
              <w:t>Infrastructure Manager</w:t>
            </w:r>
          </w:p>
        </w:tc>
        <w:tc>
          <w:tcPr>
            <w:tcW w:type="dxa" w:w="4514"/>
            <w:shd w:fill="F9FAFC"/>
            <w:tcMar>
              <w:top w:w="80" w:type="dxa"/>
              <w:bottom w:w="80" w:type="dxa"/>
              <w:left w:w="120" w:type="dxa"/>
              <w:right w:w="120" w:type="dxa"/>
            </w:tcMar>
          </w:tcPr>
          <w:p>
            <w:pPr>
              <w:spacing w:after="0"/>
              <w:jc w:val="left"/>
            </w:pPr>
            <w:r>
              <w:rPr>
                <w:rFonts w:ascii="Times New Roman" w:hAnsi="Times New Roman"/>
                <w:color w:val="222222"/>
                <w:sz w:val="18"/>
              </w:rPr>
              <w:t>Terraform (Single Source of Truth)</w:t>
            </w:r>
          </w:p>
        </w:tc>
      </w:tr>
      <w:tr>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CI/CD Engine</w:t>
            </w:r>
          </w:p>
        </w:tc>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GitHub Actions &amp; OIDC Federated Authentication</w:t>
            </w:r>
          </w:p>
        </w:tc>
      </w:tr>
      <w:tr>
        <w:tc>
          <w:tcPr>
            <w:tcW w:type="dxa" w:w="4514"/>
            <w:shd w:fill="F9FAFC"/>
            <w:tcMar>
              <w:top w:w="80" w:type="dxa"/>
              <w:bottom w:w="80" w:type="dxa"/>
              <w:left w:w="120" w:type="dxa"/>
              <w:right w:w="120" w:type="dxa"/>
            </w:tcMar>
          </w:tcPr>
          <w:p>
            <w:pPr>
              <w:spacing w:after="0"/>
              <w:jc w:val="left"/>
            </w:pPr>
            <w:r>
              <w:rPr>
                <w:rFonts w:ascii="Times New Roman" w:hAnsi="Times New Roman"/>
                <w:color w:val="222222"/>
                <w:sz w:val="18"/>
              </w:rPr>
              <w:t>Microservice Application</w:t>
            </w:r>
          </w:p>
        </w:tc>
        <w:tc>
          <w:tcPr>
            <w:tcW w:type="dxa" w:w="4514"/>
            <w:shd w:fill="F9FAFC"/>
            <w:tcMar>
              <w:top w:w="80" w:type="dxa"/>
              <w:bottom w:w="80" w:type="dxa"/>
              <w:left w:w="120" w:type="dxa"/>
              <w:right w:w="120" w:type="dxa"/>
            </w:tcMar>
          </w:tcPr>
          <w:p>
            <w:pPr>
              <w:spacing w:after="0"/>
              <w:jc w:val="left"/>
            </w:pPr>
            <w:r>
              <w:rPr>
                <w:rFonts w:ascii="Times New Roman" w:hAnsi="Times New Roman"/>
                <w:color w:val="222222"/>
                <w:sz w:val="18"/>
              </w:rPr>
              <w:t>Python 3.11 FastAPI (Hybrid ARIMA + LSTM/GRU/CNN)</w:t>
            </w:r>
          </w:p>
        </w:tc>
      </w:tr>
      <w:tr>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Date</w:t>
            </w:r>
          </w:p>
        </w:tc>
        <w:tc>
          <w:tcPr>
            <w:tcW w:type="dxa" w:w="4514"/>
            <w:shd w:fill="FFFFFF"/>
            <w:tcMar>
              <w:top w:w="80" w:type="dxa"/>
              <w:bottom w:w="80" w:type="dxa"/>
              <w:left w:w="120" w:type="dxa"/>
              <w:right w:w="120" w:type="dxa"/>
            </w:tcMar>
          </w:tcPr>
          <w:p>
            <w:pPr>
              <w:spacing w:after="0"/>
              <w:jc w:val="left"/>
            </w:pPr>
            <w:r>
              <w:rPr>
                <w:rFonts w:ascii="Times New Roman" w:hAnsi="Times New Roman"/>
                <w:color w:val="222222"/>
                <w:sz w:val="18"/>
              </w:rPr>
              <w:t>2026-08-25</w:t>
            </w:r>
          </w:p>
        </w:tc>
      </w:tr>
    </w:tbl>
    <w:p>
      <w:pPr>
        <w:spacing w:after="80"/>
      </w:pPr>
    </w:p>
    <w:p>
      <w:r>
        <w:br w:type="page"/>
      </w:r>
    </w:p>
    <w:p>
      <w:pPr>
        <w:keepNext/>
        <w:spacing w:before="320" w:after="120"/>
      </w:pPr>
      <w:r>
        <w:rPr>
          <w:rFonts w:ascii="Times New Roman" w:hAnsi="Times New Roman"/>
          <w:b/>
          <w:color w:val="003366"/>
          <w:sz w:val="24"/>
        </w:rPr>
        <w:t>Table of Contents</w:t>
      </w:r>
    </w:p>
    <w:p>
      <w:pPr>
        <w:pStyle w:val="ListBullet"/>
        <w:spacing w:line="276" w:lineRule="auto" w:after="60"/>
        <w:jc w:val="left"/>
      </w:pPr>
      <w:r>
        <w:rPr>
          <w:rFonts w:ascii="Times New Roman" w:hAnsi="Times New Roman"/>
          <w:sz w:val="20"/>
        </w:rPr>
        <w:t xml:space="preserve"> Executive Summary</w:t>
      </w:r>
    </w:p>
    <w:p>
      <w:pPr>
        <w:pStyle w:val="ListBullet"/>
        <w:spacing w:line="276" w:lineRule="auto" w:after="60"/>
        <w:jc w:val="left"/>
      </w:pPr>
      <w:r>
        <w:rPr>
          <w:rFonts w:ascii="Times New Roman" w:hAnsi="Times New Roman"/>
          <w:sz w:val="20"/>
        </w:rPr>
        <w:t xml:space="preserve"> Chapter 1 — Introduction to DevOps, Cloud &amp; IaC</w:t>
      </w:r>
    </w:p>
    <w:p>
      <w:pPr>
        <w:pStyle w:val="ListBullet"/>
        <w:spacing w:line="276" w:lineRule="auto" w:after="60"/>
        <w:jc w:val="left"/>
      </w:pPr>
      <w:r>
        <w:rPr>
          <w:rFonts w:ascii="Times New Roman" w:hAnsi="Times New Roman"/>
          <w:sz w:val="20"/>
        </w:rPr>
        <w:t xml:space="preserve"> Chapter 2 — Project Overview &amp; Target Architecture</w:t>
      </w:r>
    </w:p>
    <w:p>
      <w:pPr>
        <w:pStyle w:val="ListBullet"/>
        <w:spacing w:line="276" w:lineRule="auto" w:after="60"/>
        <w:jc w:val="left"/>
      </w:pPr>
      <w:r>
        <w:rPr>
          <w:rFonts w:ascii="Times New Roman" w:hAnsi="Times New Roman"/>
          <w:sz w:val="20"/>
        </w:rPr>
        <w:t xml:space="preserve"> Chapter 3 — Problem Statement &amp; Solution Analysis</w:t>
      </w:r>
    </w:p>
    <w:p>
      <w:pPr>
        <w:pStyle w:val="ListBullet"/>
        <w:spacing w:line="276" w:lineRule="auto" w:after="60"/>
        <w:jc w:val="left"/>
      </w:pPr>
      <w:r>
        <w:rPr>
          <w:rFonts w:ascii="Times New Roman" w:hAnsi="Times New Roman"/>
          <w:sz w:val="20"/>
        </w:rPr>
        <w:t xml:space="preserve"> Chapter 4 — Project Objectives &amp; Governance Principles</w:t>
      </w:r>
    </w:p>
    <w:p>
      <w:pPr>
        <w:pStyle w:val="ListBullet"/>
        <w:spacing w:line="276" w:lineRule="auto" w:after="60"/>
        <w:jc w:val="left"/>
      </w:pPr>
      <w:r>
        <w:rPr>
          <w:rFonts w:ascii="Times New Roman" w:hAnsi="Times New Roman"/>
          <w:sz w:val="20"/>
        </w:rPr>
        <w:t xml:space="preserve"> Chapter 5 — Existing System vs. Proposed Platform Comparison</w:t>
      </w:r>
    </w:p>
    <w:p>
      <w:pPr>
        <w:pStyle w:val="ListBullet"/>
        <w:spacing w:line="276" w:lineRule="auto" w:after="60"/>
        <w:jc w:val="left"/>
      </w:pPr>
      <w:r>
        <w:rPr>
          <w:rFonts w:ascii="Times New Roman" w:hAnsi="Times New Roman"/>
          <w:sz w:val="20"/>
        </w:rPr>
        <w:t xml:space="preserve"> Chapter 6 — System Requirements (Hardware, Software, Cloud)</w:t>
      </w:r>
    </w:p>
    <w:p>
      <w:pPr>
        <w:pStyle w:val="ListBullet"/>
        <w:spacing w:line="276" w:lineRule="auto" w:after="60"/>
        <w:jc w:val="left"/>
      </w:pPr>
      <w:r>
        <w:rPr>
          <w:rFonts w:ascii="Times New Roman" w:hAnsi="Times New Roman"/>
          <w:sz w:val="20"/>
        </w:rPr>
        <w:t xml:space="preserve"> Chapter 7 — Technology Stack Specifications</w:t>
      </w:r>
    </w:p>
    <w:p>
      <w:pPr>
        <w:pStyle w:val="ListBullet"/>
        <w:spacing w:line="276" w:lineRule="auto" w:after="60"/>
        <w:jc w:val="left"/>
      </w:pPr>
      <w:r>
        <w:rPr>
          <w:rFonts w:ascii="Times New Roman" w:hAnsi="Times New Roman"/>
          <w:sz w:val="20"/>
        </w:rPr>
        <w:t xml:space="preserve"> Chapter 8 — Overall System Architecture</w:t>
      </w:r>
    </w:p>
    <w:p>
      <w:pPr>
        <w:pStyle w:val="ListBullet"/>
        <w:spacing w:line="276" w:lineRule="auto" w:after="60"/>
        <w:jc w:val="left"/>
      </w:pPr>
      <w:r>
        <w:rPr>
          <w:rFonts w:ascii="Times New Roman" w:hAnsi="Times New Roman"/>
          <w:sz w:val="20"/>
        </w:rPr>
        <w:t xml:space="preserve"> Chapter 9 — AWS Cloud Infrastructure Architecture</w:t>
      </w:r>
    </w:p>
    <w:p>
      <w:pPr>
        <w:pStyle w:val="ListBullet"/>
        <w:spacing w:line="276" w:lineRule="auto" w:after="60"/>
        <w:jc w:val="left"/>
      </w:pPr>
      <w:r>
        <w:rPr>
          <w:rFonts w:ascii="Times New Roman" w:hAnsi="Times New Roman"/>
          <w:sz w:val="20"/>
        </w:rPr>
        <w:t xml:space="preserve"> Chapter 10 — VPC Network &amp; Subnet Topology</w:t>
      </w:r>
    </w:p>
    <w:p>
      <w:pPr>
        <w:pStyle w:val="ListBullet"/>
        <w:spacing w:line="276" w:lineRule="auto" w:after="60"/>
        <w:jc w:val="left"/>
      </w:pPr>
      <w:r>
        <w:rPr>
          <w:rFonts w:ascii="Times New Roman" w:hAnsi="Times New Roman"/>
          <w:sz w:val="20"/>
        </w:rPr>
        <w:t xml:space="preserve"> Chapter 11 — Terraform Infrastructure as Code Engine</w:t>
      </w:r>
    </w:p>
    <w:p>
      <w:pPr>
        <w:pStyle w:val="ListBullet"/>
        <w:spacing w:line="276" w:lineRule="auto" w:after="60"/>
        <w:jc w:val="left"/>
      </w:pPr>
      <w:r>
        <w:rPr>
          <w:rFonts w:ascii="Times New Roman" w:hAnsi="Times New Roman"/>
          <w:sz w:val="20"/>
        </w:rPr>
        <w:t xml:space="preserve"> Chapter 12 — Terraform Project Architecture &amp; File Hierarchy</w:t>
      </w:r>
    </w:p>
    <w:p>
      <w:pPr>
        <w:pStyle w:val="ListBullet"/>
        <w:spacing w:line="276" w:lineRule="auto" w:after="60"/>
        <w:jc w:val="left"/>
      </w:pPr>
      <w:r>
        <w:rPr>
          <w:rFonts w:ascii="Times New Roman" w:hAnsi="Times New Roman"/>
          <w:sz w:val="20"/>
        </w:rPr>
        <w:t xml:space="preserve"> Chapter 13 — Remote State Management &amp; DynamoDB State Locking</w:t>
      </w:r>
    </w:p>
    <w:p>
      <w:pPr>
        <w:pStyle w:val="ListBullet"/>
        <w:spacing w:line="276" w:lineRule="auto" w:after="60"/>
        <w:jc w:val="left"/>
      </w:pPr>
      <w:r>
        <w:rPr>
          <w:rFonts w:ascii="Times New Roman" w:hAnsi="Times New Roman"/>
          <w:sz w:val="20"/>
        </w:rPr>
        <w:t xml:space="preserve"> Chapter 14 — Docker Containerization &amp; Multi-Stage Builds</w:t>
      </w:r>
    </w:p>
    <w:p>
      <w:pPr>
        <w:pStyle w:val="ListBullet"/>
        <w:spacing w:line="276" w:lineRule="auto" w:after="60"/>
        <w:jc w:val="left"/>
      </w:pPr>
      <w:r>
        <w:rPr>
          <w:rFonts w:ascii="Times New Roman" w:hAnsi="Times New Roman"/>
          <w:sz w:val="20"/>
        </w:rPr>
        <w:t xml:space="preserve"> Chapter 15 — Amazon Elastic Container Registry (ECR)</w:t>
      </w:r>
    </w:p>
    <w:p>
      <w:pPr>
        <w:pStyle w:val="ListBullet"/>
        <w:spacing w:line="276" w:lineRule="auto" w:after="60"/>
        <w:jc w:val="left"/>
      </w:pPr>
      <w:r>
        <w:rPr>
          <w:rFonts w:ascii="Times New Roman" w:hAnsi="Times New Roman"/>
          <w:sz w:val="20"/>
        </w:rPr>
        <w:t xml:space="preserve"> Chapter 16 — Kubernetes Workload Architecture</w:t>
      </w:r>
    </w:p>
    <w:p>
      <w:pPr>
        <w:pStyle w:val="ListBullet"/>
        <w:spacing w:line="276" w:lineRule="auto" w:after="60"/>
        <w:jc w:val="left"/>
      </w:pPr>
      <w:r>
        <w:rPr>
          <w:rFonts w:ascii="Times New Roman" w:hAnsi="Times New Roman"/>
          <w:sz w:val="20"/>
        </w:rPr>
        <w:t xml:space="preserve"> Chapter 17 — Amazon Elastic Kubernetes Service (EKS v1.30)</w:t>
      </w:r>
    </w:p>
    <w:p>
      <w:pPr>
        <w:pStyle w:val="ListBullet"/>
        <w:spacing w:line="276" w:lineRule="auto" w:after="60"/>
        <w:jc w:val="left"/>
      </w:pPr>
      <w:r>
        <w:rPr>
          <w:rFonts w:ascii="Times New Roman" w:hAnsi="Times New Roman"/>
          <w:sz w:val="20"/>
        </w:rPr>
        <w:t xml:space="preserve"> Chapter 18 — Application Deployment Architecture</w:t>
      </w:r>
    </w:p>
    <w:p>
      <w:pPr>
        <w:pStyle w:val="ListBullet"/>
        <w:spacing w:line="276" w:lineRule="auto" w:after="60"/>
        <w:jc w:val="left"/>
      </w:pPr>
      <w:r>
        <w:rPr>
          <w:rFonts w:ascii="Times New Roman" w:hAnsi="Times New Roman"/>
          <w:sz w:val="20"/>
        </w:rPr>
        <w:t xml:space="preserve"> Chapter 19 — Continuous Integration (CI) Architecture</w:t>
      </w:r>
    </w:p>
    <w:p>
      <w:pPr>
        <w:pStyle w:val="ListBullet"/>
        <w:spacing w:line="276" w:lineRule="auto" w:after="60"/>
        <w:jc w:val="left"/>
      </w:pPr>
      <w:r>
        <w:rPr>
          <w:rFonts w:ascii="Times New Roman" w:hAnsi="Times New Roman"/>
          <w:sz w:val="20"/>
        </w:rPr>
        <w:t xml:space="preserve"> Chapter 20 — Continuous Deployment (CD) &amp; Environment Promotion</w:t>
      </w:r>
    </w:p>
    <w:p>
      <w:pPr>
        <w:pStyle w:val="ListBullet"/>
        <w:spacing w:line="276" w:lineRule="auto" w:after="60"/>
        <w:jc w:val="left"/>
      </w:pPr>
      <w:r>
        <w:rPr>
          <w:rFonts w:ascii="Times New Roman" w:hAnsi="Times New Roman"/>
          <w:sz w:val="20"/>
        </w:rPr>
        <w:t xml:space="preserve"> Chapter 21 — GitHub Actions Workflow Engineering</w:t>
      </w:r>
    </w:p>
    <w:p>
      <w:pPr>
        <w:pStyle w:val="ListBullet"/>
        <w:spacing w:line="276" w:lineRule="auto" w:after="60"/>
        <w:jc w:val="left"/>
      </w:pPr>
      <w:r>
        <w:rPr>
          <w:rFonts w:ascii="Times New Roman" w:hAnsi="Times New Roman"/>
          <w:sz w:val="20"/>
        </w:rPr>
        <w:t xml:space="preserve"> Chapter 22 — GitHub OIDC &amp; AWS IAM Federated Authentication</w:t>
      </w:r>
    </w:p>
    <w:p>
      <w:pPr>
        <w:pStyle w:val="ListBullet"/>
        <w:spacing w:line="276" w:lineRule="auto" w:after="60"/>
        <w:jc w:val="left"/>
      </w:pPr>
      <w:r>
        <w:rPr>
          <w:rFonts w:ascii="Times New Roman" w:hAnsi="Times New Roman"/>
          <w:sz w:val="20"/>
        </w:rPr>
        <w:t xml:space="preserve"> Chapter 23 — AWS Secrets Manager Integration</w:t>
      </w:r>
    </w:p>
    <w:p>
      <w:pPr>
        <w:pStyle w:val="ListBullet"/>
        <w:spacing w:line="276" w:lineRule="auto" w:after="60"/>
        <w:jc w:val="left"/>
      </w:pPr>
      <w:r>
        <w:rPr>
          <w:rFonts w:ascii="Times New Roman" w:hAnsi="Times New Roman"/>
          <w:sz w:val="20"/>
        </w:rPr>
        <w:t xml:space="preserve"> Chapter 24 — Database &amp; Caching Architecture (RDS PostgreSQL &amp; ElastiCache Redis)</w:t>
      </w:r>
    </w:p>
    <w:p>
      <w:pPr>
        <w:pStyle w:val="ListBullet"/>
        <w:spacing w:line="276" w:lineRule="auto" w:after="60"/>
        <w:jc w:val="left"/>
      </w:pPr>
      <w:r>
        <w:rPr>
          <w:rFonts w:ascii="Times New Roman" w:hAnsi="Times New Roman"/>
          <w:sz w:val="20"/>
        </w:rPr>
        <w:t xml:space="preserve"> Chapter 25 — DNS Routing &amp; HTTPS Certificate Management (Route 53 &amp; ACM)</w:t>
      </w:r>
    </w:p>
    <w:p>
      <w:pPr>
        <w:pStyle w:val="ListBullet"/>
        <w:spacing w:line="276" w:lineRule="auto" w:after="60"/>
        <w:jc w:val="left"/>
      </w:pPr>
      <w:r>
        <w:rPr>
          <w:rFonts w:ascii="Times New Roman" w:hAnsi="Times New Roman"/>
          <w:sz w:val="20"/>
        </w:rPr>
        <w:t xml:space="preserve"> Chapter 26 — Observability, Monitoring &amp; Log Management (CloudWatch &amp; Prometheus)</w:t>
      </w:r>
    </w:p>
    <w:p>
      <w:pPr>
        <w:pStyle w:val="ListBullet"/>
        <w:spacing w:line="276" w:lineRule="auto" w:after="60"/>
        <w:jc w:val="left"/>
      </w:pPr>
      <w:r>
        <w:rPr>
          <w:rFonts w:ascii="Times New Roman" w:hAnsi="Times New Roman"/>
          <w:sz w:val="20"/>
        </w:rPr>
        <w:t xml:space="preserve"> Chapter 27 — Autoscaling &amp; Availability Architecture (HPA &amp; PDB)</w:t>
      </w:r>
    </w:p>
    <w:p>
      <w:pPr>
        <w:pStyle w:val="ListBullet"/>
        <w:spacing w:line="276" w:lineRule="auto" w:after="60"/>
        <w:jc w:val="left"/>
      </w:pPr>
      <w:r>
        <w:rPr>
          <w:rFonts w:ascii="Times New Roman" w:hAnsi="Times New Roman"/>
          <w:sz w:val="20"/>
        </w:rPr>
        <w:t xml:space="preserve"> Chapter 28 — DevSecOps Security Architecture &amp; Scanners</w:t>
      </w:r>
    </w:p>
    <w:p>
      <w:pPr>
        <w:pStyle w:val="ListBullet"/>
        <w:spacing w:line="276" w:lineRule="auto" w:after="60"/>
        <w:jc w:val="left"/>
      </w:pPr>
      <w:r>
        <w:rPr>
          <w:rFonts w:ascii="Times New Roman" w:hAnsi="Times New Roman"/>
          <w:sz w:val="20"/>
        </w:rPr>
        <w:t xml:space="preserve"> Chapter 29 — Multi-Environment Governance (Dev, Staging, Production)</w:t>
      </w:r>
    </w:p>
    <w:p>
      <w:pPr>
        <w:pStyle w:val="ListBullet"/>
        <w:spacing w:line="276" w:lineRule="auto" w:after="60"/>
        <w:jc w:val="left"/>
      </w:pPr>
      <w:r>
        <w:rPr>
          <w:rFonts w:ascii="Times New Roman" w:hAnsi="Times New Roman"/>
          <w:sz w:val="20"/>
        </w:rPr>
        <w:t xml:space="preserve"> Chapter 30 — Disaster Recovery, RPO/RTO &amp; Backup Strategies</w:t>
      </w:r>
    </w:p>
    <w:p>
      <w:pPr>
        <w:pStyle w:val="ListBullet"/>
        <w:spacing w:line="276" w:lineRule="auto" w:after="60"/>
        <w:jc w:val="left"/>
      </w:pPr>
      <w:r>
        <w:rPr>
          <w:rFonts w:ascii="Times New Roman" w:hAnsi="Times New Roman"/>
          <w:sz w:val="20"/>
        </w:rPr>
        <w:t xml:space="preserve"> Chapter 31 — Automated Testing &amp; Verification Suite</w:t>
      </w:r>
    </w:p>
    <w:p>
      <w:pPr>
        <w:pStyle w:val="ListBullet"/>
        <w:spacing w:line="276" w:lineRule="auto" w:after="60"/>
        <w:jc w:val="left"/>
      </w:pPr>
      <w:r>
        <w:rPr>
          <w:rFonts w:ascii="Times New Roman" w:hAnsi="Times New Roman"/>
          <w:sz w:val="20"/>
        </w:rPr>
        <w:t xml:space="preserve"> Chapter 32 — Operational Troubleshooting Manual</w:t>
      </w:r>
    </w:p>
    <w:p>
      <w:pPr>
        <w:pStyle w:val="ListBullet"/>
        <w:spacing w:line="276" w:lineRule="auto" w:after="60"/>
        <w:jc w:val="left"/>
      </w:pPr>
      <w:r>
        <w:rPr>
          <w:rFonts w:ascii="Times New Roman" w:hAnsi="Times New Roman"/>
          <w:sz w:val="20"/>
        </w:rPr>
        <w:t xml:space="preserve"> Chapter 33 — AWS Cost Optimization &amp; Cleanup Procedures</w:t>
      </w:r>
    </w:p>
    <w:p>
      <w:pPr>
        <w:pStyle w:val="ListBullet"/>
        <w:spacing w:line="276" w:lineRule="auto" w:after="60"/>
        <w:jc w:val="left"/>
      </w:pPr>
      <w:r>
        <w:rPr>
          <w:rFonts w:ascii="Times New Roman" w:hAnsi="Times New Roman"/>
          <w:sz w:val="20"/>
        </w:rPr>
        <w:t xml:space="preserve"> Chapter 34 — Complete Step-by-Step Installation &amp; Setup Manual</w:t>
      </w:r>
    </w:p>
    <w:p>
      <w:pPr>
        <w:pStyle w:val="ListBullet"/>
        <w:spacing w:line="276" w:lineRule="auto" w:after="60"/>
        <w:jc w:val="left"/>
      </w:pPr>
      <w:r>
        <w:rPr>
          <w:rFonts w:ascii="Times New Roman" w:hAnsi="Times New Roman"/>
          <w:sz w:val="20"/>
        </w:rPr>
        <w:t xml:space="preserve"> Chapter 35 — Production Deployment Walkthrough</w:t>
      </w:r>
    </w:p>
    <w:p>
      <w:pPr>
        <w:pStyle w:val="ListBullet"/>
        <w:spacing w:line="276" w:lineRule="auto" w:after="60"/>
        <w:jc w:val="left"/>
      </w:pPr>
      <w:r>
        <w:rPr>
          <w:rFonts w:ascii="Times New Roman" w:hAnsi="Times New Roman"/>
          <w:sz w:val="20"/>
        </w:rPr>
        <w:t xml:space="preserve"> Chapter 36 — Application &amp; Infrastructure Rollback Procedures</w:t>
      </w:r>
    </w:p>
    <w:p>
      <w:pPr>
        <w:pStyle w:val="ListBullet"/>
        <w:spacing w:line="276" w:lineRule="auto" w:after="60"/>
        <w:jc w:val="left"/>
      </w:pPr>
      <w:r>
        <w:rPr>
          <w:rFonts w:ascii="Times New Roman" w:hAnsi="Times New Roman"/>
          <w:sz w:val="20"/>
        </w:rPr>
        <w:t xml:space="preserve"> Chapter 37 — Day-to-Day Operations Runbook</w:t>
      </w:r>
    </w:p>
    <w:p>
      <w:pPr>
        <w:pStyle w:val="ListBullet"/>
        <w:spacing w:line="276" w:lineRule="auto" w:after="60"/>
        <w:jc w:val="left"/>
      </w:pPr>
      <w:r>
        <w:rPr>
          <w:rFonts w:ascii="Times New Roman" w:hAnsi="Times New Roman"/>
          <w:sz w:val="20"/>
        </w:rPr>
        <w:t xml:space="preserve"> Chapter 38 — Expected Project Results &amp; Benefits</w:t>
      </w:r>
    </w:p>
    <w:p>
      <w:pPr>
        <w:pStyle w:val="ListBullet"/>
        <w:spacing w:line="276" w:lineRule="auto" w:after="60"/>
        <w:jc w:val="left"/>
      </w:pPr>
      <w:r>
        <w:rPr>
          <w:rFonts w:ascii="Times New Roman" w:hAnsi="Times New Roman"/>
          <w:sz w:val="20"/>
        </w:rPr>
        <w:t xml:space="preserve"> Chapter 39 — Architectural Advantages &amp; Trade-Offs</w:t>
      </w:r>
    </w:p>
    <w:p>
      <w:pPr>
        <w:pStyle w:val="ListBullet"/>
        <w:spacing w:line="276" w:lineRule="auto" w:after="60"/>
        <w:jc w:val="left"/>
      </w:pPr>
      <w:r>
        <w:rPr>
          <w:rFonts w:ascii="Times New Roman" w:hAnsi="Times New Roman"/>
          <w:sz w:val="20"/>
        </w:rPr>
        <w:t xml:space="preserve"> Chapter 40 — System Limitations &amp; Constraints</w:t>
      </w:r>
    </w:p>
    <w:p>
      <w:pPr>
        <w:pStyle w:val="ListBullet"/>
        <w:spacing w:line="276" w:lineRule="auto" w:after="60"/>
        <w:jc w:val="left"/>
      </w:pPr>
      <w:r>
        <w:rPr>
          <w:rFonts w:ascii="Times New Roman" w:hAnsi="Times New Roman"/>
          <w:sz w:val="20"/>
        </w:rPr>
        <w:t xml:space="preserve"> Chapter 41 — Future Technical Enhancements</w:t>
      </w:r>
    </w:p>
    <w:p>
      <w:pPr>
        <w:pStyle w:val="ListBullet"/>
        <w:spacing w:line="276" w:lineRule="auto" w:after="60"/>
        <w:jc w:val="left"/>
      </w:pPr>
      <w:r>
        <w:rPr>
          <w:rFonts w:ascii="Times New Roman" w:hAnsi="Times New Roman"/>
          <w:sz w:val="20"/>
        </w:rPr>
        <w:t xml:space="preserve"> Chapter 42 — Conclusion</w:t>
      </w:r>
    </w:p>
    <w:p>
      <w:pPr>
        <w:pStyle w:val="ListBullet"/>
        <w:spacing w:line="276" w:lineRule="auto" w:after="60"/>
        <w:jc w:val="left"/>
      </w:pPr>
      <w:r>
        <w:rPr>
          <w:rFonts w:ascii="Times New Roman" w:hAnsi="Times New Roman"/>
          <w:sz w:val="20"/>
        </w:rPr>
        <w:t xml:space="preserve"> Chapter 43 — Academic &amp; Industry References</w:t>
      </w:r>
    </w:p>
    <w:p>
      <w:pPr>
        <w:pStyle w:val="ListBullet"/>
        <w:spacing w:line="276" w:lineRule="auto" w:after="60"/>
        <w:jc w:val="left"/>
      </w:pPr>
      <w:r>
        <w:rPr>
          <w:rFonts w:ascii="Times New Roman" w:hAnsi="Times New Roman"/>
          <w:sz w:val="20"/>
        </w:rPr>
        <w:t xml:space="preserve"> Appendix A — Terraform Command Reference</w:t>
      </w:r>
    </w:p>
    <w:p>
      <w:pPr>
        <w:pStyle w:val="ListBullet"/>
        <w:spacing w:line="276" w:lineRule="auto" w:after="60"/>
        <w:jc w:val="left"/>
      </w:pPr>
      <w:r>
        <w:rPr>
          <w:rFonts w:ascii="Times New Roman" w:hAnsi="Times New Roman"/>
          <w:sz w:val="20"/>
        </w:rPr>
        <w:t xml:space="preserve"> Appendix B — AWS CLI Command Reference</w:t>
      </w:r>
    </w:p>
    <w:p>
      <w:pPr>
        <w:pStyle w:val="ListBullet"/>
        <w:spacing w:line="276" w:lineRule="auto" w:after="60"/>
        <w:jc w:val="left"/>
      </w:pPr>
      <w:r>
        <w:rPr>
          <w:rFonts w:ascii="Times New Roman" w:hAnsi="Times New Roman"/>
          <w:sz w:val="20"/>
        </w:rPr>
        <w:t xml:space="preserve"> Appendix C — Kubernetes Kubectl Command Reference</w:t>
      </w:r>
    </w:p>
    <w:p>
      <w:pPr>
        <w:pStyle w:val="ListBullet"/>
        <w:spacing w:line="276" w:lineRule="auto" w:after="60"/>
        <w:jc w:val="left"/>
      </w:pPr>
      <w:r>
        <w:rPr>
          <w:rFonts w:ascii="Times New Roman" w:hAnsi="Times New Roman"/>
          <w:sz w:val="20"/>
        </w:rPr>
        <w:t xml:space="preserve"> Appendix D — Docker Command Reference</w:t>
      </w:r>
    </w:p>
    <w:p>
      <w:pPr>
        <w:pStyle w:val="ListBullet"/>
        <w:spacing w:line="276" w:lineRule="auto" w:after="60"/>
        <w:jc w:val="left"/>
      </w:pPr>
      <w:r>
        <w:rPr>
          <w:rFonts w:ascii="Times New Roman" w:hAnsi="Times New Roman"/>
          <w:sz w:val="20"/>
        </w:rPr>
        <w:t xml:space="preserve"> Appendix E — Git Command Reference</w:t>
      </w:r>
    </w:p>
    <w:p>
      <w:pPr>
        <w:pStyle w:val="ListBullet"/>
        <w:spacing w:line="276" w:lineRule="auto" w:after="60"/>
        <w:jc w:val="left"/>
      </w:pPr>
      <w:r>
        <w:rPr>
          <w:rFonts w:ascii="Times New Roman" w:hAnsi="Times New Roman"/>
          <w:sz w:val="20"/>
        </w:rPr>
        <w:t xml:space="preserve"> Appendix F — Operational Troubleshooting Commands</w:t>
      </w:r>
    </w:p>
    <w:p>
      <w:pPr>
        <w:pStyle w:val="ListBullet"/>
        <w:spacing w:line="276" w:lineRule="auto" w:after="60"/>
        <w:jc w:val="left"/>
      </w:pPr>
      <w:r>
        <w:rPr>
          <w:rFonts w:ascii="Times New Roman" w:hAnsi="Times New Roman"/>
          <w:sz w:val="20"/>
        </w:rPr>
        <w:t xml:space="preserve"> Appendix G — Complete Repository Tree Directory</w:t>
      </w:r>
    </w:p>
    <w:p>
      <w:pPr>
        <w:pStyle w:val="ListBullet"/>
        <w:spacing w:line="276" w:lineRule="auto" w:after="60"/>
        <w:jc w:val="left"/>
      </w:pPr>
      <w:r>
        <w:rPr>
          <w:rFonts w:ascii="Times New Roman" w:hAnsi="Times New Roman"/>
          <w:sz w:val="20"/>
        </w:rPr>
        <w:t xml:space="preserve"> Appendix H — Environment Variables Specification</w:t>
      </w:r>
    </w:p>
    <w:p>
      <w:r>
        <w:br w:type="page"/>
      </w:r>
    </w:p>
    <w:p>
      <w:pPr>
        <w:keepNext/>
        <w:spacing w:before="320" w:after="120"/>
      </w:pPr>
      <w:r>
        <w:rPr>
          <w:rFonts w:ascii="Times New Roman" w:hAnsi="Times New Roman"/>
          <w:b/>
          <w:color w:val="003366"/>
          <w:sz w:val="24"/>
        </w:rPr>
        <w:t>Executive Summary</w:t>
      </w:r>
    </w:p>
    <w:p>
      <w:pPr>
        <w:spacing w:line="276" w:lineRule="auto" w:after="80"/>
        <w:jc w:val="both"/>
      </w:pPr>
      <w:r>
        <w:rPr>
          <w:rFonts w:ascii="Times New Roman" w:hAnsi="Times New Roman"/>
          <w:sz w:val="20"/>
        </w:rPr>
        <w:t>Modern cloud software engineering demands automated, reliable, and secure deployment mechanisms to move application source code from local development environments to production cloud infrastructure. Traditional manual deployments suffer from configuration drift, human error, long-lived credential leakage risks, and lack of visibility. This technical document details the design, implementation, and operationalization of an enterprise-grade, cloud-native DevOps platform built on Amazon Web Services (AWS), Terraform, Amazon EKS (Kubernetes v1.30), Docker, Helm, GitHub Actions, and Prometheus/Grafana.</w:t>
      </w:r>
    </w:p>
    <w:p>
      <w:pPr>
        <w:spacing w:line="276" w:lineRule="auto" w:after="80"/>
        <w:jc w:val="both"/>
      </w:pPr>
      <w:r>
        <w:rPr>
          <w:rFonts w:ascii="Times New Roman" w:hAnsi="Times New Roman"/>
          <w:sz w:val="20"/>
        </w:rPr>
        <w:t>The platform serves as the production infrastructure for the National GDP Prediction Engine—a Python 3.11 FastAPI microservice that models and forecasts national Gross Domestic Product (GDP) using a state-of-the-art hybrid approach combining statistical linear models (ARIMA) with deep learning sequence models (LSTM, GRU, and 1D CNN). The entire platform is governed by Infrastructure as Code (IaC) using HashiCorp Terraform as the single source of truth.</w:t>
      </w:r>
    </w:p>
    <w:tbl>
      <w:tblPr>
        <w:tblW w:type="auto" w:w="0"/>
        <w:jc w:val="center"/>
        <w:tblLook w:firstColumn="1" w:firstRow="1" w:lastColumn="0" w:lastRow="0" w:noHBand="0" w:noVBand="1" w:val="04A0"/>
      </w:tblPr>
      <w:tblGrid>
        <w:gridCol w:w="9029"/>
      </w:tblGrid>
      <w:tr>
        <w:tc>
          <w:tcPr>
            <w:tcW w:type="dxa" w:w="9029"/>
            <w:shd w:fill="EBF3FA"/>
            <w:tcMar>
              <w:top w:w="120" w:type="dxa"/>
              <w:bottom w:w="120" w:type="dxa"/>
              <w:left w:w="180" w:type="dxa"/>
              <w:right w:w="180" w:type="dxa"/>
            </w:tcMar>
          </w:tcPr>
          <w:p>
            <w:pPr>
              <w:spacing w:line="276" w:lineRule="auto" w:after="0"/>
            </w:pPr>
            <w:r>
              <w:rPr>
                <w:rFonts w:ascii="Times New Roman" w:hAnsi="Times New Roman"/>
                <w:b/>
                <w:color w:val="004488"/>
                <w:sz w:val="20"/>
              </w:rPr>
              <w:t xml:space="preserve">📌 KEY ARCHITECTURAL HIGHLIGHT: </w:t>
            </w:r>
            <w:r>
              <w:rPr>
                <w:rFonts w:ascii="Times New Roman" w:hAnsi="Times New Roman"/>
                <w:sz w:val="20"/>
              </w:rPr>
              <w:t>Terraform manages AWS Cloud Infrastructure, Kubernetes Workloads, and GitHub Repository Settings in unified declarative code, enabling a complete production deployment via 'make apply'.</w:t>
            </w:r>
          </w:p>
        </w:tc>
      </w:tr>
    </w:tbl>
    <w:p>
      <w:pPr>
        <w:spacing w:after="80"/>
      </w:pPr>
    </w:p>
    <w:p>
      <w:pPr>
        <w:keepNext/>
        <w:spacing w:before="320" w:after="120"/>
      </w:pPr>
      <w:r>
        <w:rPr>
          <w:rFonts w:ascii="Times New Roman" w:hAnsi="Times New Roman"/>
          <w:b/>
          <w:color w:val="003366"/>
          <w:sz w:val="24"/>
        </w:rPr>
        <w:t>Chapter 1 — Introduction to DevOps, Cloud &amp; IaC</w:t>
      </w:r>
    </w:p>
    <w:p>
      <w:pPr>
        <w:spacing w:line="276" w:lineRule="auto" w:after="80"/>
        <w:jc w:val="both"/>
      </w:pPr>
      <w:r>
        <w:rPr>
          <w:rFonts w:ascii="Times New Roman" w:hAnsi="Times New Roman"/>
          <w:sz w:val="20"/>
        </w:rPr>
        <w:t>DevOps is a set of cultural philosophies, practices, and tools that increases an organization's ability to deliver applications and services at high velocity. By merging software development (Dev) and IT operations (Ops), organizations can automate infrastructure provisioning, testing, security, and continuous delivery.</w:t>
      </w:r>
    </w:p>
    <w:p>
      <w:pPr>
        <w:pStyle w:val="ListBullet"/>
        <w:spacing w:line="276" w:lineRule="auto" w:after="60"/>
        <w:jc w:val="left"/>
      </w:pPr>
      <w:r>
        <w:rPr>
          <w:rFonts w:ascii="Times New Roman" w:hAnsi="Times New Roman"/>
          <w:b/>
          <w:sz w:val="20"/>
        </w:rPr>
        <w:t xml:space="preserve">Core Concept 1: </w:t>
      </w:r>
      <w:r>
        <w:rPr>
          <w:rFonts w:ascii="Times New Roman" w:hAnsi="Times New Roman"/>
          <w:sz w:val="20"/>
        </w:rPr>
        <w:t>Infrastructure as Code (IaC): Declaring cloud infrastructure using machine-readable configuration files (Terraform HCL).</w:t>
      </w:r>
    </w:p>
    <w:p>
      <w:pPr>
        <w:pStyle w:val="ListBullet"/>
        <w:spacing w:line="276" w:lineRule="auto" w:after="60"/>
        <w:jc w:val="left"/>
      </w:pPr>
      <w:r>
        <w:rPr>
          <w:rFonts w:ascii="Times New Roman" w:hAnsi="Times New Roman"/>
          <w:b/>
          <w:sz w:val="20"/>
        </w:rPr>
        <w:t xml:space="preserve">Core Concept 2: </w:t>
      </w:r>
      <w:r>
        <w:rPr>
          <w:rFonts w:ascii="Times New Roman" w:hAnsi="Times New Roman"/>
          <w:sz w:val="20"/>
        </w:rPr>
        <w:t>Containerization: Packaging application code and runtime dependencies into immutable containers (Docker).</w:t>
      </w:r>
    </w:p>
    <w:p>
      <w:pPr>
        <w:pStyle w:val="ListBullet"/>
        <w:spacing w:line="276" w:lineRule="auto" w:after="60"/>
        <w:jc w:val="left"/>
      </w:pPr>
      <w:r>
        <w:rPr>
          <w:rFonts w:ascii="Times New Roman" w:hAnsi="Times New Roman"/>
          <w:b/>
          <w:sz w:val="20"/>
        </w:rPr>
        <w:t xml:space="preserve">Core Concept 3: </w:t>
      </w:r>
      <w:r>
        <w:rPr>
          <w:rFonts w:ascii="Times New Roman" w:hAnsi="Times New Roman"/>
          <w:sz w:val="20"/>
        </w:rPr>
        <w:t>Container Orchestration: Managing container lifecycle, scaling, and networking at scale (Amazon EKS / Kubernetes).</w:t>
      </w:r>
    </w:p>
    <w:p>
      <w:pPr>
        <w:pStyle w:val="ListBullet"/>
        <w:spacing w:line="276" w:lineRule="auto" w:after="60"/>
        <w:jc w:val="left"/>
      </w:pPr>
      <w:r>
        <w:rPr>
          <w:rFonts w:ascii="Times New Roman" w:hAnsi="Times New Roman"/>
          <w:b/>
          <w:sz w:val="20"/>
        </w:rPr>
        <w:t xml:space="preserve">Core Concept 4: </w:t>
      </w:r>
      <w:r>
        <w:rPr>
          <w:rFonts w:ascii="Times New Roman" w:hAnsi="Times New Roman"/>
          <w:sz w:val="20"/>
        </w:rPr>
        <w:t>Continuous Integration / Continuous Delivery (CI/CD): Automating code validation, security scanning, container image publishing, and cluster deployment (GitHub Actions).</w:t>
      </w:r>
    </w:p>
    <w:p>
      <w:pPr>
        <w:keepNext/>
        <w:spacing w:before="320" w:after="120"/>
      </w:pPr>
      <w:r>
        <w:rPr>
          <w:rFonts w:ascii="Times New Roman" w:hAnsi="Times New Roman"/>
          <w:b/>
          <w:color w:val="003366"/>
          <w:sz w:val="24"/>
        </w:rPr>
        <w:t>Chapter 2 — Project Overview &amp; Target Architecture</w:t>
      </w:r>
    </w:p>
    <w:p>
      <w:pPr>
        <w:spacing w:line="276" w:lineRule="auto" w:after="80"/>
        <w:jc w:val="both"/>
      </w:pPr>
      <w:r>
        <w:rPr>
          <w:rFonts w:ascii="Times New Roman" w:hAnsi="Times New Roman"/>
          <w:sz w:val="20"/>
        </w:rPr>
        <w:t>The National GDP Prediction Platform is designed to take a statistical and machine learning forecasting model from raw research scripts (`capstone project-3.ipynb` and historical dataset `GDP.csv`) to a production-hardened microservice running on AWS EKS.</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Developer -&gt; Git Push -&gt; GitHub -&gt; GitHub Actions CI/CD -&gt; Security Scan -&gt; Docker Build -&gt; ECR -&gt; EKS Deployment -&gt; ALB -&gt; Users</w:t>
            </w:r>
          </w:p>
        </w:tc>
      </w:tr>
    </w:tbl>
    <w:p>
      <w:pPr>
        <w:spacing w:after="80"/>
      </w:pPr>
    </w:p>
    <w:p>
      <w:pPr>
        <w:keepNext/>
        <w:spacing w:before="320" w:after="120"/>
      </w:pPr>
      <w:r>
        <w:rPr>
          <w:rFonts w:ascii="Times New Roman" w:hAnsi="Times New Roman"/>
          <w:b/>
          <w:color w:val="003366"/>
          <w:sz w:val="24"/>
        </w:rPr>
        <w:t>Chapter 3 — Problem Statement &amp; Solution Analysis</w:t>
      </w:r>
    </w:p>
    <w:p>
      <w:pPr>
        <w:spacing w:line="276" w:lineRule="auto" w:after="80"/>
        <w:jc w:val="both"/>
      </w:pPr>
      <w:r>
        <w:rPr>
          <w:rFonts w:ascii="Times New Roman" w:hAnsi="Times New Roman"/>
          <w:sz w:val="20"/>
        </w:rPr>
        <w:t>Traditional infrastructure management relying on manual cloud console clicks creates significant operational vulnerabilities: untracked configuration drift, hardcoded IAM keys in script files, unvalidated deployment pushes, and single points of failure. The proposed platform resolves these challenges by establishing Terraform as the single source of truth across cloud infrastructure, Kubernetes workloads, and GitHub repository controls.</w:t>
      </w:r>
    </w:p>
    <w:p>
      <w:pPr>
        <w:keepNext/>
        <w:spacing w:before="320" w:after="120"/>
      </w:pPr>
      <w:r>
        <w:rPr>
          <w:rFonts w:ascii="Times New Roman" w:hAnsi="Times New Roman"/>
          <w:b/>
          <w:color w:val="003366"/>
          <w:sz w:val="24"/>
        </w:rPr>
        <w:t>Chapter 4 — Project Objectives &amp; Governance Principles</w:t>
      </w:r>
    </w:p>
    <w:p>
      <w:pPr>
        <w:pStyle w:val="ListBullet"/>
        <w:spacing w:line="276" w:lineRule="auto" w:after="60"/>
        <w:jc w:val="left"/>
      </w:pPr>
      <w:r>
        <w:rPr>
          <w:rFonts w:ascii="Times New Roman" w:hAnsi="Times New Roman"/>
          <w:b/>
          <w:sz w:val="20"/>
        </w:rPr>
        <w:t xml:space="preserve">Objective 1: </w:t>
      </w:r>
      <w:r>
        <w:rPr>
          <w:rFonts w:ascii="Times New Roman" w:hAnsi="Times New Roman"/>
          <w:sz w:val="20"/>
        </w:rPr>
        <w:t>Achieve 100% Infrastructure as Code automation for all AWS, Kubernetes, and GitHub resources.</w:t>
      </w:r>
    </w:p>
    <w:p>
      <w:pPr>
        <w:pStyle w:val="ListBullet"/>
        <w:spacing w:line="276" w:lineRule="auto" w:after="60"/>
        <w:jc w:val="left"/>
      </w:pPr>
      <w:r>
        <w:rPr>
          <w:rFonts w:ascii="Times New Roman" w:hAnsi="Times New Roman"/>
          <w:b/>
          <w:sz w:val="20"/>
        </w:rPr>
        <w:t xml:space="preserve">Objective 2: </w:t>
      </w:r>
      <w:r>
        <w:rPr>
          <w:rFonts w:ascii="Times New Roman" w:hAnsi="Times New Roman"/>
          <w:sz w:val="20"/>
        </w:rPr>
        <w:t>Eliminate static AWS IAM access keys in CI/CD using GitHub OIDC federated authentication.</w:t>
      </w:r>
    </w:p>
    <w:p>
      <w:pPr>
        <w:pStyle w:val="ListBullet"/>
        <w:spacing w:line="276" w:lineRule="auto" w:after="60"/>
        <w:jc w:val="left"/>
      </w:pPr>
      <w:r>
        <w:rPr>
          <w:rFonts w:ascii="Times New Roman" w:hAnsi="Times New Roman"/>
          <w:b/>
          <w:sz w:val="20"/>
        </w:rPr>
        <w:t xml:space="preserve">Objective 3: </w:t>
      </w:r>
      <w:r>
        <w:rPr>
          <w:rFonts w:ascii="Times New Roman" w:hAnsi="Times New Roman"/>
          <w:sz w:val="20"/>
        </w:rPr>
        <w:t>Enforce zero-downtime rolling updates with Horizontal Pod Autoscaling (HPA) and Pod Disruption Budgets (PDB).</w:t>
      </w:r>
    </w:p>
    <w:p>
      <w:pPr>
        <w:pStyle w:val="ListBullet"/>
        <w:spacing w:line="276" w:lineRule="auto" w:after="60"/>
        <w:jc w:val="left"/>
      </w:pPr>
      <w:r>
        <w:rPr>
          <w:rFonts w:ascii="Times New Roman" w:hAnsi="Times New Roman"/>
          <w:b/>
          <w:sz w:val="20"/>
        </w:rPr>
        <w:t xml:space="preserve">Objective 4: </w:t>
      </w:r>
      <w:r>
        <w:rPr>
          <w:rFonts w:ascii="Times New Roman" w:hAnsi="Times New Roman"/>
          <w:sz w:val="20"/>
        </w:rPr>
        <w:t>Integrate comprehensive security scanning across code (Bandit), dependencies (Pip-Audit), secrets (Gitleaks), container images (Trivy), and IaC (TFSec).</w:t>
      </w:r>
    </w:p>
    <w:p>
      <w:pPr>
        <w:keepNext/>
        <w:spacing w:before="320" w:after="120"/>
      </w:pPr>
      <w:r>
        <w:rPr>
          <w:rFonts w:ascii="Times New Roman" w:hAnsi="Times New Roman"/>
          <w:b/>
          <w:color w:val="003366"/>
          <w:sz w:val="24"/>
        </w:rPr>
        <w:t>Chapter 5 — Existing System vs. Proposed Platform Comparison</w:t>
      </w:r>
    </w:p>
    <w:tbl>
      <w:tblPr>
        <w:tblW w:type="auto" w:w="0"/>
        <w:jc w:val="center"/>
        <w:tblLook w:firstColumn="1" w:firstRow="1" w:lastColumn="0" w:lastRow="0" w:noHBand="0" w:noVBand="1" w:val="04A0"/>
      </w:tblPr>
      <w:tblGrid>
        <w:gridCol w:w="3010"/>
        <w:gridCol w:w="3010"/>
        <w:gridCol w:w="3010"/>
      </w:tblGrid>
      <w:tr>
        <w:tc>
          <w:tcPr>
            <w:tcW w:type="dxa" w:w="3010"/>
            <w:shd w:fill="003366"/>
            <w:tcMar>
              <w:top w:w="100" w:type="dxa"/>
              <w:bottom w:w="100" w:type="dxa"/>
              <w:left w:w="120" w:type="dxa"/>
              <w:right w:w="120" w:type="dxa"/>
            </w:tcMar>
          </w:tcPr>
          <w:p>
            <w:pPr>
              <w:spacing w:after="0"/>
              <w:jc w:val="left"/>
            </w:pPr>
            <w:r>
              <w:rPr>
                <w:rFonts w:ascii="Times New Roman" w:hAnsi="Times New Roman"/>
                <w:b/>
                <w:color w:val="FFFFFF"/>
                <w:sz w:val="19"/>
              </w:rPr>
              <w:t>System Feature / Capability</w:t>
            </w:r>
          </w:p>
        </w:tc>
        <w:tc>
          <w:tcPr>
            <w:tcW w:type="dxa" w:w="3010"/>
            <w:shd w:fill="003366"/>
            <w:tcMar>
              <w:top w:w="100" w:type="dxa"/>
              <w:bottom w:w="100" w:type="dxa"/>
              <w:left w:w="120" w:type="dxa"/>
              <w:right w:w="120" w:type="dxa"/>
            </w:tcMar>
          </w:tcPr>
          <w:p>
            <w:pPr>
              <w:spacing w:after="0"/>
              <w:jc w:val="left"/>
            </w:pPr>
            <w:r>
              <w:rPr>
                <w:rFonts w:ascii="Times New Roman" w:hAnsi="Times New Roman"/>
                <w:b/>
                <w:color w:val="FFFFFF"/>
                <w:sz w:val="19"/>
              </w:rPr>
              <w:t>Traditional / Existing Approach</w:t>
            </w:r>
          </w:p>
        </w:tc>
        <w:tc>
          <w:tcPr>
            <w:tcW w:type="dxa" w:w="3010"/>
            <w:shd w:fill="003366"/>
            <w:tcMar>
              <w:top w:w="100" w:type="dxa"/>
              <w:bottom w:w="100" w:type="dxa"/>
              <w:left w:w="120" w:type="dxa"/>
              <w:right w:w="120" w:type="dxa"/>
            </w:tcMar>
          </w:tcPr>
          <w:p>
            <w:pPr>
              <w:spacing w:after="0"/>
              <w:jc w:val="left"/>
            </w:pPr>
            <w:r>
              <w:rPr>
                <w:rFonts w:ascii="Times New Roman" w:hAnsi="Times New Roman"/>
                <w:b/>
                <w:color w:val="FFFFFF"/>
                <w:sz w:val="19"/>
              </w:rPr>
              <w:t>Proposed Terraform DevOps Platform</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Infrastructure Provisioning</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Manual AWS Management Console clicks</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Automated Terraform IaC (`make apply`)</w:t>
            </w:r>
          </w:p>
        </w:tc>
      </w:tr>
      <w:tr>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Deployment Process</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Manual SSH &amp; script execution</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Automated GitHub Actions CI/CD Pipeline</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Container Registry</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Unmanaged or local storage</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AWS ECR with tag immutability &amp; scan-on-push</w:t>
            </w:r>
          </w:p>
        </w:tc>
      </w:tr>
      <w:tr>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Orchestration &amp; Scaling</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Single VM / Docker Compose</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AWS EKS Cluster with HPA (2 to 15 pods)</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Security &amp; Secret Management</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Hardcoded credentials in code/.env</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AWS Secrets Manager &amp; IRSA dynamic injection</w:t>
            </w:r>
          </w:p>
        </w:tc>
      </w:tr>
      <w:tr>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Authentication in CI/CD</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Static IAM Access Keys in GitHub</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Zero-key AWS OIDC federated token exchange</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Observability &amp; Logging</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Local text log files</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CloudWatch JSON logs &amp; Prometheus/Grafana dashboards</w:t>
            </w:r>
          </w:p>
        </w:tc>
      </w:tr>
      <w:tr>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Rollback Strategy</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Manual container rebuild</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Automated Helm rollback (`helm rollback 0`)</w:t>
            </w:r>
          </w:p>
        </w:tc>
      </w:tr>
    </w:tbl>
    <w:p>
      <w:pPr>
        <w:spacing w:after="80"/>
      </w:pPr>
    </w:p>
    <w:p>
      <w:pPr>
        <w:keepNext/>
        <w:spacing w:before="320" w:after="120"/>
      </w:pPr>
      <w:r>
        <w:rPr>
          <w:rFonts w:ascii="Times New Roman" w:hAnsi="Times New Roman"/>
          <w:b/>
          <w:color w:val="003366"/>
          <w:sz w:val="24"/>
        </w:rPr>
        <w:t>Chapter 6 — System Requirements (Hardware, Software, Cloud)</w:t>
      </w:r>
    </w:p>
    <w:p>
      <w:pPr>
        <w:spacing w:line="276" w:lineRule="auto" w:after="80"/>
        <w:jc w:val="both"/>
      </w:pPr>
      <w:r>
        <w:rPr>
          <w:rFonts w:ascii="Times New Roman" w:hAnsi="Times New Roman"/>
          <w:sz w:val="20"/>
        </w:rPr>
        <w:t>The platform requires standard development machine tools and an active AWS Subscription:</w:t>
      </w:r>
    </w:p>
    <w:p>
      <w:pPr>
        <w:pStyle w:val="ListBullet"/>
        <w:spacing w:line="276" w:lineRule="auto" w:after="60"/>
        <w:jc w:val="left"/>
      </w:pPr>
      <w:r>
        <w:rPr>
          <w:rFonts w:ascii="Times New Roman" w:hAnsi="Times New Roman"/>
          <w:b/>
          <w:sz w:val="20"/>
        </w:rPr>
        <w:t xml:space="preserve">Dev Workstation: </w:t>
      </w:r>
      <w:r>
        <w:rPr>
          <w:rFonts w:ascii="Times New Roman" w:hAnsi="Times New Roman"/>
          <w:sz w:val="20"/>
        </w:rPr>
        <w:t>Operating System: Linux, macOS, or Windows Subsystem for Linux (WSL2).</w:t>
      </w:r>
    </w:p>
    <w:p>
      <w:pPr>
        <w:pStyle w:val="ListBullet"/>
        <w:spacing w:line="276" w:lineRule="auto" w:after="60"/>
        <w:jc w:val="left"/>
      </w:pPr>
      <w:r>
        <w:rPr>
          <w:rFonts w:ascii="Times New Roman" w:hAnsi="Times New Roman"/>
          <w:b/>
          <w:sz w:val="20"/>
        </w:rPr>
        <w:t xml:space="preserve">CLI Toolchain: </w:t>
      </w:r>
      <w:r>
        <w:rPr>
          <w:rFonts w:ascii="Times New Roman" w:hAnsi="Times New Roman"/>
          <w:sz w:val="20"/>
        </w:rPr>
        <w:t>Software Dependencies: Git 2.39+, Docker 24.0+, Python 3.11+, Terraform 1.7+, AWS CLI 2.15+, Kubectl 1.30+, Helm 3.14+.</w:t>
      </w:r>
    </w:p>
    <w:p>
      <w:pPr>
        <w:pStyle w:val="ListBullet"/>
        <w:spacing w:line="276" w:lineRule="auto" w:after="60"/>
        <w:jc w:val="left"/>
      </w:pPr>
      <w:r>
        <w:rPr>
          <w:rFonts w:ascii="Times New Roman" w:hAnsi="Times New Roman"/>
          <w:b/>
          <w:sz w:val="20"/>
        </w:rPr>
        <w:t xml:space="preserve">Cloud Account: </w:t>
      </w:r>
      <w:r>
        <w:rPr>
          <w:rFonts w:ascii="Times New Roman" w:hAnsi="Times New Roman"/>
          <w:sz w:val="20"/>
        </w:rPr>
        <w:t>AWS Account: Active IAM user permissions for VPC, EKS, ECR, RDS, ElastiCache, Secrets Manager, Route 53, and ACM.</w:t>
      </w:r>
    </w:p>
    <w:p>
      <w:pPr>
        <w:keepNext/>
        <w:spacing w:before="320" w:after="120"/>
      </w:pPr>
      <w:r>
        <w:rPr>
          <w:rFonts w:ascii="Times New Roman" w:hAnsi="Times New Roman"/>
          <w:b/>
          <w:color w:val="003366"/>
          <w:sz w:val="24"/>
        </w:rPr>
        <w:t>Chapter 7 — Technology Stack Specifications</w:t>
      </w:r>
    </w:p>
    <w:tbl>
      <w:tblPr>
        <w:tblW w:type="auto" w:w="0"/>
        <w:jc w:val="center"/>
        <w:tblLook w:firstColumn="1" w:firstRow="1" w:lastColumn="0" w:lastRow="0" w:noHBand="0" w:noVBand="1" w:val="04A0"/>
      </w:tblPr>
      <w:tblGrid>
        <w:gridCol w:w="3010"/>
        <w:gridCol w:w="3010"/>
        <w:gridCol w:w="3010"/>
      </w:tblGrid>
      <w:tr>
        <w:tc>
          <w:tcPr>
            <w:tcW w:type="dxa" w:w="3010"/>
            <w:shd w:fill="003366"/>
            <w:tcMar>
              <w:top w:w="100" w:type="dxa"/>
              <w:bottom w:w="100" w:type="dxa"/>
              <w:left w:w="120" w:type="dxa"/>
              <w:right w:w="120" w:type="dxa"/>
            </w:tcMar>
          </w:tcPr>
          <w:p>
            <w:pPr>
              <w:spacing w:after="0"/>
              <w:jc w:val="left"/>
            </w:pPr>
            <w:r>
              <w:rPr>
                <w:rFonts w:ascii="Times New Roman" w:hAnsi="Times New Roman"/>
                <w:b/>
                <w:color w:val="FFFFFF"/>
                <w:sz w:val="19"/>
              </w:rPr>
              <w:t>Technology Component</w:t>
            </w:r>
          </w:p>
        </w:tc>
        <w:tc>
          <w:tcPr>
            <w:tcW w:type="dxa" w:w="3010"/>
            <w:shd w:fill="003366"/>
            <w:tcMar>
              <w:top w:w="100" w:type="dxa"/>
              <w:bottom w:w="100" w:type="dxa"/>
              <w:left w:w="120" w:type="dxa"/>
              <w:right w:w="120" w:type="dxa"/>
            </w:tcMar>
          </w:tcPr>
          <w:p>
            <w:pPr>
              <w:spacing w:after="0"/>
              <w:jc w:val="left"/>
            </w:pPr>
            <w:r>
              <w:rPr>
                <w:rFonts w:ascii="Times New Roman" w:hAnsi="Times New Roman"/>
                <w:b/>
                <w:color w:val="FFFFFF"/>
                <w:sz w:val="19"/>
              </w:rPr>
              <w:t>Version / Spec</w:t>
            </w:r>
          </w:p>
        </w:tc>
        <w:tc>
          <w:tcPr>
            <w:tcW w:type="dxa" w:w="3010"/>
            <w:shd w:fill="003366"/>
            <w:tcMar>
              <w:top w:w="100" w:type="dxa"/>
              <w:bottom w:w="100" w:type="dxa"/>
              <w:left w:w="120" w:type="dxa"/>
              <w:right w:w="120" w:type="dxa"/>
            </w:tcMar>
          </w:tcPr>
          <w:p>
            <w:pPr>
              <w:spacing w:after="0"/>
              <w:jc w:val="left"/>
            </w:pPr>
            <w:r>
              <w:rPr>
                <w:rFonts w:ascii="Times New Roman" w:hAnsi="Times New Roman"/>
                <w:b/>
                <w:color w:val="FFFFFF"/>
                <w:sz w:val="19"/>
              </w:rPr>
              <w:t>Operational Purpose</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Terraform</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v1.7.5+</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Infrastructure as Code engine governing AWS, K8s, and GitHub</w:t>
            </w:r>
          </w:p>
        </w:tc>
      </w:tr>
      <w:tr>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Amazon EKS</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v1.30</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Managed Kubernetes container orchestration control plane</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FastAPI</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v0.111.0</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Asynchronous Python web framework serving prediction REST APIs</w:t>
            </w:r>
          </w:p>
        </w:tc>
      </w:tr>
      <w:tr>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Python / NumPy / Statsmodels</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v3.11 / v1.26 / v0.14</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Data processing &amp; ARIMA + LSTM/GRU/CNN Hybrid ML engine</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Amazon ECR</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KMS Encrypted</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Private container registry storing immutable Docker images</w:t>
            </w:r>
          </w:p>
        </w:tc>
      </w:tr>
      <w:tr>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Amazon RDS</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PostgreSQL v15</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Multi-AZ relational database for prediction audit records</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Amazon ElastiCache</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Redis v7</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In-memory replication group caching forecast query results</w:t>
            </w:r>
          </w:p>
        </w:tc>
      </w:tr>
      <w:tr>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GitHub Actions</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OIDC Integration</w:t>
            </w:r>
          </w:p>
        </w:tc>
        <w:tc>
          <w:tcPr>
            <w:tcW w:type="dxa" w:w="3010"/>
            <w:shd w:fill="F9FAFC"/>
            <w:tcMar>
              <w:top w:w="80" w:type="dxa"/>
              <w:bottom w:w="80" w:type="dxa"/>
              <w:left w:w="120" w:type="dxa"/>
              <w:right w:w="120" w:type="dxa"/>
            </w:tcMar>
          </w:tcPr>
          <w:p>
            <w:pPr>
              <w:spacing w:after="0"/>
              <w:jc w:val="left"/>
            </w:pPr>
            <w:r>
              <w:rPr>
                <w:rFonts w:ascii="Times New Roman" w:hAnsi="Times New Roman"/>
                <w:color w:val="222222"/>
                <w:sz w:val="18"/>
              </w:rPr>
              <w:t>Automated multi-environment CI/CD deployment runner</w:t>
            </w:r>
          </w:p>
        </w:tc>
      </w:tr>
      <w:tr>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Prometheus &amp; Grafana</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v2.52 / v11.0</w:t>
            </w:r>
          </w:p>
        </w:tc>
        <w:tc>
          <w:tcPr>
            <w:tcW w:type="dxa" w:w="3010"/>
            <w:shd w:fill="FFFFFF"/>
            <w:tcMar>
              <w:top w:w="80" w:type="dxa"/>
              <w:bottom w:w="80" w:type="dxa"/>
              <w:left w:w="120" w:type="dxa"/>
              <w:right w:w="120" w:type="dxa"/>
            </w:tcMar>
          </w:tcPr>
          <w:p>
            <w:pPr>
              <w:spacing w:after="0"/>
              <w:jc w:val="left"/>
            </w:pPr>
            <w:r>
              <w:rPr>
                <w:rFonts w:ascii="Times New Roman" w:hAnsi="Times New Roman"/>
                <w:color w:val="222222"/>
                <w:sz w:val="18"/>
              </w:rPr>
              <w:t>System metrics collection, alerting, and visualization dashboard</w:t>
            </w:r>
          </w:p>
        </w:tc>
      </w:tr>
    </w:tbl>
    <w:p>
      <w:pPr>
        <w:spacing w:after="80"/>
      </w:pPr>
    </w:p>
    <w:p>
      <w:pPr>
        <w:keepNext/>
        <w:spacing w:before="320" w:after="120"/>
      </w:pPr>
      <w:r>
        <w:rPr>
          <w:rFonts w:ascii="Times New Roman" w:hAnsi="Times New Roman"/>
          <w:b/>
          <w:color w:val="003366"/>
          <w:sz w:val="24"/>
        </w:rPr>
        <w:t>Chapter 8 — Overall System Architecture</w:t>
      </w:r>
    </w:p>
    <w:p>
      <w:pPr>
        <w:spacing w:line="276" w:lineRule="auto" w:after="80"/>
        <w:jc w:val="both"/>
      </w:pPr>
      <w:r>
        <w:rPr>
          <w:rFonts w:ascii="Times New Roman" w:hAnsi="Times New Roman"/>
          <w:sz w:val="20"/>
        </w:rPr>
        <w:t>The overall platform architecture integrates developer workflows, continuous integration pipelines, AWS managed services, and Kubernetes cluster orchestration into a cohesive unit.</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Client Request -&gt; Route 53 DNS -&gt; AWS ALB -&gt; EKS Ingress -&gt; ClusterIP Service -&gt; FastAPI Pod -&gt; Redis / RDS / S3</w:t>
            </w:r>
          </w:p>
        </w:tc>
      </w:tr>
    </w:tbl>
    <w:p>
      <w:pPr>
        <w:spacing w:after="80"/>
      </w:pPr>
    </w:p>
    <w:p>
      <w:pPr>
        <w:keepNext/>
        <w:spacing w:before="320" w:after="120"/>
      </w:pPr>
      <w:r>
        <w:rPr>
          <w:rFonts w:ascii="Times New Roman" w:hAnsi="Times New Roman"/>
          <w:b/>
          <w:color w:val="003366"/>
          <w:sz w:val="24"/>
        </w:rPr>
        <w:t>Chapter 9 — AWS Cloud Infrastructure Architecture</w:t>
      </w:r>
    </w:p>
    <w:p>
      <w:pPr>
        <w:spacing w:line="276" w:lineRule="auto" w:after="80"/>
        <w:jc w:val="both"/>
      </w:pPr>
      <w:r>
        <w:rPr>
          <w:rFonts w:ascii="Times New Roman" w:hAnsi="Times New Roman"/>
          <w:sz w:val="20"/>
        </w:rPr>
        <w:t>AWS managed services provide enterprise reliability, high availability, and operational efficiency. By leveraging AWS EKS for Kubernetes master nodes, RDS Multi-AZ for PostgreSQL, and ElastiCache for Redis, the infrastructure minimizes operational management overhead.</w:t>
      </w:r>
    </w:p>
    <w:p>
      <w:pPr>
        <w:keepNext/>
        <w:spacing w:before="320" w:after="120"/>
      </w:pPr>
      <w:r>
        <w:rPr>
          <w:rFonts w:ascii="Times New Roman" w:hAnsi="Times New Roman"/>
          <w:b/>
          <w:color w:val="003366"/>
          <w:sz w:val="24"/>
        </w:rPr>
        <w:t>Chapter 10 — VPC Network &amp; Subnet Topology</w:t>
      </w:r>
    </w:p>
    <w:p>
      <w:pPr>
        <w:spacing w:line="276" w:lineRule="auto" w:after="80"/>
        <w:jc w:val="both"/>
      </w:pPr>
      <w:r>
        <w:rPr>
          <w:rFonts w:ascii="Times New Roman" w:hAnsi="Times New Roman"/>
          <w:sz w:val="20"/>
        </w:rPr>
        <w:t>The Amazon VPC network (`10.30.0.0/16`) spans 3 Availability Zones (us-east-1a, us-east-1b, us-east-1c) and implements strict 3-tier subnet separation:</w:t>
      </w:r>
    </w:p>
    <w:p>
      <w:pPr>
        <w:pStyle w:val="ListBullet"/>
        <w:spacing w:line="276" w:lineRule="auto" w:after="60"/>
        <w:jc w:val="left"/>
      </w:pPr>
      <w:r>
        <w:rPr>
          <w:rFonts w:ascii="Times New Roman" w:hAnsi="Times New Roman"/>
          <w:b/>
          <w:sz w:val="20"/>
        </w:rPr>
        <w:t xml:space="preserve">Tier 1 — Public: </w:t>
      </w:r>
      <w:r>
        <w:rPr>
          <w:rFonts w:ascii="Times New Roman" w:hAnsi="Times New Roman"/>
          <w:sz w:val="20"/>
        </w:rPr>
        <w:t>Public Subnets (10.30.0.0/20, 10.30.16.0/20, 10.30.32.0/20): Host AWS Application Load Balancers and NAT Gateways.</w:t>
      </w:r>
    </w:p>
    <w:p>
      <w:pPr>
        <w:pStyle w:val="ListBullet"/>
        <w:spacing w:line="276" w:lineRule="auto" w:after="60"/>
        <w:jc w:val="left"/>
      </w:pPr>
      <w:r>
        <w:rPr>
          <w:rFonts w:ascii="Times New Roman" w:hAnsi="Times New Roman"/>
          <w:b/>
          <w:sz w:val="20"/>
        </w:rPr>
        <w:t xml:space="preserve">Tier 2 — Private: </w:t>
      </w:r>
      <w:r>
        <w:rPr>
          <w:rFonts w:ascii="Times New Roman" w:hAnsi="Times New Roman"/>
          <w:sz w:val="20"/>
        </w:rPr>
        <w:t>Private Subnets (10.30.48.0/20, 10.30.64.0/20, 10.30.80.0/20): Host EKS Worker Node instances. Internet egress routes via NAT Gateways.</w:t>
      </w:r>
    </w:p>
    <w:p>
      <w:pPr>
        <w:pStyle w:val="ListBullet"/>
        <w:spacing w:line="276" w:lineRule="auto" w:after="60"/>
        <w:jc w:val="left"/>
      </w:pPr>
      <w:r>
        <w:rPr>
          <w:rFonts w:ascii="Times New Roman" w:hAnsi="Times New Roman"/>
          <w:b/>
          <w:sz w:val="20"/>
        </w:rPr>
        <w:t xml:space="preserve">Tier 3 — Isolated DB: </w:t>
      </w:r>
      <w:r>
        <w:rPr>
          <w:rFonts w:ascii="Times New Roman" w:hAnsi="Times New Roman"/>
          <w:sz w:val="20"/>
        </w:rPr>
        <w:t>Database Subnets (10.30.96.0/20, 10.30.112.0/20, 10.30.128.0/20): Isolated database subnets without internet access. Restrict access to EKS nodes.</w:t>
      </w:r>
    </w:p>
    <w:p>
      <w:pPr>
        <w:keepNext/>
        <w:spacing w:before="320" w:after="120"/>
      </w:pPr>
      <w:r>
        <w:rPr>
          <w:rFonts w:ascii="Times New Roman" w:hAnsi="Times New Roman"/>
          <w:b/>
          <w:color w:val="003366"/>
          <w:sz w:val="24"/>
        </w:rPr>
        <w:t>Chapter 11 — Terraform Infrastructure as Code Engine</w:t>
      </w:r>
    </w:p>
    <w:p>
      <w:pPr>
        <w:spacing w:line="276" w:lineRule="auto" w:after="80"/>
        <w:jc w:val="both"/>
      </w:pPr>
      <w:r>
        <w:rPr>
          <w:rFonts w:ascii="Times New Roman" w:hAnsi="Times New Roman"/>
          <w:sz w:val="20"/>
        </w:rPr>
        <w:t>HashiCorp Terraform executes declarative configuration files to provision, update, and manage cloud resources idempotently. Terraform reads `.tf` code, calculates execution diffs (`terraform plan`), and executes targeted AWS API calls (`terraform apply`).</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 Example Terraform Provider Configuration</w:t>
              <w:br/>
              <w:t>provider "aws" {</w:t>
              <w:br/>
              <w:t xml:space="preserve">  region = var.aws_region</w:t>
              <w:br/>
              <w:t xml:space="preserve">  default_tags {</w:t>
              <w:br/>
              <w:t xml:space="preserve">    tags = { Environment = var.environment, ManagedBy = "Terraform" }</w:t>
              <w:br/>
              <w:t xml:space="preserve">  }</w:t>
              <w:br/>
              <w:t>}</w:t>
            </w:r>
          </w:p>
        </w:tc>
      </w:tr>
    </w:tbl>
    <w:p>
      <w:pPr>
        <w:spacing w:after="80"/>
      </w:pPr>
    </w:p>
    <w:p>
      <w:pPr>
        <w:keepNext/>
        <w:spacing w:before="320" w:after="120"/>
      </w:pPr>
      <w:r>
        <w:rPr>
          <w:rFonts w:ascii="Times New Roman" w:hAnsi="Times New Roman"/>
          <w:b/>
          <w:color w:val="003366"/>
          <w:sz w:val="24"/>
        </w:rPr>
        <w:t>Chapter 12 — Terraform Project Architecture &amp; File Hierarchy</w:t>
      </w:r>
    </w:p>
    <w:p>
      <w:pPr>
        <w:spacing w:line="276" w:lineRule="auto" w:after="80"/>
        <w:jc w:val="both"/>
      </w:pPr>
      <w:r>
        <w:rPr>
          <w:rFonts w:ascii="Times New Roman" w:hAnsi="Times New Roman"/>
          <w:sz w:val="20"/>
        </w:rPr>
        <w:t>The project provides a clean, flat, file-by-file `terraform/` directory matching enterprise standards:</w:t>
      </w:r>
    </w:p>
    <w:p>
      <w:pPr>
        <w:pStyle w:val="ListBullet"/>
        <w:spacing w:line="276" w:lineRule="auto" w:after="60"/>
        <w:jc w:val="left"/>
      </w:pPr>
      <w:r>
        <w:rPr>
          <w:rFonts w:ascii="Times New Roman" w:hAnsi="Times New Roman"/>
          <w:b/>
          <w:sz w:val="20"/>
        </w:rPr>
        <w:t xml:space="preserve">Core Files: </w:t>
      </w:r>
      <w:r>
        <w:rPr>
          <w:rFonts w:ascii="Times New Roman" w:hAnsi="Times New Roman"/>
          <w:sz w:val="20"/>
        </w:rPr>
        <w:t>provider.tf, variables.tf, outputs.tf, locals.tf: Top-level provider and configuration definitions.</w:t>
      </w:r>
    </w:p>
    <w:p>
      <w:pPr>
        <w:pStyle w:val="ListBullet"/>
        <w:spacing w:line="276" w:lineRule="auto" w:after="60"/>
        <w:jc w:val="left"/>
      </w:pPr>
      <w:r>
        <w:rPr>
          <w:rFonts w:ascii="Times New Roman" w:hAnsi="Times New Roman"/>
          <w:b/>
          <w:sz w:val="20"/>
        </w:rPr>
        <w:t xml:space="preserve">AWS Infrastructure: </w:t>
      </w:r>
      <w:r>
        <w:rPr>
          <w:rFonts w:ascii="Times New Roman" w:hAnsi="Times New Roman"/>
          <w:sz w:val="20"/>
        </w:rPr>
        <w:t>network.tf, eks.tf, ecr.tf, rds.tf, redis.tf, iam.tf, secrets.tf, dns.tf, acm.tf, monitoring.tf: AWS Cloud infrastructure files.</w:t>
      </w:r>
    </w:p>
    <w:p>
      <w:pPr>
        <w:pStyle w:val="ListBullet"/>
        <w:spacing w:line="276" w:lineRule="auto" w:after="60"/>
        <w:jc w:val="left"/>
      </w:pPr>
      <w:r>
        <w:rPr>
          <w:rFonts w:ascii="Times New Roman" w:hAnsi="Times New Roman"/>
          <w:b/>
          <w:sz w:val="20"/>
        </w:rPr>
        <w:t xml:space="preserve">GitHub Governance: </w:t>
      </w:r>
      <w:r>
        <w:rPr>
          <w:rFonts w:ascii="Times New Roman" w:hAnsi="Times New Roman"/>
          <w:sz w:val="20"/>
        </w:rPr>
        <w:t>github.tf, github_repository.tf, github_environment.tf, github_branch_protection.tf, github_actions.tf: GitHub governance files.</w:t>
      </w:r>
    </w:p>
    <w:p>
      <w:pPr>
        <w:pStyle w:val="ListBullet"/>
        <w:spacing w:line="276" w:lineRule="auto" w:after="60"/>
        <w:jc w:val="left"/>
      </w:pPr>
      <w:r>
        <w:rPr>
          <w:rFonts w:ascii="Times New Roman" w:hAnsi="Times New Roman"/>
          <w:b/>
          <w:sz w:val="20"/>
        </w:rPr>
        <w:t xml:space="preserve">Kubernetes Workloads: </w:t>
      </w:r>
      <w:r>
        <w:rPr>
          <w:rFonts w:ascii="Times New Roman" w:hAnsi="Times New Roman"/>
          <w:sz w:val="20"/>
        </w:rPr>
        <w:t>kubernetes_namespace.tf, deployment.tf, service.tf, ingress.tf, hpa.tf, pdb.tf, configmap.tf, networkpolicy.tf: Kubernetes workload files.</w:t>
      </w:r>
    </w:p>
    <w:p>
      <w:pPr>
        <w:keepNext/>
        <w:spacing w:before="320" w:after="120"/>
      </w:pPr>
      <w:r>
        <w:rPr>
          <w:rFonts w:ascii="Times New Roman" w:hAnsi="Times New Roman"/>
          <w:b/>
          <w:color w:val="003366"/>
          <w:sz w:val="24"/>
        </w:rPr>
        <w:t>Chapter 13 — Remote State Management &amp; DynamoDB State Locking</w:t>
      </w:r>
    </w:p>
    <w:p>
      <w:pPr>
        <w:spacing w:line="276" w:lineRule="auto" w:after="80"/>
        <w:jc w:val="both"/>
      </w:pPr>
      <w:r>
        <w:rPr>
          <w:rFonts w:ascii="Times New Roman" w:hAnsi="Times New Roman"/>
          <w:sz w:val="20"/>
        </w:rPr>
        <w:t>Terraform tracks provisioned infrastructure in a state file (`terraform.tfstate`). To prevent state corruption during concurrent team applies, remote state is configured using AWS S3 with server-side KMS encryption and DynamoDB table locking (`gdp-prediction-tf-locks`).</w:t>
      </w:r>
    </w:p>
    <w:p>
      <w:pPr>
        <w:keepNext/>
        <w:spacing w:before="320" w:after="120"/>
      </w:pPr>
      <w:r>
        <w:rPr>
          <w:rFonts w:ascii="Times New Roman" w:hAnsi="Times New Roman"/>
          <w:b/>
          <w:color w:val="003366"/>
          <w:sz w:val="24"/>
        </w:rPr>
        <w:t>Chapter 14 — Docker Containerization &amp; Multi-Stage Builds</w:t>
      </w:r>
    </w:p>
    <w:p>
      <w:pPr>
        <w:spacing w:line="276" w:lineRule="auto" w:after="80"/>
        <w:jc w:val="both"/>
      </w:pPr>
      <w:r>
        <w:rPr>
          <w:rFonts w:ascii="Times New Roman" w:hAnsi="Times New Roman"/>
          <w:sz w:val="20"/>
        </w:rPr>
        <w:t>The application is packaged into a multi-stage Docker image (`Dockerfile`). The builder stage compiles Python wheels, while the final runtime stage copies compiled binaries into a clean `python:3.11-slim` image, creating a small, secure 220MB container.</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FROM python:3.11-slim as runtime</w:t>
              <w:br/>
              <w:t>WORKDIR /app</w:t>
              <w:br/>
              <w:t>RUN addgroup --gid 10001 appgroup &amp;&amp; adduser --uid 10001 --ingroup appgroup --disabled-password appuser</w:t>
              <w:br/>
              <w:t>COPY src /app/src</w:t>
              <w:br/>
              <w:t>USER 10001:10001</w:t>
              <w:br/>
              <w:t>CMD ["uvicorn", "app.main:app", "--host", "0.0.0.0", "--port", "8000"]</w:t>
            </w:r>
          </w:p>
        </w:tc>
      </w:tr>
    </w:tbl>
    <w:p>
      <w:pPr>
        <w:spacing w:after="80"/>
      </w:pPr>
    </w:p>
    <w:p>
      <w:pPr>
        <w:keepNext/>
        <w:spacing w:before="320" w:after="120"/>
      </w:pPr>
      <w:r>
        <w:rPr>
          <w:rFonts w:ascii="Times New Roman" w:hAnsi="Times New Roman"/>
          <w:b/>
          <w:color w:val="003366"/>
          <w:sz w:val="24"/>
        </w:rPr>
        <w:t>Chapter 15 — Amazon Elastic Container Registry (ECR)</w:t>
      </w:r>
    </w:p>
    <w:p>
      <w:pPr>
        <w:spacing w:line="276" w:lineRule="auto" w:after="80"/>
        <w:jc w:val="both"/>
      </w:pPr>
      <w:r>
        <w:rPr>
          <w:rFonts w:ascii="Times New Roman" w:hAnsi="Times New Roman"/>
          <w:sz w:val="20"/>
        </w:rPr>
        <w:t>AWS ECR serves as the secure private container registry. Immutability is enabled on image tags (using `&lt;git-sha&gt;` tags), preventing overwritten images. Automated scanning on push checks images for vulnerability CVEs, and lifecycle policies clean up older builds.</w:t>
      </w:r>
    </w:p>
    <w:p>
      <w:pPr>
        <w:keepNext/>
        <w:spacing w:before="320" w:after="120"/>
      </w:pPr>
      <w:r>
        <w:rPr>
          <w:rFonts w:ascii="Times New Roman" w:hAnsi="Times New Roman"/>
          <w:b/>
          <w:color w:val="003366"/>
          <w:sz w:val="24"/>
        </w:rPr>
        <w:t>Chapter 16 — Kubernetes Workload Architecture</w:t>
      </w:r>
    </w:p>
    <w:p>
      <w:pPr>
        <w:spacing w:line="276" w:lineRule="auto" w:after="80"/>
        <w:jc w:val="both"/>
      </w:pPr>
      <w:r>
        <w:rPr>
          <w:rFonts w:ascii="Times New Roman" w:hAnsi="Times New Roman"/>
          <w:sz w:val="20"/>
        </w:rPr>
        <w:t>Kubernetes workloads (`kubernetes/`) manage application pods, networking, and scaling declarative objects:</w:t>
      </w:r>
    </w:p>
    <w:p>
      <w:pPr>
        <w:pStyle w:val="ListBullet"/>
        <w:spacing w:line="276" w:lineRule="auto" w:after="60"/>
        <w:jc w:val="left"/>
      </w:pPr>
      <w:r>
        <w:rPr>
          <w:rFonts w:ascii="Times New Roman" w:hAnsi="Times New Roman"/>
          <w:b/>
          <w:sz w:val="20"/>
        </w:rPr>
        <w:t xml:space="preserve">Namespace: </w:t>
      </w:r>
      <w:r>
        <w:rPr>
          <w:rFonts w:ascii="Times New Roman" w:hAnsi="Times New Roman"/>
          <w:sz w:val="20"/>
        </w:rPr>
        <w:t>Namespace (`gdp-production`): Provides complete virtual isolation for production workloads.</w:t>
      </w:r>
    </w:p>
    <w:p>
      <w:pPr>
        <w:pStyle w:val="ListBullet"/>
        <w:spacing w:line="276" w:lineRule="auto" w:after="60"/>
        <w:jc w:val="left"/>
      </w:pPr>
      <w:r>
        <w:rPr>
          <w:rFonts w:ascii="Times New Roman" w:hAnsi="Times New Roman"/>
          <w:b/>
          <w:sz w:val="20"/>
        </w:rPr>
        <w:t xml:space="preserve">Deployment: </w:t>
      </w:r>
      <w:r>
        <w:rPr>
          <w:rFonts w:ascii="Times New Roman" w:hAnsi="Times New Roman"/>
          <w:sz w:val="20"/>
        </w:rPr>
        <w:t>Deployment: Manages rolling pod updates (`maxSurge: 25%`, `maxUnavailable: 25%`).</w:t>
      </w:r>
    </w:p>
    <w:p>
      <w:pPr>
        <w:pStyle w:val="ListBullet"/>
        <w:spacing w:line="276" w:lineRule="auto" w:after="60"/>
        <w:jc w:val="left"/>
      </w:pPr>
      <w:r>
        <w:rPr>
          <w:rFonts w:ascii="Times New Roman" w:hAnsi="Times New Roman"/>
          <w:b/>
          <w:sz w:val="20"/>
        </w:rPr>
        <w:t xml:space="preserve">Service: </w:t>
      </w:r>
      <w:r>
        <w:rPr>
          <w:rFonts w:ascii="Times New Roman" w:hAnsi="Times New Roman"/>
          <w:sz w:val="20"/>
        </w:rPr>
        <w:t>Service (`ClusterIP`): Exposes internal pod IP addresses on port 8000.</w:t>
      </w:r>
    </w:p>
    <w:p>
      <w:pPr>
        <w:pStyle w:val="ListBullet"/>
        <w:spacing w:line="276" w:lineRule="auto" w:after="60"/>
        <w:jc w:val="left"/>
      </w:pPr>
      <w:r>
        <w:rPr>
          <w:rFonts w:ascii="Times New Roman" w:hAnsi="Times New Roman"/>
          <w:b/>
          <w:sz w:val="20"/>
        </w:rPr>
        <w:t xml:space="preserve">Ingress: </w:t>
      </w:r>
      <w:r>
        <w:rPr>
          <w:rFonts w:ascii="Times New Roman" w:hAnsi="Times New Roman"/>
          <w:sz w:val="20"/>
        </w:rPr>
        <w:t>Ingress (`ALB`): Integrates with AWS Load Balancer Controller to manage external HTTPS traffic.</w:t>
      </w:r>
    </w:p>
    <w:p>
      <w:pPr>
        <w:keepNext/>
        <w:spacing w:before="320" w:after="120"/>
      </w:pPr>
      <w:r>
        <w:rPr>
          <w:rFonts w:ascii="Times New Roman" w:hAnsi="Times New Roman"/>
          <w:b/>
          <w:color w:val="003366"/>
          <w:sz w:val="24"/>
        </w:rPr>
        <w:t>Chapter 17 — Amazon Elastic Kubernetes Service (EKS v1.30)</w:t>
      </w:r>
    </w:p>
    <w:p>
      <w:pPr>
        <w:spacing w:line="276" w:lineRule="auto" w:after="80"/>
        <w:jc w:val="both"/>
      </w:pPr>
      <w:r>
        <w:rPr>
          <w:rFonts w:ascii="Times New Roman" w:hAnsi="Times New Roman"/>
          <w:sz w:val="20"/>
        </w:rPr>
        <w:t>AWS EKS v1.30 provides a highly available, managed Kubernetes control plane. Worker nodes run inside auto-scaling EC2 node groups distributed across 3 Availability Zones, utilizing AWS VPC CNI for native pod IP allocation.</w:t>
      </w:r>
    </w:p>
    <w:p>
      <w:pPr>
        <w:keepNext/>
        <w:spacing w:before="320" w:after="120"/>
      </w:pPr>
      <w:r>
        <w:rPr>
          <w:rFonts w:ascii="Times New Roman" w:hAnsi="Times New Roman"/>
          <w:b/>
          <w:color w:val="003366"/>
          <w:sz w:val="24"/>
        </w:rPr>
        <w:t>Chapter 18 — Application Deployment Architecture</w:t>
      </w:r>
    </w:p>
    <w:p>
      <w:pPr>
        <w:spacing w:line="276" w:lineRule="auto" w:after="80"/>
        <w:jc w:val="both"/>
      </w:pPr>
      <w:r>
        <w:rPr>
          <w:rFonts w:ascii="Times New Roman" w:hAnsi="Times New Roman"/>
          <w:sz w:val="20"/>
        </w:rPr>
        <w:t>Application pods execute the FastAPI microservice, loading historical GDP dataset observations (`GDP.csv`) and running the ARIMA-LSTM/GRU/CNN Hybrid ML prediction engine to calculate future quarterly economic projections.</w:t>
      </w:r>
    </w:p>
    <w:p>
      <w:pPr>
        <w:keepNext/>
        <w:spacing w:before="320" w:after="120"/>
      </w:pPr>
      <w:r>
        <w:rPr>
          <w:rFonts w:ascii="Times New Roman" w:hAnsi="Times New Roman"/>
          <w:b/>
          <w:color w:val="003366"/>
          <w:sz w:val="24"/>
        </w:rPr>
        <w:t>Chapter 19 — Continuous Integration (CI) Architecture</w:t>
      </w:r>
    </w:p>
    <w:p>
      <w:pPr>
        <w:spacing w:line="276" w:lineRule="auto" w:after="80"/>
        <w:jc w:val="both"/>
      </w:pPr>
      <w:r>
        <w:rPr>
          <w:rFonts w:ascii="Times New Roman" w:hAnsi="Times New Roman"/>
          <w:sz w:val="20"/>
        </w:rPr>
        <w:t>The CI pipeline (`.github/workflows/ci.yml`) runs quality checks on every pull request and push: Code Formatting (Black), Linting (Flake8), Unit Testing (Pytest), SAST (Bandit), Secret Scanning (Gitleaks), Helm Linting, and Container Scanning (Trivy).</w:t>
      </w:r>
    </w:p>
    <w:p>
      <w:pPr>
        <w:keepNext/>
        <w:spacing w:before="320" w:after="120"/>
      </w:pPr>
      <w:r>
        <w:rPr>
          <w:rFonts w:ascii="Times New Roman" w:hAnsi="Times New Roman"/>
          <w:b/>
          <w:color w:val="003366"/>
          <w:sz w:val="24"/>
        </w:rPr>
        <w:t>Chapter 20 — Continuous Deployment (CD) &amp; Environment Promotion</w:t>
      </w:r>
    </w:p>
    <w:p>
      <w:pPr>
        <w:spacing w:line="276" w:lineRule="auto" w:after="80"/>
        <w:jc w:val="both"/>
      </w:pPr>
      <w:r>
        <w:rPr>
          <w:rFonts w:ascii="Times New Roman" w:hAnsi="Times New Roman"/>
          <w:sz w:val="20"/>
        </w:rPr>
        <w:t>The CD pipeline promotes container builds through DEV -&gt; STAGING -&gt; PRODUCTION environments. Production deployments require explicit manual reviewer approval in GitHub Environment settings before applying Helm upgrades to EKS.</w:t>
      </w:r>
    </w:p>
    <w:p>
      <w:pPr>
        <w:keepNext/>
        <w:spacing w:before="320" w:after="120"/>
      </w:pPr>
      <w:r>
        <w:rPr>
          <w:rFonts w:ascii="Times New Roman" w:hAnsi="Times New Roman"/>
          <w:b/>
          <w:color w:val="003366"/>
          <w:sz w:val="24"/>
        </w:rPr>
        <w:t>Chapter 21 — GitHub Actions Workflow Engineering</w:t>
      </w:r>
    </w:p>
    <w:p>
      <w:pPr>
        <w:spacing w:line="276" w:lineRule="auto" w:after="80"/>
        <w:jc w:val="both"/>
      </w:pPr>
      <w:r>
        <w:rPr>
          <w:rFonts w:ascii="Times New Roman" w:hAnsi="Times New Roman"/>
          <w:sz w:val="20"/>
        </w:rPr>
        <w:t>The master pipeline (`.github/workflows/pipeline.yml`) orchestrates all CI and CD jobs in a single, visual workflow file, enforcing strict dependency gates (`needs: [ci]`, `needs: [deploy-dev]`, `needs: [deploy-staging]`).</w:t>
      </w:r>
    </w:p>
    <w:p>
      <w:pPr>
        <w:keepNext/>
        <w:spacing w:before="320" w:after="120"/>
      </w:pPr>
      <w:r>
        <w:rPr>
          <w:rFonts w:ascii="Times New Roman" w:hAnsi="Times New Roman"/>
          <w:b/>
          <w:color w:val="003366"/>
          <w:sz w:val="24"/>
        </w:rPr>
        <w:t>Chapter 22 — GitHub OIDC &amp; AWS IAM Federated Authentication</w:t>
      </w:r>
    </w:p>
    <w:p>
      <w:pPr>
        <w:spacing w:line="276" w:lineRule="auto" w:after="80"/>
        <w:jc w:val="both"/>
      </w:pPr>
      <w:r>
        <w:rPr>
          <w:rFonts w:ascii="Times New Roman" w:hAnsi="Times New Roman"/>
          <w:sz w:val="20"/>
        </w:rPr>
        <w:t>By configuring an OpenID Connect (OIDC) identity provider in AWS IAM (`github/oidc.tf`), GitHub Actions runners authenticate using temporary JSON Web Tokens (JWT) exchanged for short-lived IAM credentials, completely eliminating static AWS access keys.</w:t>
      </w:r>
    </w:p>
    <w:p>
      <w:pPr>
        <w:keepNext/>
        <w:spacing w:before="320" w:after="120"/>
      </w:pPr>
      <w:r>
        <w:rPr>
          <w:rFonts w:ascii="Times New Roman" w:hAnsi="Times New Roman"/>
          <w:b/>
          <w:color w:val="003366"/>
          <w:sz w:val="24"/>
        </w:rPr>
        <w:t>Chapter 23 — AWS Secrets Manager Integration</w:t>
      </w:r>
    </w:p>
    <w:p>
      <w:pPr>
        <w:spacing w:line="276" w:lineRule="auto" w:after="80"/>
        <w:jc w:val="both"/>
      </w:pPr>
      <w:r>
        <w:rPr>
          <w:rFonts w:ascii="Times New Roman" w:hAnsi="Times New Roman"/>
          <w:sz w:val="20"/>
        </w:rPr>
        <w:t>AWS Secrets Manager encrypts database passwords and token credentials at rest using AWS KMS. Application pods consume secrets dynamically via IAM Roles for Service Accounts (IRSA).</w:t>
      </w:r>
    </w:p>
    <w:p>
      <w:pPr>
        <w:keepNext/>
        <w:spacing w:before="320" w:after="120"/>
      </w:pPr>
      <w:r>
        <w:rPr>
          <w:rFonts w:ascii="Times New Roman" w:hAnsi="Times New Roman"/>
          <w:b/>
          <w:color w:val="003366"/>
          <w:sz w:val="24"/>
        </w:rPr>
        <w:t>Chapter 24 — Database &amp; Caching Architecture (RDS PostgreSQL &amp; ElastiCache Redis)</w:t>
      </w:r>
    </w:p>
    <w:p>
      <w:pPr>
        <w:spacing w:line="276" w:lineRule="auto" w:after="80"/>
        <w:jc w:val="both"/>
      </w:pPr>
      <w:r>
        <w:rPr>
          <w:rFonts w:ascii="Times New Roman" w:hAnsi="Times New Roman"/>
          <w:sz w:val="20"/>
        </w:rPr>
        <w:t>The data layer utilizes AWS RDS PostgreSQL Multi-AZ for persistent audit log storage and AWS ElastiCache Redis for caching computed hybrid model forecast outputs with 1-hour TTLs, reducing backend latency.</w:t>
      </w:r>
    </w:p>
    <w:p>
      <w:pPr>
        <w:keepNext/>
        <w:spacing w:before="320" w:after="120"/>
      </w:pPr>
      <w:r>
        <w:rPr>
          <w:rFonts w:ascii="Times New Roman" w:hAnsi="Times New Roman"/>
          <w:b/>
          <w:color w:val="003366"/>
          <w:sz w:val="24"/>
        </w:rPr>
        <w:t>Chapter 25 — DNS Routing &amp; HTTPS Certificate Management (Route 53 &amp; ACM)</w:t>
      </w:r>
    </w:p>
    <w:p>
      <w:pPr>
        <w:spacing w:line="276" w:lineRule="auto" w:after="80"/>
        <w:jc w:val="both"/>
      </w:pPr>
      <w:r>
        <w:rPr>
          <w:rFonts w:ascii="Times New Roman" w:hAnsi="Times New Roman"/>
          <w:sz w:val="20"/>
        </w:rPr>
        <w:t>Amazon Route 53 manages public DNS resolution (`gdp.api.domain.com`), while AWS Certificate Manager (ACM) provisions SSL/TLS certificates with automated DNS validation, terminating TLS securely at the Application Load Balancer.</w:t>
      </w:r>
    </w:p>
    <w:p>
      <w:pPr>
        <w:keepNext/>
        <w:spacing w:before="320" w:after="120"/>
      </w:pPr>
      <w:r>
        <w:rPr>
          <w:rFonts w:ascii="Times New Roman" w:hAnsi="Times New Roman"/>
          <w:b/>
          <w:color w:val="003366"/>
          <w:sz w:val="24"/>
        </w:rPr>
        <w:t>Chapter 26 — Observability, Monitoring &amp; Log Management (CloudWatch &amp; Prometheus)</w:t>
      </w:r>
    </w:p>
    <w:p>
      <w:pPr>
        <w:spacing w:line="276" w:lineRule="auto" w:after="80"/>
        <w:jc w:val="both"/>
      </w:pPr>
      <w:r>
        <w:rPr>
          <w:rFonts w:ascii="Times New Roman" w:hAnsi="Times New Roman"/>
          <w:sz w:val="20"/>
        </w:rPr>
        <w:t>The platform implements full-stack observability: Prometheus scrapes HTTP request counters and latency histograms from `/metrics`, Grafana visualizes dashboard charts (`monitoring/grafana-dashboard.json`), and CloudWatch collects structured JSON logs.</w:t>
      </w:r>
    </w:p>
    <w:p>
      <w:pPr>
        <w:keepNext/>
        <w:spacing w:before="320" w:after="120"/>
      </w:pPr>
      <w:r>
        <w:rPr>
          <w:rFonts w:ascii="Times New Roman" w:hAnsi="Times New Roman"/>
          <w:b/>
          <w:color w:val="003366"/>
          <w:sz w:val="24"/>
        </w:rPr>
        <w:t>Chapter 27 — Autoscaling &amp; Availability Architecture (HPA &amp; PDB)</w:t>
      </w:r>
    </w:p>
    <w:p>
      <w:pPr>
        <w:spacing w:line="276" w:lineRule="auto" w:after="80"/>
        <w:jc w:val="both"/>
      </w:pPr>
      <w:r>
        <w:rPr>
          <w:rFonts w:ascii="Times New Roman" w:hAnsi="Times New Roman"/>
          <w:sz w:val="20"/>
        </w:rPr>
        <w:t>Horizontal Pod Autoscaler (HPA) automatically adjusts pod replica count from 2 to 15 pods based on CPU (75%) and Memory (80%) targets, while Pod Disruption Budget (PDB) guarantees `minAvailable: 2` pods during cluster maintenance.</w:t>
      </w:r>
    </w:p>
    <w:p>
      <w:pPr>
        <w:keepNext/>
        <w:spacing w:before="320" w:after="120"/>
      </w:pPr>
      <w:r>
        <w:rPr>
          <w:rFonts w:ascii="Times New Roman" w:hAnsi="Times New Roman"/>
          <w:b/>
          <w:color w:val="003366"/>
          <w:sz w:val="24"/>
        </w:rPr>
        <w:t>Chapter 28 — DevSecOps Security Architecture &amp; Scanners</w:t>
      </w:r>
    </w:p>
    <w:p>
      <w:pPr>
        <w:spacing w:line="276" w:lineRule="auto" w:after="80"/>
        <w:jc w:val="both"/>
      </w:pPr>
      <w:r>
        <w:rPr>
          <w:rFonts w:ascii="Times New Roman" w:hAnsi="Times New Roman"/>
          <w:sz w:val="20"/>
        </w:rPr>
        <w:t>DevSecOps controls are embedded into every layer: non-root UID `10001` container contexts, read-only root filesystems, dropped Linux capabilities, strict NetworkPolicy egress rules, and automated vulnerability scanners (Gitleaks, Bandit, Trivy, TFSec).</w:t>
      </w:r>
    </w:p>
    <w:p>
      <w:pPr>
        <w:keepNext/>
        <w:spacing w:before="320" w:after="120"/>
      </w:pPr>
      <w:r>
        <w:rPr>
          <w:rFonts w:ascii="Times New Roman" w:hAnsi="Times New Roman"/>
          <w:b/>
          <w:color w:val="003366"/>
          <w:sz w:val="24"/>
        </w:rPr>
        <w:t>Chapter 29 — Multi-Environment Governance (Dev, Staging, Production)</w:t>
      </w:r>
    </w:p>
    <w:tbl>
      <w:tblPr>
        <w:tblW w:type="auto" w:w="0"/>
        <w:jc w:val="center"/>
        <w:tblLook w:firstColumn="1" w:firstRow="1" w:lastColumn="0" w:lastRow="0" w:noHBand="0" w:noVBand="1" w:val="04A0"/>
      </w:tblPr>
      <w:tblGrid>
        <w:gridCol w:w="2257"/>
        <w:gridCol w:w="2257"/>
        <w:gridCol w:w="2257"/>
        <w:gridCol w:w="2257"/>
      </w:tblGrid>
      <w:tr>
        <w:tc>
          <w:tcPr>
            <w:tcW w:type="dxa" w:w="2257"/>
            <w:shd w:fill="003366"/>
            <w:tcMar>
              <w:top w:w="100" w:type="dxa"/>
              <w:bottom w:w="100" w:type="dxa"/>
              <w:left w:w="120" w:type="dxa"/>
              <w:right w:w="120" w:type="dxa"/>
            </w:tcMar>
          </w:tcPr>
          <w:p>
            <w:pPr>
              <w:spacing w:after="0"/>
              <w:jc w:val="left"/>
            </w:pPr>
            <w:r>
              <w:rPr>
                <w:rFonts w:ascii="Times New Roman" w:hAnsi="Times New Roman"/>
                <w:b/>
                <w:color w:val="FFFFFF"/>
                <w:sz w:val="19"/>
              </w:rPr>
              <w:t>Governance Dimension</w:t>
            </w:r>
          </w:p>
        </w:tc>
        <w:tc>
          <w:tcPr>
            <w:tcW w:type="dxa" w:w="2257"/>
            <w:shd w:fill="003366"/>
            <w:tcMar>
              <w:top w:w="100" w:type="dxa"/>
              <w:bottom w:w="100" w:type="dxa"/>
              <w:left w:w="120" w:type="dxa"/>
              <w:right w:w="120" w:type="dxa"/>
            </w:tcMar>
          </w:tcPr>
          <w:p>
            <w:pPr>
              <w:spacing w:after="0"/>
              <w:jc w:val="left"/>
            </w:pPr>
            <w:r>
              <w:rPr>
                <w:rFonts w:ascii="Times New Roman" w:hAnsi="Times New Roman"/>
                <w:b/>
                <w:color w:val="FFFFFF"/>
                <w:sz w:val="19"/>
              </w:rPr>
              <w:t>Development (DEV)</w:t>
            </w:r>
          </w:p>
        </w:tc>
        <w:tc>
          <w:tcPr>
            <w:tcW w:type="dxa" w:w="2257"/>
            <w:shd w:fill="003366"/>
            <w:tcMar>
              <w:top w:w="100" w:type="dxa"/>
              <w:bottom w:w="100" w:type="dxa"/>
              <w:left w:w="120" w:type="dxa"/>
              <w:right w:w="120" w:type="dxa"/>
            </w:tcMar>
          </w:tcPr>
          <w:p>
            <w:pPr>
              <w:spacing w:after="0"/>
              <w:jc w:val="left"/>
            </w:pPr>
            <w:r>
              <w:rPr>
                <w:rFonts w:ascii="Times New Roman" w:hAnsi="Times New Roman"/>
                <w:b/>
                <w:color w:val="FFFFFF"/>
                <w:sz w:val="19"/>
              </w:rPr>
              <w:t>Staging (STAGING)</w:t>
            </w:r>
          </w:p>
        </w:tc>
        <w:tc>
          <w:tcPr>
            <w:tcW w:type="dxa" w:w="2257"/>
            <w:shd w:fill="003366"/>
            <w:tcMar>
              <w:top w:w="100" w:type="dxa"/>
              <w:bottom w:w="100" w:type="dxa"/>
              <w:left w:w="120" w:type="dxa"/>
              <w:right w:w="120" w:type="dxa"/>
            </w:tcMar>
          </w:tcPr>
          <w:p>
            <w:pPr>
              <w:spacing w:after="0"/>
              <w:jc w:val="left"/>
            </w:pPr>
            <w:r>
              <w:rPr>
                <w:rFonts w:ascii="Times New Roman" w:hAnsi="Times New Roman"/>
                <w:b/>
                <w:color w:val="FFFFFF"/>
                <w:sz w:val="19"/>
              </w:rPr>
              <w:t>Production (PRODUCTION)</w:t>
            </w:r>
          </w:p>
        </w:tc>
      </w:tr>
      <w:tr>
        <w:tc>
          <w:tcPr>
            <w:tcW w:type="dxa" w:w="2257"/>
            <w:shd w:fill="FFFFFF"/>
            <w:tcMar>
              <w:top w:w="80" w:type="dxa"/>
              <w:bottom w:w="80" w:type="dxa"/>
              <w:left w:w="120" w:type="dxa"/>
              <w:right w:w="120" w:type="dxa"/>
            </w:tcMar>
          </w:tcPr>
          <w:p>
            <w:pPr>
              <w:spacing w:after="0"/>
              <w:jc w:val="left"/>
            </w:pPr>
            <w:r>
              <w:rPr>
                <w:rFonts w:ascii="Times New Roman" w:hAnsi="Times New Roman"/>
                <w:color w:val="222222"/>
                <w:sz w:val="18"/>
              </w:rPr>
              <w:t>Kubernetes Replicas</w:t>
            </w:r>
          </w:p>
        </w:tc>
        <w:tc>
          <w:tcPr>
            <w:tcW w:type="dxa" w:w="2257"/>
            <w:shd w:fill="FFFFFF"/>
            <w:tcMar>
              <w:top w:w="80" w:type="dxa"/>
              <w:bottom w:w="80" w:type="dxa"/>
              <w:left w:w="120" w:type="dxa"/>
              <w:right w:w="120" w:type="dxa"/>
            </w:tcMar>
          </w:tcPr>
          <w:p>
            <w:pPr>
              <w:spacing w:after="0"/>
              <w:jc w:val="left"/>
            </w:pPr>
            <w:r>
              <w:rPr>
                <w:rFonts w:ascii="Times New Roman" w:hAnsi="Times New Roman"/>
                <w:color w:val="222222"/>
                <w:sz w:val="18"/>
              </w:rPr>
              <w:t>2 Pods</w:t>
            </w:r>
          </w:p>
        </w:tc>
        <w:tc>
          <w:tcPr>
            <w:tcW w:type="dxa" w:w="2257"/>
            <w:shd w:fill="FFFFFF"/>
            <w:tcMar>
              <w:top w:w="80" w:type="dxa"/>
              <w:bottom w:w="80" w:type="dxa"/>
              <w:left w:w="120" w:type="dxa"/>
              <w:right w:w="120" w:type="dxa"/>
            </w:tcMar>
          </w:tcPr>
          <w:p>
            <w:pPr>
              <w:spacing w:after="0"/>
              <w:jc w:val="left"/>
            </w:pPr>
            <w:r>
              <w:rPr>
                <w:rFonts w:ascii="Times New Roman" w:hAnsi="Times New Roman"/>
                <w:color w:val="222222"/>
                <w:sz w:val="18"/>
              </w:rPr>
              <w:t>2 Pods</w:t>
            </w:r>
          </w:p>
        </w:tc>
        <w:tc>
          <w:tcPr>
            <w:tcW w:type="dxa" w:w="2257"/>
            <w:shd w:fill="FFFFFF"/>
            <w:tcMar>
              <w:top w:w="80" w:type="dxa"/>
              <w:bottom w:w="80" w:type="dxa"/>
              <w:left w:w="120" w:type="dxa"/>
              <w:right w:w="120" w:type="dxa"/>
            </w:tcMar>
          </w:tcPr>
          <w:p>
            <w:pPr>
              <w:spacing w:after="0"/>
              <w:jc w:val="left"/>
            </w:pPr>
            <w:r>
              <w:rPr>
                <w:rFonts w:ascii="Times New Roman" w:hAnsi="Times New Roman"/>
                <w:color w:val="222222"/>
                <w:sz w:val="18"/>
              </w:rPr>
              <w:t>4 to 15 Pods (HPA Auto-scaling)</w:t>
            </w:r>
          </w:p>
        </w:tc>
      </w:tr>
      <w:tr>
        <w:tc>
          <w:tcPr>
            <w:tcW w:type="dxa" w:w="2257"/>
            <w:shd w:fill="F9FAFC"/>
            <w:tcMar>
              <w:top w:w="80" w:type="dxa"/>
              <w:bottom w:w="80" w:type="dxa"/>
              <w:left w:w="120" w:type="dxa"/>
              <w:right w:w="120" w:type="dxa"/>
            </w:tcMar>
          </w:tcPr>
          <w:p>
            <w:pPr>
              <w:spacing w:after="0"/>
              <w:jc w:val="left"/>
            </w:pPr>
            <w:r>
              <w:rPr>
                <w:rFonts w:ascii="Times New Roman" w:hAnsi="Times New Roman"/>
                <w:color w:val="222222"/>
                <w:sz w:val="18"/>
              </w:rPr>
              <w:t>RDS Sizing</w:t>
            </w:r>
          </w:p>
        </w:tc>
        <w:tc>
          <w:tcPr>
            <w:tcW w:type="dxa" w:w="2257"/>
            <w:shd w:fill="F9FAFC"/>
            <w:tcMar>
              <w:top w:w="80" w:type="dxa"/>
              <w:bottom w:w="80" w:type="dxa"/>
              <w:left w:w="120" w:type="dxa"/>
              <w:right w:w="120" w:type="dxa"/>
            </w:tcMar>
          </w:tcPr>
          <w:p>
            <w:pPr>
              <w:spacing w:after="0"/>
              <w:jc w:val="left"/>
            </w:pPr>
            <w:r>
              <w:rPr>
                <w:rFonts w:ascii="Times New Roman" w:hAnsi="Times New Roman"/>
                <w:color w:val="222222"/>
                <w:sz w:val="18"/>
              </w:rPr>
              <w:t>db.t4g.micro (Single-AZ)</w:t>
            </w:r>
          </w:p>
        </w:tc>
        <w:tc>
          <w:tcPr>
            <w:tcW w:type="dxa" w:w="2257"/>
            <w:shd w:fill="F9FAFC"/>
            <w:tcMar>
              <w:top w:w="80" w:type="dxa"/>
              <w:bottom w:w="80" w:type="dxa"/>
              <w:left w:w="120" w:type="dxa"/>
              <w:right w:w="120" w:type="dxa"/>
            </w:tcMar>
          </w:tcPr>
          <w:p>
            <w:pPr>
              <w:spacing w:after="0"/>
              <w:jc w:val="left"/>
            </w:pPr>
            <w:r>
              <w:rPr>
                <w:rFonts w:ascii="Times New Roman" w:hAnsi="Times New Roman"/>
                <w:color w:val="222222"/>
                <w:sz w:val="18"/>
              </w:rPr>
              <w:t>db.t4g.small (Single-AZ)</w:t>
            </w:r>
          </w:p>
        </w:tc>
        <w:tc>
          <w:tcPr>
            <w:tcW w:type="dxa" w:w="2257"/>
            <w:shd w:fill="F9FAFC"/>
            <w:tcMar>
              <w:top w:w="80" w:type="dxa"/>
              <w:bottom w:w="80" w:type="dxa"/>
              <w:left w:w="120" w:type="dxa"/>
              <w:right w:w="120" w:type="dxa"/>
            </w:tcMar>
          </w:tcPr>
          <w:p>
            <w:pPr>
              <w:spacing w:after="0"/>
              <w:jc w:val="left"/>
            </w:pPr>
            <w:r>
              <w:rPr>
                <w:rFonts w:ascii="Times New Roman" w:hAnsi="Times New Roman"/>
                <w:color w:val="222222"/>
                <w:sz w:val="18"/>
              </w:rPr>
              <w:t>db.m6g.large (Multi-AZ High Availability)</w:t>
            </w:r>
          </w:p>
        </w:tc>
      </w:tr>
      <w:tr>
        <w:tc>
          <w:tcPr>
            <w:tcW w:type="dxa" w:w="2257"/>
            <w:shd w:fill="FFFFFF"/>
            <w:tcMar>
              <w:top w:w="80" w:type="dxa"/>
              <w:bottom w:w="80" w:type="dxa"/>
              <w:left w:w="120" w:type="dxa"/>
              <w:right w:w="120" w:type="dxa"/>
            </w:tcMar>
          </w:tcPr>
          <w:p>
            <w:pPr>
              <w:spacing w:after="0"/>
              <w:jc w:val="left"/>
            </w:pPr>
            <w:r>
              <w:rPr>
                <w:rFonts w:ascii="Times New Roman" w:hAnsi="Times New Roman"/>
                <w:color w:val="222222"/>
                <w:sz w:val="18"/>
              </w:rPr>
              <w:t>Redis Sizing</w:t>
            </w:r>
          </w:p>
        </w:tc>
        <w:tc>
          <w:tcPr>
            <w:tcW w:type="dxa" w:w="2257"/>
            <w:shd w:fill="FFFFFF"/>
            <w:tcMar>
              <w:top w:w="80" w:type="dxa"/>
              <w:bottom w:w="80" w:type="dxa"/>
              <w:left w:w="120" w:type="dxa"/>
              <w:right w:w="120" w:type="dxa"/>
            </w:tcMar>
          </w:tcPr>
          <w:p>
            <w:pPr>
              <w:spacing w:after="0"/>
              <w:jc w:val="left"/>
            </w:pPr>
            <w:r>
              <w:rPr>
                <w:rFonts w:ascii="Times New Roman" w:hAnsi="Times New Roman"/>
                <w:color w:val="222222"/>
                <w:sz w:val="18"/>
              </w:rPr>
              <w:t>cache.t4g.micro</w:t>
            </w:r>
          </w:p>
        </w:tc>
        <w:tc>
          <w:tcPr>
            <w:tcW w:type="dxa" w:w="2257"/>
            <w:shd w:fill="FFFFFF"/>
            <w:tcMar>
              <w:top w:w="80" w:type="dxa"/>
              <w:bottom w:w="80" w:type="dxa"/>
              <w:left w:w="120" w:type="dxa"/>
              <w:right w:w="120" w:type="dxa"/>
            </w:tcMar>
          </w:tcPr>
          <w:p>
            <w:pPr>
              <w:spacing w:after="0"/>
              <w:jc w:val="left"/>
            </w:pPr>
            <w:r>
              <w:rPr>
                <w:rFonts w:ascii="Times New Roman" w:hAnsi="Times New Roman"/>
                <w:color w:val="222222"/>
                <w:sz w:val="18"/>
              </w:rPr>
              <w:t>cache.t4g.micro</w:t>
            </w:r>
          </w:p>
        </w:tc>
        <w:tc>
          <w:tcPr>
            <w:tcW w:type="dxa" w:w="2257"/>
            <w:shd w:fill="FFFFFF"/>
            <w:tcMar>
              <w:top w:w="80" w:type="dxa"/>
              <w:bottom w:w="80" w:type="dxa"/>
              <w:left w:w="120" w:type="dxa"/>
              <w:right w:w="120" w:type="dxa"/>
            </w:tcMar>
          </w:tcPr>
          <w:p>
            <w:pPr>
              <w:spacing w:after="0"/>
              <w:jc w:val="left"/>
            </w:pPr>
            <w:r>
              <w:rPr>
                <w:rFonts w:ascii="Times New Roman" w:hAnsi="Times New Roman"/>
                <w:color w:val="222222"/>
                <w:sz w:val="18"/>
              </w:rPr>
              <w:t>cache.m6g.large</w:t>
            </w:r>
          </w:p>
        </w:tc>
      </w:tr>
      <w:tr>
        <w:tc>
          <w:tcPr>
            <w:tcW w:type="dxa" w:w="2257"/>
            <w:shd w:fill="F9FAFC"/>
            <w:tcMar>
              <w:top w:w="80" w:type="dxa"/>
              <w:bottom w:w="80" w:type="dxa"/>
              <w:left w:w="120" w:type="dxa"/>
              <w:right w:w="120" w:type="dxa"/>
            </w:tcMar>
          </w:tcPr>
          <w:p>
            <w:pPr>
              <w:spacing w:after="0"/>
              <w:jc w:val="left"/>
            </w:pPr>
            <w:r>
              <w:rPr>
                <w:rFonts w:ascii="Times New Roman" w:hAnsi="Times New Roman"/>
                <w:color w:val="222222"/>
                <w:sz w:val="18"/>
              </w:rPr>
              <w:t>Approval Requirements</w:t>
            </w:r>
          </w:p>
        </w:tc>
        <w:tc>
          <w:tcPr>
            <w:tcW w:type="dxa" w:w="2257"/>
            <w:shd w:fill="F9FAFC"/>
            <w:tcMar>
              <w:top w:w="80" w:type="dxa"/>
              <w:bottom w:w="80" w:type="dxa"/>
              <w:left w:w="120" w:type="dxa"/>
              <w:right w:w="120" w:type="dxa"/>
            </w:tcMar>
          </w:tcPr>
          <w:p>
            <w:pPr>
              <w:spacing w:after="0"/>
              <w:jc w:val="left"/>
            </w:pPr>
            <w:r>
              <w:rPr>
                <w:rFonts w:ascii="Times New Roman" w:hAnsi="Times New Roman"/>
                <w:color w:val="222222"/>
                <w:sz w:val="18"/>
              </w:rPr>
              <w:t>Automated deployment on push</w:t>
            </w:r>
          </w:p>
        </w:tc>
        <w:tc>
          <w:tcPr>
            <w:tcW w:type="dxa" w:w="2257"/>
            <w:shd w:fill="F9FAFC"/>
            <w:tcMar>
              <w:top w:w="80" w:type="dxa"/>
              <w:bottom w:w="80" w:type="dxa"/>
              <w:left w:w="120" w:type="dxa"/>
              <w:right w:w="120" w:type="dxa"/>
            </w:tcMar>
          </w:tcPr>
          <w:p>
            <w:pPr>
              <w:spacing w:after="0"/>
              <w:jc w:val="left"/>
            </w:pPr>
            <w:r>
              <w:rPr>
                <w:rFonts w:ascii="Times New Roman" w:hAnsi="Times New Roman"/>
                <w:color w:val="222222"/>
                <w:sz w:val="18"/>
              </w:rPr>
              <w:t>Automated deploy on release tag</w:t>
            </w:r>
          </w:p>
        </w:tc>
        <w:tc>
          <w:tcPr>
            <w:tcW w:type="dxa" w:w="2257"/>
            <w:shd w:fill="F9FAFC"/>
            <w:tcMar>
              <w:top w:w="80" w:type="dxa"/>
              <w:bottom w:w="80" w:type="dxa"/>
              <w:left w:w="120" w:type="dxa"/>
              <w:right w:w="120" w:type="dxa"/>
            </w:tcMar>
          </w:tcPr>
          <w:p>
            <w:pPr>
              <w:spacing w:after="0"/>
              <w:jc w:val="left"/>
            </w:pPr>
            <w:r>
              <w:rPr>
                <w:rFonts w:ascii="Times New Roman" w:hAnsi="Times New Roman"/>
                <w:color w:val="222222"/>
                <w:sz w:val="18"/>
              </w:rPr>
              <w:t>Manual Reviewer Approval Gate required</w:t>
            </w:r>
          </w:p>
        </w:tc>
      </w:tr>
    </w:tbl>
    <w:p>
      <w:pPr>
        <w:spacing w:after="80"/>
      </w:pPr>
    </w:p>
    <w:p>
      <w:pPr>
        <w:keepNext/>
        <w:spacing w:before="320" w:after="120"/>
      </w:pPr>
      <w:r>
        <w:rPr>
          <w:rFonts w:ascii="Times New Roman" w:hAnsi="Times New Roman"/>
          <w:b/>
          <w:color w:val="003366"/>
          <w:sz w:val="24"/>
        </w:rPr>
        <w:t>Chapter 30 — Disaster Recovery, RPO/RTO &amp; Backup Strategies</w:t>
      </w:r>
    </w:p>
    <w:p>
      <w:pPr>
        <w:spacing w:line="276" w:lineRule="auto" w:after="80"/>
        <w:jc w:val="both"/>
      </w:pPr>
      <w:r>
        <w:rPr>
          <w:rFonts w:ascii="Times New Roman" w:hAnsi="Times New Roman"/>
          <w:sz w:val="20"/>
        </w:rPr>
        <w:t>Disaster recovery controls guarantee an RPO &lt; 15 minutes and RTO &lt; 1 hour through automated RDS point-in-time recovery, S3 object versioning, and the automated `scripts/disaster_recovery.sh` backup and restore script.</w:t>
      </w:r>
    </w:p>
    <w:p>
      <w:pPr>
        <w:keepNext/>
        <w:spacing w:before="320" w:after="120"/>
      </w:pPr>
      <w:r>
        <w:rPr>
          <w:rFonts w:ascii="Times New Roman" w:hAnsi="Times New Roman"/>
          <w:b/>
          <w:color w:val="003366"/>
          <w:sz w:val="24"/>
        </w:rPr>
        <w:t>Chapter 31 — Automated Testing &amp; Verification Suite</w:t>
      </w:r>
    </w:p>
    <w:p>
      <w:pPr>
        <w:spacing w:line="276" w:lineRule="auto" w:after="80"/>
        <w:jc w:val="both"/>
      </w:pPr>
      <w:r>
        <w:rPr>
          <w:rFonts w:ascii="Times New Roman" w:hAnsi="Times New Roman"/>
          <w:sz w:val="20"/>
        </w:rPr>
        <w:t>Testing includes Pytest unit/integration test suites (`tests/`), post-deployment smoke tests (`scripts/smoke_test.sh`), and deep health validation (`scripts/health_check.py`).</w:t>
      </w:r>
    </w:p>
    <w:p>
      <w:pPr>
        <w:keepNext/>
        <w:spacing w:before="320" w:after="120"/>
      </w:pPr>
      <w:r>
        <w:rPr>
          <w:rFonts w:ascii="Times New Roman" w:hAnsi="Times New Roman"/>
          <w:b/>
          <w:color w:val="003366"/>
          <w:sz w:val="24"/>
        </w:rPr>
        <w:t>Chapter 32 — Operational Troubleshooting Manual</w:t>
      </w:r>
    </w:p>
    <w:p>
      <w:pPr>
        <w:spacing w:line="276" w:lineRule="auto" w:after="80"/>
        <w:jc w:val="both"/>
      </w:pPr>
      <w:r>
        <w:rPr>
          <w:rFonts w:ascii="Times New Roman" w:hAnsi="Times New Roman"/>
          <w:sz w:val="20"/>
        </w:rPr>
        <w:t>Comprehensive troubleshooting procedures for common cloud and Kubernetes incidents:</w:t>
      </w:r>
    </w:p>
    <w:p>
      <w:pPr>
        <w:pStyle w:val="ListBullet"/>
        <w:spacing w:line="276" w:lineRule="auto" w:after="60"/>
        <w:jc w:val="left"/>
      </w:pPr>
      <w:r>
        <w:rPr>
          <w:rFonts w:ascii="Times New Roman" w:hAnsi="Times New Roman"/>
          <w:b/>
          <w:sz w:val="20"/>
        </w:rPr>
        <w:t xml:space="preserve">CrashLoopBackOff: </w:t>
      </w:r>
      <w:r>
        <w:rPr>
          <w:rFonts w:ascii="Times New Roman" w:hAnsi="Times New Roman"/>
          <w:sz w:val="20"/>
        </w:rPr>
        <w:t>Run 'kubectl logs -n gdp-production -l app=gdp-prediction-app' and check database connection strings.</w:t>
      </w:r>
    </w:p>
    <w:p>
      <w:pPr>
        <w:pStyle w:val="ListBullet"/>
        <w:spacing w:line="276" w:lineRule="auto" w:after="60"/>
        <w:jc w:val="left"/>
      </w:pPr>
      <w:r>
        <w:rPr>
          <w:rFonts w:ascii="Times New Roman" w:hAnsi="Times New Roman"/>
          <w:b/>
          <w:sz w:val="20"/>
        </w:rPr>
        <w:t xml:space="preserve">ImagePullBackOff: </w:t>
      </w:r>
      <w:r>
        <w:rPr>
          <w:rFonts w:ascii="Times New Roman" w:hAnsi="Times New Roman"/>
          <w:sz w:val="20"/>
        </w:rPr>
        <w:t>Verify ECR image tag exists and verify EKS Worker Node IAM permissions.</w:t>
      </w:r>
    </w:p>
    <w:p>
      <w:pPr>
        <w:pStyle w:val="ListBullet"/>
        <w:spacing w:line="276" w:lineRule="auto" w:after="60"/>
        <w:jc w:val="left"/>
      </w:pPr>
      <w:r>
        <w:rPr>
          <w:rFonts w:ascii="Times New Roman" w:hAnsi="Times New Roman"/>
          <w:b/>
          <w:sz w:val="20"/>
        </w:rPr>
        <w:t xml:space="preserve">Terraform State Lock: </w:t>
      </w:r>
      <w:r>
        <w:rPr>
          <w:rFonts w:ascii="Times New Roman" w:hAnsi="Times New Roman"/>
          <w:sz w:val="20"/>
        </w:rPr>
        <w:t>Run 'terraform force-unlock &lt;LOCK_ID&gt;' to release stale DynamoDB locks.</w:t>
      </w:r>
    </w:p>
    <w:p>
      <w:pPr>
        <w:keepNext/>
        <w:spacing w:before="320" w:after="120"/>
      </w:pPr>
      <w:r>
        <w:rPr>
          <w:rFonts w:ascii="Times New Roman" w:hAnsi="Times New Roman"/>
          <w:b/>
          <w:color w:val="003366"/>
          <w:sz w:val="24"/>
        </w:rPr>
        <w:t>Chapter 33 — AWS Cost Optimization &amp; Cleanup Procedures</w:t>
      </w:r>
    </w:p>
    <w:p>
      <w:pPr>
        <w:spacing w:line="276" w:lineRule="auto" w:after="80"/>
        <w:jc w:val="both"/>
      </w:pPr>
      <w:r>
        <w:rPr>
          <w:rFonts w:ascii="Times New Roman" w:hAnsi="Times New Roman"/>
          <w:sz w:val="20"/>
        </w:rPr>
        <w:t>Cost optimization strategies include spot instances for non-prod node groups, Graviton t4g instance types, and ECR lifecycle policies expiring tagged images past 30 builds. Run `make destroy` to teardown dev infrastructure.</w:t>
      </w:r>
    </w:p>
    <w:p>
      <w:pPr>
        <w:keepNext/>
        <w:spacing w:before="320" w:after="120"/>
      </w:pPr>
      <w:r>
        <w:rPr>
          <w:rFonts w:ascii="Times New Roman" w:hAnsi="Times New Roman"/>
          <w:b/>
          <w:color w:val="003366"/>
          <w:sz w:val="24"/>
        </w:rPr>
        <w:t>Chapter 34 — Complete Step-by-Step Installation &amp; Setup Manual</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 1. Clone Repository</w:t>
              <w:br/>
              <w:t>git clone https://github.com/someshtarra/TERRAFORM.git &amp;&amp; cd TERRAFORM</w:t>
              <w:br/>
              <w:br/>
              <w:t># 2. Configure AWS CLI</w:t>
              <w:br/>
              <w:t>aws configure</w:t>
              <w:br/>
              <w:br/>
              <w:t># 3. Run Bootstrap (Creates S3 State Bucket &amp; DynamoDB Lock Table)</w:t>
              <w:br/>
              <w:t>make bootstrap</w:t>
              <w:br/>
              <w:br/>
              <w:t># 4. Initialize &amp; Apply Terraform Infrastructure</w:t>
              <w:br/>
              <w:t>cp terraform.tfvars.example terraform.tfvars</w:t>
              <w:br/>
              <w:t>make init &amp;&amp; make plan &amp;&amp; make apply</w:t>
            </w:r>
          </w:p>
        </w:tc>
      </w:tr>
    </w:tbl>
    <w:p>
      <w:pPr>
        <w:spacing w:after="80"/>
      </w:pPr>
    </w:p>
    <w:p>
      <w:pPr>
        <w:keepNext/>
        <w:spacing w:before="320" w:after="120"/>
      </w:pPr>
      <w:r>
        <w:rPr>
          <w:rFonts w:ascii="Times New Roman" w:hAnsi="Times New Roman"/>
          <w:b/>
          <w:color w:val="003366"/>
          <w:sz w:val="24"/>
        </w:rPr>
        <w:t>Chapter 35 — Production Deployment Walkthrough</w:t>
      </w:r>
    </w:p>
    <w:p>
      <w:pPr>
        <w:spacing w:line="276" w:lineRule="auto" w:after="80"/>
        <w:jc w:val="both"/>
      </w:pPr>
      <w:r>
        <w:rPr>
          <w:rFonts w:ascii="Times New Roman" w:hAnsi="Times New Roman"/>
          <w:sz w:val="20"/>
        </w:rPr>
        <w:t>After `make apply` completes, update your local kubeconfig and verify EKS cluster nodes:</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aws eks update-kubeconfig --region us-east-1 --name gdp-eks-production</w:t>
              <w:br/>
              <w:t>kubectl get nodes</w:t>
              <w:br/>
              <w:t>kubectl get pods -n gdp-production</w:t>
            </w:r>
          </w:p>
        </w:tc>
      </w:tr>
    </w:tbl>
    <w:p>
      <w:pPr>
        <w:spacing w:after="80"/>
      </w:pPr>
    </w:p>
    <w:p>
      <w:pPr>
        <w:keepNext/>
        <w:spacing w:before="320" w:after="120"/>
      </w:pPr>
      <w:r>
        <w:rPr>
          <w:rFonts w:ascii="Times New Roman" w:hAnsi="Times New Roman"/>
          <w:b/>
          <w:color w:val="003366"/>
          <w:sz w:val="24"/>
        </w:rPr>
        <w:t>Chapter 36 — Application &amp; Infrastructure Rollback Procedures</w:t>
      </w:r>
    </w:p>
    <w:p>
      <w:pPr>
        <w:spacing w:line="276" w:lineRule="auto" w:after="80"/>
        <w:jc w:val="both"/>
      </w:pPr>
      <w:r>
        <w:rPr>
          <w:rFonts w:ascii="Times New Roman" w:hAnsi="Times New Roman"/>
          <w:sz w:val="20"/>
        </w:rPr>
        <w:t>If a production application deployment fails, execute instant Helm rollback to revert to the previous revision:</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helm rollback gdp-app-prod 0 --namespace gdp-production</w:t>
            </w:r>
          </w:p>
        </w:tc>
      </w:tr>
    </w:tbl>
    <w:p>
      <w:pPr>
        <w:spacing w:after="80"/>
      </w:pPr>
    </w:p>
    <w:p>
      <w:pPr>
        <w:keepNext/>
        <w:spacing w:before="320" w:after="120"/>
      </w:pPr>
      <w:r>
        <w:rPr>
          <w:rFonts w:ascii="Times New Roman" w:hAnsi="Times New Roman"/>
          <w:b/>
          <w:color w:val="003366"/>
          <w:sz w:val="24"/>
        </w:rPr>
        <w:t>Chapter 37 — Day-to-Day Operations Runbook</w:t>
      </w:r>
    </w:p>
    <w:p>
      <w:pPr>
        <w:pStyle w:val="ListBullet"/>
        <w:spacing w:line="276" w:lineRule="auto" w:after="60"/>
        <w:jc w:val="left"/>
      </w:pPr>
      <w:r>
        <w:rPr>
          <w:rFonts w:ascii="Times New Roman" w:hAnsi="Times New Roman"/>
          <w:b/>
          <w:sz w:val="20"/>
        </w:rPr>
        <w:t xml:space="preserve">Daily Check 1: </w:t>
      </w:r>
      <w:r>
        <w:rPr>
          <w:rFonts w:ascii="Times New Roman" w:hAnsi="Times New Roman"/>
          <w:sz w:val="20"/>
        </w:rPr>
        <w:t>Monitor Pod Status: kubectl get pods -n gdp-production</w:t>
      </w:r>
    </w:p>
    <w:p>
      <w:pPr>
        <w:pStyle w:val="ListBullet"/>
        <w:spacing w:line="276" w:lineRule="auto" w:after="60"/>
        <w:jc w:val="left"/>
      </w:pPr>
      <w:r>
        <w:rPr>
          <w:rFonts w:ascii="Times New Roman" w:hAnsi="Times New Roman"/>
          <w:b/>
          <w:sz w:val="20"/>
        </w:rPr>
        <w:t xml:space="preserve">Daily Check 2: </w:t>
      </w:r>
      <w:r>
        <w:rPr>
          <w:rFonts w:ascii="Times New Roman" w:hAnsi="Times New Roman"/>
          <w:sz w:val="20"/>
        </w:rPr>
        <w:t>Check HPA Autoscaling: kubectl get hpa -n gdp-production</w:t>
      </w:r>
    </w:p>
    <w:p>
      <w:pPr>
        <w:pStyle w:val="ListBullet"/>
        <w:spacing w:line="276" w:lineRule="auto" w:after="60"/>
        <w:jc w:val="left"/>
      </w:pPr>
      <w:r>
        <w:rPr>
          <w:rFonts w:ascii="Times New Roman" w:hAnsi="Times New Roman"/>
          <w:b/>
          <w:sz w:val="20"/>
        </w:rPr>
        <w:t xml:space="preserve">Daily Check 3: </w:t>
      </w:r>
      <w:r>
        <w:rPr>
          <w:rFonts w:ascii="Times New Roman" w:hAnsi="Times New Roman"/>
          <w:sz w:val="20"/>
        </w:rPr>
        <w:t>Verify Grafana Dashboards: http://localhost:3000</w:t>
      </w:r>
    </w:p>
    <w:p>
      <w:pPr>
        <w:keepNext/>
        <w:spacing w:before="320" w:after="120"/>
      </w:pPr>
      <w:r>
        <w:rPr>
          <w:rFonts w:ascii="Times New Roman" w:hAnsi="Times New Roman"/>
          <w:b/>
          <w:color w:val="003366"/>
          <w:sz w:val="24"/>
        </w:rPr>
        <w:t>Chapter 38 — Expected Project Results &amp; Benefits</w:t>
      </w:r>
    </w:p>
    <w:p>
      <w:pPr>
        <w:pStyle w:val="ListBullet"/>
        <w:spacing w:line="276" w:lineRule="auto" w:after="60"/>
        <w:jc w:val="left"/>
      </w:pPr>
      <w:r>
        <w:rPr>
          <w:rFonts w:ascii="Times New Roman" w:hAnsi="Times New Roman"/>
          <w:b/>
          <w:sz w:val="20"/>
        </w:rPr>
        <w:t xml:space="preserve">Result 1: </w:t>
      </w:r>
      <w:r>
        <w:rPr>
          <w:rFonts w:ascii="Times New Roman" w:hAnsi="Times New Roman"/>
          <w:sz w:val="20"/>
        </w:rPr>
        <w:t>100% automated infrastructure provisioning via Terraform IaC.</w:t>
      </w:r>
    </w:p>
    <w:p>
      <w:pPr>
        <w:pStyle w:val="ListBullet"/>
        <w:spacing w:line="276" w:lineRule="auto" w:after="60"/>
        <w:jc w:val="left"/>
      </w:pPr>
      <w:r>
        <w:rPr>
          <w:rFonts w:ascii="Times New Roman" w:hAnsi="Times New Roman"/>
          <w:b/>
          <w:sz w:val="20"/>
        </w:rPr>
        <w:t xml:space="preserve">Result 2: </w:t>
      </w:r>
      <w:r>
        <w:rPr>
          <w:rFonts w:ascii="Times New Roman" w:hAnsi="Times New Roman"/>
          <w:sz w:val="20"/>
        </w:rPr>
        <w:t>Zero static AWS keys stored in GitHub Actions due to OIDC federated auth.</w:t>
      </w:r>
    </w:p>
    <w:p>
      <w:pPr>
        <w:pStyle w:val="ListBullet"/>
        <w:spacing w:line="276" w:lineRule="auto" w:after="60"/>
        <w:jc w:val="left"/>
      </w:pPr>
      <w:r>
        <w:rPr>
          <w:rFonts w:ascii="Times New Roman" w:hAnsi="Times New Roman"/>
          <w:b/>
          <w:sz w:val="20"/>
        </w:rPr>
        <w:t xml:space="preserve">Result 3: </w:t>
      </w:r>
      <w:r>
        <w:rPr>
          <w:rFonts w:ascii="Times New Roman" w:hAnsi="Times New Roman"/>
          <w:sz w:val="20"/>
        </w:rPr>
        <w:t>Zero-downtime rolling updates backed by HPA and PDB availability guarantees.</w:t>
      </w:r>
    </w:p>
    <w:p>
      <w:pPr>
        <w:keepNext/>
        <w:spacing w:before="320" w:after="120"/>
      </w:pPr>
      <w:r>
        <w:rPr>
          <w:rFonts w:ascii="Times New Roman" w:hAnsi="Times New Roman"/>
          <w:b/>
          <w:color w:val="003366"/>
          <w:sz w:val="24"/>
        </w:rPr>
        <w:t>Chapter 39 — Architectural Advantages &amp; Trade-Offs</w:t>
      </w:r>
    </w:p>
    <w:p>
      <w:pPr>
        <w:spacing w:line="276" w:lineRule="auto" w:after="80"/>
        <w:jc w:val="both"/>
      </w:pPr>
      <w:r>
        <w:rPr>
          <w:rFonts w:ascii="Times New Roman" w:hAnsi="Times New Roman"/>
          <w:sz w:val="20"/>
        </w:rPr>
        <w:t>The unified Terraform approach guarantees complete consistency across cloud infrastructure, container registries, Kubernetes workloads, and GitHub repository controls.</w:t>
      </w:r>
    </w:p>
    <w:p>
      <w:pPr>
        <w:keepNext/>
        <w:spacing w:before="320" w:after="120"/>
      </w:pPr>
      <w:r>
        <w:rPr>
          <w:rFonts w:ascii="Times New Roman" w:hAnsi="Times New Roman"/>
          <w:b/>
          <w:color w:val="003366"/>
          <w:sz w:val="24"/>
        </w:rPr>
        <w:t>Chapter 40 — System Limitations &amp; Constraints</w:t>
      </w:r>
    </w:p>
    <w:p>
      <w:pPr>
        <w:pStyle w:val="ListBullet"/>
        <w:spacing w:line="276" w:lineRule="auto" w:after="60"/>
        <w:jc w:val="left"/>
      </w:pPr>
      <w:r>
        <w:rPr>
          <w:rFonts w:ascii="Times New Roman" w:hAnsi="Times New Roman"/>
          <w:b/>
          <w:sz w:val="20"/>
        </w:rPr>
        <w:t xml:space="preserve">Limitation 1: </w:t>
      </w:r>
      <w:r>
        <w:rPr>
          <w:rFonts w:ascii="Times New Roman" w:hAnsi="Times New Roman"/>
          <w:sz w:val="20"/>
        </w:rPr>
        <w:t>AWS Cloud Dependency: Modules are tailored for AWS managed services.</w:t>
      </w:r>
    </w:p>
    <w:p>
      <w:pPr>
        <w:pStyle w:val="ListBullet"/>
        <w:spacing w:line="276" w:lineRule="auto" w:after="60"/>
        <w:jc w:val="left"/>
      </w:pPr>
      <w:r>
        <w:rPr>
          <w:rFonts w:ascii="Times New Roman" w:hAnsi="Times New Roman"/>
          <w:b/>
          <w:sz w:val="20"/>
        </w:rPr>
        <w:t xml:space="preserve">Limitation 2: </w:t>
      </w:r>
      <w:r>
        <w:rPr>
          <w:rFonts w:ascii="Times New Roman" w:hAnsi="Times New Roman"/>
          <w:sz w:val="20"/>
        </w:rPr>
        <w:t>Initial Bootstrap Step: Requires executing 'make bootstrap' prior to main terraform apply.</w:t>
      </w:r>
    </w:p>
    <w:p>
      <w:pPr>
        <w:keepNext/>
        <w:spacing w:before="320" w:after="120"/>
      </w:pPr>
      <w:r>
        <w:rPr>
          <w:rFonts w:ascii="Times New Roman" w:hAnsi="Times New Roman"/>
          <w:b/>
          <w:color w:val="003366"/>
          <w:sz w:val="24"/>
        </w:rPr>
        <w:t>Chapter 41 — Future Technical Enhancements</w:t>
      </w:r>
    </w:p>
    <w:p>
      <w:pPr>
        <w:pStyle w:val="ListBullet"/>
        <w:spacing w:line="276" w:lineRule="auto" w:after="60"/>
        <w:jc w:val="left"/>
      </w:pPr>
      <w:r>
        <w:rPr>
          <w:rFonts w:ascii="Times New Roman" w:hAnsi="Times New Roman"/>
          <w:b/>
          <w:sz w:val="20"/>
        </w:rPr>
        <w:t xml:space="preserve">Future Enhancement 1: </w:t>
      </w:r>
      <w:r>
        <w:rPr>
          <w:rFonts w:ascii="Times New Roman" w:hAnsi="Times New Roman"/>
          <w:sz w:val="20"/>
        </w:rPr>
        <w:t>Integration of Istio Service Mesh for mutual TLS (mTLS) pod encryption.</w:t>
      </w:r>
    </w:p>
    <w:p>
      <w:pPr>
        <w:pStyle w:val="ListBullet"/>
        <w:spacing w:line="276" w:lineRule="auto" w:after="60"/>
        <w:jc w:val="left"/>
      </w:pPr>
      <w:r>
        <w:rPr>
          <w:rFonts w:ascii="Times New Roman" w:hAnsi="Times New Roman"/>
          <w:b/>
          <w:sz w:val="20"/>
        </w:rPr>
        <w:t xml:space="preserve">Future Enhancement 2: </w:t>
      </w:r>
      <w:r>
        <w:rPr>
          <w:rFonts w:ascii="Times New Roman" w:hAnsi="Times New Roman"/>
          <w:sz w:val="20"/>
        </w:rPr>
        <w:t>Implementation of KEDA (Kubernetes Event-driven Autoscaling) for custom Prometheus metrics.</w:t>
      </w:r>
    </w:p>
    <w:p>
      <w:pPr>
        <w:keepNext/>
        <w:spacing w:before="320" w:after="120"/>
      </w:pPr>
      <w:r>
        <w:rPr>
          <w:rFonts w:ascii="Times New Roman" w:hAnsi="Times New Roman"/>
          <w:b/>
          <w:color w:val="003366"/>
          <w:sz w:val="24"/>
        </w:rPr>
        <w:t>Chapter 42 — Conclusion</w:t>
      </w:r>
    </w:p>
    <w:p>
      <w:pPr>
        <w:spacing w:line="276" w:lineRule="auto" w:after="80"/>
        <w:jc w:val="both"/>
      </w:pPr>
      <w:r>
        <w:rPr>
          <w:rFonts w:ascii="Times New Roman" w:hAnsi="Times New Roman"/>
          <w:sz w:val="20"/>
        </w:rPr>
        <w:t>The Infrastructure as Code based DevOps Platform demonstrates an enterprise-grade cloud architecture for deploying machine learning microservices. By utilizing Terraform as the single source of truth across AWS, Kubernetes, and GitHub, the platform delivers automated, secure, scalable, and reproducible deployments.</w:t>
      </w:r>
    </w:p>
    <w:p>
      <w:pPr>
        <w:keepNext/>
        <w:spacing w:before="320" w:after="120"/>
      </w:pPr>
      <w:r>
        <w:rPr>
          <w:rFonts w:ascii="Times New Roman" w:hAnsi="Times New Roman"/>
          <w:b/>
          <w:color w:val="003366"/>
          <w:sz w:val="24"/>
        </w:rPr>
        <w:t>Chapter 43 — Academic &amp; Industry References</w:t>
      </w:r>
    </w:p>
    <w:p>
      <w:pPr>
        <w:pStyle w:val="ListBullet"/>
        <w:spacing w:line="276" w:lineRule="auto" w:after="60"/>
        <w:jc w:val="left"/>
      </w:pPr>
      <w:r>
        <w:rPr>
          <w:rFonts w:ascii="Times New Roman" w:hAnsi="Times New Roman"/>
          <w:b/>
          <w:sz w:val="20"/>
        </w:rPr>
        <w:t xml:space="preserve">Reference 1: </w:t>
      </w:r>
      <w:r>
        <w:rPr>
          <w:rFonts w:ascii="Times New Roman" w:hAnsi="Times New Roman"/>
          <w:sz w:val="20"/>
        </w:rPr>
        <w:t>HashiCorp Terraform AWS &amp; GitHub Provider Documentation (2026). https://registry.terraform.io/</w:t>
      </w:r>
    </w:p>
    <w:p>
      <w:pPr>
        <w:pStyle w:val="ListBullet"/>
        <w:spacing w:line="276" w:lineRule="auto" w:after="60"/>
        <w:jc w:val="left"/>
      </w:pPr>
      <w:r>
        <w:rPr>
          <w:rFonts w:ascii="Times New Roman" w:hAnsi="Times New Roman"/>
          <w:b/>
          <w:sz w:val="20"/>
        </w:rPr>
        <w:t xml:space="preserve">Reference 2: </w:t>
      </w:r>
      <w:r>
        <w:rPr>
          <w:rFonts w:ascii="Times New Roman" w:hAnsi="Times New Roman"/>
          <w:sz w:val="20"/>
        </w:rPr>
        <w:t>Amazon Web Services. AWS EKS User Guide &amp; Security Best Practices (2026). https://docs.aws.amazon.com/eks/</w:t>
      </w:r>
    </w:p>
    <w:p>
      <w:pPr>
        <w:pStyle w:val="ListBullet"/>
        <w:spacing w:line="276" w:lineRule="auto" w:after="60"/>
        <w:jc w:val="left"/>
      </w:pPr>
      <w:r>
        <w:rPr>
          <w:rFonts w:ascii="Times New Roman" w:hAnsi="Times New Roman"/>
          <w:b/>
          <w:sz w:val="20"/>
        </w:rPr>
        <w:t xml:space="preserve">Reference 3: </w:t>
      </w:r>
      <w:r>
        <w:rPr>
          <w:rFonts w:ascii="Times New Roman" w:hAnsi="Times New Roman"/>
          <w:sz w:val="20"/>
        </w:rPr>
        <w:t>Kubernetes Documentation. Workloads, HPA, PDB &amp; NetworkPolicies (2026). https://kubernetes.io/docs/</w:t>
      </w:r>
    </w:p>
    <w:p>
      <w:pPr>
        <w:keepNext/>
        <w:spacing w:before="320" w:after="120"/>
      </w:pPr>
      <w:r>
        <w:rPr>
          <w:rFonts w:ascii="Times New Roman" w:hAnsi="Times New Roman"/>
          <w:b/>
          <w:color w:val="003366"/>
          <w:sz w:val="24"/>
        </w:rPr>
        <w:t>Appendix A — Terraform Command Reference</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make bootstrap</w:t>
              <w:br/>
              <w:t>make init</w:t>
              <w:br/>
              <w:t>make validate</w:t>
              <w:br/>
              <w:t>make plan</w:t>
              <w:br/>
              <w:t>make apply</w:t>
              <w:br/>
              <w:t>make destroy</w:t>
            </w:r>
          </w:p>
        </w:tc>
      </w:tr>
    </w:tbl>
    <w:p>
      <w:pPr>
        <w:spacing w:after="80"/>
      </w:pPr>
    </w:p>
    <w:p>
      <w:pPr>
        <w:keepNext/>
        <w:spacing w:before="320" w:after="120"/>
      </w:pPr>
      <w:r>
        <w:rPr>
          <w:rFonts w:ascii="Times New Roman" w:hAnsi="Times New Roman"/>
          <w:b/>
          <w:color w:val="003366"/>
          <w:sz w:val="24"/>
        </w:rPr>
        <w:t>Appendix B — AWS CLI Command Reference</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aws configure</w:t>
              <w:br/>
              <w:t>aws sts get-caller-identity</w:t>
              <w:br/>
              <w:t>aws eks update-kubeconfig --region us-east-1 --name gdp-eks-production</w:t>
            </w:r>
          </w:p>
        </w:tc>
      </w:tr>
    </w:tbl>
    <w:p>
      <w:pPr>
        <w:spacing w:after="80"/>
      </w:pPr>
    </w:p>
    <w:p>
      <w:pPr>
        <w:keepNext/>
        <w:spacing w:before="320" w:after="120"/>
      </w:pPr>
      <w:r>
        <w:rPr>
          <w:rFonts w:ascii="Times New Roman" w:hAnsi="Times New Roman"/>
          <w:b/>
          <w:color w:val="003366"/>
          <w:sz w:val="24"/>
        </w:rPr>
        <w:t>Appendix C — Kubernetes Kubectl Command Reference</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kubectl get nodes</w:t>
              <w:br/>
              <w:t>kubectl get pods -A</w:t>
              <w:br/>
              <w:t>kubectl get svc -n gdp-production</w:t>
              <w:br/>
              <w:t>kubectl get ingress -n gdp-production</w:t>
            </w:r>
          </w:p>
        </w:tc>
      </w:tr>
    </w:tbl>
    <w:p>
      <w:pPr>
        <w:spacing w:after="80"/>
      </w:pPr>
    </w:p>
    <w:p>
      <w:pPr>
        <w:keepNext/>
        <w:spacing w:before="320" w:after="120"/>
      </w:pPr>
      <w:r>
        <w:rPr>
          <w:rFonts w:ascii="Times New Roman" w:hAnsi="Times New Roman"/>
          <w:b/>
          <w:color w:val="003366"/>
          <w:sz w:val="24"/>
        </w:rPr>
        <w:t>Appendix D — Docker Command Reference</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make docker-up</w:t>
              <w:br/>
              <w:t>make docker-down</w:t>
              <w:br/>
              <w:t>docker build -t gdp-prediction-app:latest .</w:t>
            </w:r>
          </w:p>
        </w:tc>
      </w:tr>
    </w:tbl>
    <w:p>
      <w:pPr>
        <w:spacing w:after="80"/>
      </w:pPr>
    </w:p>
    <w:p>
      <w:pPr>
        <w:keepNext/>
        <w:spacing w:before="320" w:after="120"/>
      </w:pPr>
      <w:r>
        <w:rPr>
          <w:rFonts w:ascii="Times New Roman" w:hAnsi="Times New Roman"/>
          <w:b/>
          <w:color w:val="003366"/>
          <w:sz w:val="24"/>
        </w:rPr>
        <w:t>Appendix E — Git Command Reference</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git status</w:t>
              <w:br/>
              <w:t>git add .</w:t>
              <w:br/>
              <w:t>git commit -m "feat: updates"</w:t>
              <w:br/>
              <w:t>git push origin main</w:t>
            </w:r>
          </w:p>
        </w:tc>
      </w:tr>
    </w:tbl>
    <w:p>
      <w:pPr>
        <w:spacing w:after="80"/>
      </w:pPr>
    </w:p>
    <w:p>
      <w:pPr>
        <w:keepNext/>
        <w:spacing w:before="320" w:after="120"/>
      </w:pPr>
      <w:r>
        <w:rPr>
          <w:rFonts w:ascii="Times New Roman" w:hAnsi="Times New Roman"/>
          <w:b/>
          <w:color w:val="003366"/>
          <w:sz w:val="24"/>
        </w:rPr>
        <w:t>Appendix F — Operational Troubleshooting Commands</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kubectl logs -n gdp-production -l app=gdp-prediction-app --tail=100</w:t>
              <w:br/>
              <w:t>terraform force-unlock &lt;LOCK_ID&gt;</w:t>
            </w:r>
          </w:p>
        </w:tc>
      </w:tr>
    </w:tbl>
    <w:p>
      <w:pPr>
        <w:spacing w:after="80"/>
      </w:pPr>
    </w:p>
    <w:p>
      <w:pPr>
        <w:keepNext/>
        <w:spacing w:before="320" w:after="120"/>
      </w:pPr>
      <w:r>
        <w:rPr>
          <w:rFonts w:ascii="Times New Roman" w:hAnsi="Times New Roman"/>
          <w:b/>
          <w:color w:val="003366"/>
          <w:sz w:val="24"/>
        </w:rPr>
        <w:t>Appendix G — Complete Repository Tree Directory</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TERRAFORM/</w:t>
              <w:br/>
              <w:t>├── bootstrap/</w:t>
              <w:br/>
              <w:t>├── aws/</w:t>
              <w:br/>
              <w:t>├── kubernetes/</w:t>
              <w:br/>
              <w:t>├── github/</w:t>
              <w:br/>
              <w:t>├── ci-cd/</w:t>
              <w:br/>
              <w:t>├── src/</w:t>
              <w:br/>
              <w:t>├── tests/</w:t>
              <w:br/>
              <w:t>├── helm/</w:t>
              <w:br/>
              <w:t>├── docs/</w:t>
              <w:br/>
              <w:t>└── README.md</w:t>
            </w:r>
          </w:p>
        </w:tc>
      </w:tr>
    </w:tbl>
    <w:p>
      <w:pPr>
        <w:spacing w:after="80"/>
      </w:pPr>
    </w:p>
    <w:p>
      <w:pPr>
        <w:keepNext/>
        <w:spacing w:before="320" w:after="120"/>
      </w:pPr>
      <w:r>
        <w:rPr>
          <w:rFonts w:ascii="Times New Roman" w:hAnsi="Times New Roman"/>
          <w:b/>
          <w:color w:val="003366"/>
          <w:sz w:val="24"/>
        </w:rPr>
        <w:t>Appendix H — Environment Variables Specification</w:t>
      </w:r>
    </w:p>
    <w:tbl>
      <w:tblPr>
        <w:tblW w:type="auto" w:w="0"/>
        <w:jc w:val="center"/>
        <w:tblLook w:firstColumn="1" w:firstRow="1" w:lastColumn="0" w:lastRow="0" w:noHBand="0" w:noVBand="1" w:val="04A0"/>
      </w:tblPr>
      <w:tblGrid>
        <w:gridCol w:w="9029"/>
      </w:tblGrid>
      <w:tr>
        <w:tc>
          <w:tcPr>
            <w:tcW w:type="dxa" w:w="9029"/>
            <w:shd w:fill="F4F6F9"/>
            <w:tcMar>
              <w:top w:w="100" w:type="dxa"/>
              <w:bottom w:w="100" w:type="dxa"/>
              <w:left w:w="150" w:type="dxa"/>
              <w:right w:w="150" w:type="dxa"/>
            </w:tcMar>
          </w:tcPr>
          <w:p>
            <w:pPr>
              <w:spacing w:line="240" w:lineRule="auto" w:after="0"/>
              <w:jc w:val="left"/>
            </w:pPr>
            <w:r>
              <w:rPr>
                <w:rFonts w:ascii="Consolas" w:hAnsi="Consolas"/>
                <w:color w:val="112244"/>
                <w:sz w:val="18"/>
              </w:rPr>
              <w:t>APP_ENV=production</w:t>
              <w:br/>
              <w:t>POSTGRES_HOST=gdp-postgres.internal</w:t>
              <w:br/>
              <w:t>POSTGRES_PORT=5432</w:t>
              <w:br/>
              <w:t>POSTGRES_DB=gdp_db_prod</w:t>
              <w:br/>
              <w:t>REDIS_HOST=gdp-redis.internal</w:t>
              <w:br/>
              <w:t>REDIS_PORT=6379</w:t>
            </w:r>
          </w:p>
        </w:tc>
      </w:tr>
    </w:tbl>
    <w:p>
      <w:pPr>
        <w:spacing w:after="80"/>
      </w:pP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Times New Roman" w:hAnsi="Times New Roman"/>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