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A03" w:rsidRDefault="00824096">
      <w:pPr>
        <w:jc w:val="center"/>
      </w:pPr>
      <w:proofErr w:type="spellStart"/>
      <w:r>
        <w:rPr>
          <w:b/>
          <w:bCs/>
        </w:rPr>
        <w:t>Billibunk</w:t>
      </w:r>
      <w:proofErr w:type="spellEnd"/>
      <w:r>
        <w:rPr>
          <w:b/>
          <w:bCs/>
        </w:rPr>
        <w:t xml:space="preserve"> Consulting</w:t>
      </w:r>
    </w:p>
    <w:p w:rsidR="00D82A03" w:rsidRDefault="00824096">
      <w:pPr>
        <w:jc w:val="center"/>
      </w:pPr>
      <w:r>
        <w:rPr>
          <w:b/>
          <w:bCs/>
        </w:rPr>
        <w:t>Principal Terms of a Convertible Debt Term Sheet</w:t>
      </w:r>
    </w:p>
    <w:p w:rsidR="00D82A03" w:rsidRDefault="00824096">
      <w:pPr>
        <w:jc w:val="center"/>
      </w:pPr>
      <w:r>
        <w:rPr>
          <w:b/>
          <w:bCs/>
        </w:rPr>
        <w:t>Phil Morrison</w:t>
      </w:r>
    </w:p>
    <w:p w:rsidR="00D82A03" w:rsidRDefault="00D82A03">
      <w:pPr>
        <w:jc w:val="center"/>
      </w:pPr>
    </w:p>
    <w:tbl>
      <w:tblPr>
        <w:tblW w:w="9972" w:type="dxa"/>
        <w:tblInd w:w="45" w:type="dxa"/>
        <w:tblCellMar>
          <w:left w:w="10" w:type="dxa"/>
          <w:right w:w="10" w:type="dxa"/>
        </w:tblCellMar>
        <w:tblLook w:val="0000" w:firstRow="0" w:lastRow="0" w:firstColumn="0" w:lastColumn="0" w:noHBand="0" w:noVBand="0"/>
      </w:tblPr>
      <w:tblGrid>
        <w:gridCol w:w="2530"/>
        <w:gridCol w:w="7442"/>
      </w:tblGrid>
      <w:tr w:rsidR="00D82A03">
        <w:tblPrEx>
          <w:tblCellMar>
            <w:top w:w="0" w:type="dxa"/>
            <w:bottom w:w="0" w:type="dxa"/>
          </w:tblCellMar>
        </w:tblPrEx>
        <w:tc>
          <w:tcPr>
            <w:tcW w:w="2530" w:type="dxa"/>
            <w:shd w:val="clear" w:color="auto" w:fill="auto"/>
            <w:tcMar>
              <w:top w:w="55" w:type="dxa"/>
              <w:left w:w="55" w:type="dxa"/>
              <w:bottom w:w="55" w:type="dxa"/>
              <w:right w:w="55" w:type="dxa"/>
            </w:tcMar>
          </w:tcPr>
          <w:p w:rsidR="00D82A03" w:rsidRDefault="00824096">
            <w:pPr>
              <w:pStyle w:val="TableContents"/>
            </w:pPr>
            <w:r>
              <w:rPr>
                <w:b/>
                <w:bCs/>
                <w:sz w:val="20"/>
                <w:szCs w:val="20"/>
              </w:rPr>
              <w:t>Amount of Financing:</w:t>
            </w:r>
          </w:p>
        </w:tc>
        <w:tc>
          <w:tcPr>
            <w:tcW w:w="7442" w:type="dxa"/>
            <w:shd w:val="clear" w:color="auto" w:fill="auto"/>
            <w:tcMar>
              <w:top w:w="55" w:type="dxa"/>
              <w:left w:w="55" w:type="dxa"/>
              <w:bottom w:w="55" w:type="dxa"/>
              <w:right w:w="55" w:type="dxa"/>
            </w:tcMar>
          </w:tcPr>
          <w:p w:rsidR="00D82A03" w:rsidRDefault="00824096">
            <w:pPr>
              <w:pStyle w:val="TableContents"/>
            </w:pPr>
            <w:r>
              <w:rPr>
                <w:sz w:val="20"/>
                <w:szCs w:val="20"/>
              </w:rPr>
              <w:t xml:space="preserve">$20,000 as part of a $30,000 total </w:t>
            </w:r>
            <w:proofErr w:type="gramStart"/>
            <w:r>
              <w:rPr>
                <w:sz w:val="20"/>
                <w:szCs w:val="20"/>
              </w:rPr>
              <w:t>raise</w:t>
            </w:r>
            <w:proofErr w:type="gramEnd"/>
            <w:r>
              <w:rPr>
                <w:sz w:val="20"/>
                <w:szCs w:val="20"/>
              </w:rPr>
              <w:t>.</w:t>
            </w:r>
          </w:p>
        </w:tc>
      </w:tr>
      <w:tr w:rsidR="00D82A03">
        <w:tblPrEx>
          <w:tblCellMar>
            <w:top w:w="0" w:type="dxa"/>
            <w:bottom w:w="0" w:type="dxa"/>
          </w:tblCellMar>
        </w:tblPrEx>
        <w:tc>
          <w:tcPr>
            <w:tcW w:w="2530" w:type="dxa"/>
            <w:shd w:val="clear" w:color="auto" w:fill="auto"/>
            <w:tcMar>
              <w:top w:w="55" w:type="dxa"/>
              <w:left w:w="55" w:type="dxa"/>
              <w:bottom w:w="55" w:type="dxa"/>
              <w:right w:w="55" w:type="dxa"/>
            </w:tcMar>
          </w:tcPr>
          <w:p w:rsidR="00D82A03" w:rsidRDefault="00824096">
            <w:pPr>
              <w:pStyle w:val="TableContents"/>
            </w:pPr>
            <w:r>
              <w:rPr>
                <w:b/>
                <w:bCs/>
                <w:sz w:val="20"/>
                <w:szCs w:val="20"/>
              </w:rPr>
              <w:t>Types of Investment:</w:t>
            </w:r>
          </w:p>
        </w:tc>
        <w:tc>
          <w:tcPr>
            <w:tcW w:w="7442" w:type="dxa"/>
            <w:shd w:val="clear" w:color="auto" w:fill="auto"/>
            <w:tcMar>
              <w:top w:w="55" w:type="dxa"/>
              <w:left w:w="55" w:type="dxa"/>
              <w:bottom w:w="55" w:type="dxa"/>
              <w:right w:w="55" w:type="dxa"/>
            </w:tcMar>
          </w:tcPr>
          <w:p w:rsidR="00D82A03" w:rsidRDefault="00824096">
            <w:pPr>
              <w:pStyle w:val="TableContents"/>
            </w:pPr>
            <w:r>
              <w:rPr>
                <w:sz w:val="20"/>
                <w:szCs w:val="20"/>
              </w:rPr>
              <w:t>Convertible De</w:t>
            </w:r>
            <w:bookmarkStart w:id="0" w:name="_GoBack"/>
            <w:bookmarkEnd w:id="0"/>
            <w:r>
              <w:rPr>
                <w:sz w:val="20"/>
                <w:szCs w:val="20"/>
              </w:rPr>
              <w:t>bt</w:t>
            </w:r>
          </w:p>
        </w:tc>
      </w:tr>
      <w:tr w:rsidR="00D82A03">
        <w:tblPrEx>
          <w:tblCellMar>
            <w:top w:w="0" w:type="dxa"/>
            <w:bottom w:w="0" w:type="dxa"/>
          </w:tblCellMar>
        </w:tblPrEx>
        <w:tc>
          <w:tcPr>
            <w:tcW w:w="2530" w:type="dxa"/>
            <w:shd w:val="clear" w:color="auto" w:fill="auto"/>
            <w:tcMar>
              <w:top w:w="55" w:type="dxa"/>
              <w:left w:w="55" w:type="dxa"/>
              <w:bottom w:w="55" w:type="dxa"/>
              <w:right w:w="55" w:type="dxa"/>
            </w:tcMar>
          </w:tcPr>
          <w:p w:rsidR="00D82A03" w:rsidRDefault="00824096">
            <w:pPr>
              <w:pStyle w:val="TableContents"/>
            </w:pPr>
            <w:r>
              <w:rPr>
                <w:b/>
                <w:bCs/>
                <w:sz w:val="20"/>
                <w:szCs w:val="20"/>
              </w:rPr>
              <w:t>Interest:</w:t>
            </w:r>
          </w:p>
        </w:tc>
        <w:tc>
          <w:tcPr>
            <w:tcW w:w="7442" w:type="dxa"/>
            <w:shd w:val="clear" w:color="auto" w:fill="auto"/>
            <w:tcMar>
              <w:top w:w="55" w:type="dxa"/>
              <w:left w:w="55" w:type="dxa"/>
              <w:bottom w:w="55" w:type="dxa"/>
              <w:right w:w="55" w:type="dxa"/>
            </w:tcMar>
          </w:tcPr>
          <w:p w:rsidR="00D82A03" w:rsidRDefault="00824096">
            <w:pPr>
              <w:pStyle w:val="TableContents"/>
            </w:pPr>
            <w:r>
              <w:rPr>
                <w:sz w:val="20"/>
                <w:szCs w:val="20"/>
              </w:rPr>
              <w:t>5% compounded annually</w:t>
            </w:r>
          </w:p>
        </w:tc>
      </w:tr>
      <w:tr w:rsidR="00D82A03">
        <w:tblPrEx>
          <w:tblCellMar>
            <w:top w:w="0" w:type="dxa"/>
            <w:bottom w:w="0" w:type="dxa"/>
          </w:tblCellMar>
        </w:tblPrEx>
        <w:tc>
          <w:tcPr>
            <w:tcW w:w="2530" w:type="dxa"/>
            <w:shd w:val="clear" w:color="auto" w:fill="auto"/>
            <w:tcMar>
              <w:top w:w="55" w:type="dxa"/>
              <w:left w:w="55" w:type="dxa"/>
              <w:bottom w:w="55" w:type="dxa"/>
              <w:right w:w="55" w:type="dxa"/>
            </w:tcMar>
          </w:tcPr>
          <w:p w:rsidR="00D82A03" w:rsidRDefault="00824096">
            <w:pPr>
              <w:pStyle w:val="TableContents"/>
            </w:pPr>
            <w:r>
              <w:rPr>
                <w:b/>
                <w:bCs/>
                <w:sz w:val="20"/>
                <w:szCs w:val="20"/>
              </w:rPr>
              <w:t>Maturity:</w:t>
            </w:r>
          </w:p>
        </w:tc>
        <w:tc>
          <w:tcPr>
            <w:tcW w:w="7442" w:type="dxa"/>
            <w:shd w:val="clear" w:color="auto" w:fill="auto"/>
            <w:tcMar>
              <w:top w:w="55" w:type="dxa"/>
              <w:left w:w="55" w:type="dxa"/>
              <w:bottom w:w="55" w:type="dxa"/>
              <w:right w:w="55" w:type="dxa"/>
            </w:tcMar>
          </w:tcPr>
          <w:p w:rsidR="00D82A03" w:rsidRDefault="00824096">
            <w:pPr>
              <w:pStyle w:val="TableContents"/>
            </w:pPr>
            <w:r>
              <w:rPr>
                <w:sz w:val="20"/>
                <w:szCs w:val="20"/>
              </w:rPr>
              <w:t xml:space="preserve">Two years following the issuance of the Note, unless agreed upon by Phil Morrison and </w:t>
            </w:r>
            <w:proofErr w:type="spellStart"/>
            <w:r>
              <w:rPr>
                <w:sz w:val="20"/>
                <w:szCs w:val="20"/>
              </w:rPr>
              <w:t>Billibunk</w:t>
            </w:r>
            <w:proofErr w:type="spellEnd"/>
            <w:r>
              <w:rPr>
                <w:sz w:val="20"/>
                <w:szCs w:val="20"/>
              </w:rPr>
              <w:t xml:space="preserve"> Consulting.</w:t>
            </w:r>
          </w:p>
        </w:tc>
      </w:tr>
      <w:tr w:rsidR="00D82A03">
        <w:tblPrEx>
          <w:tblCellMar>
            <w:top w:w="0" w:type="dxa"/>
            <w:bottom w:w="0" w:type="dxa"/>
          </w:tblCellMar>
        </w:tblPrEx>
        <w:tc>
          <w:tcPr>
            <w:tcW w:w="2530" w:type="dxa"/>
            <w:shd w:val="clear" w:color="auto" w:fill="auto"/>
            <w:tcMar>
              <w:top w:w="55" w:type="dxa"/>
              <w:left w:w="55" w:type="dxa"/>
              <w:bottom w:w="55" w:type="dxa"/>
              <w:right w:w="55" w:type="dxa"/>
            </w:tcMar>
          </w:tcPr>
          <w:p w:rsidR="00D82A03" w:rsidRDefault="00824096">
            <w:pPr>
              <w:pStyle w:val="TableContents"/>
            </w:pPr>
            <w:r>
              <w:rPr>
                <w:b/>
                <w:bCs/>
                <w:sz w:val="20"/>
                <w:szCs w:val="20"/>
              </w:rPr>
              <w:t>Payment of Principal and Interest:</w:t>
            </w:r>
          </w:p>
        </w:tc>
        <w:tc>
          <w:tcPr>
            <w:tcW w:w="7442" w:type="dxa"/>
            <w:shd w:val="clear" w:color="auto" w:fill="auto"/>
            <w:tcMar>
              <w:top w:w="55" w:type="dxa"/>
              <w:left w:w="55" w:type="dxa"/>
              <w:bottom w:w="55" w:type="dxa"/>
              <w:right w:w="55" w:type="dxa"/>
            </w:tcMar>
          </w:tcPr>
          <w:p w:rsidR="00D82A03" w:rsidRDefault="00824096">
            <w:pPr>
              <w:pStyle w:val="TableContents"/>
            </w:pPr>
            <w:r>
              <w:rPr>
                <w:sz w:val="20"/>
                <w:szCs w:val="20"/>
              </w:rPr>
              <w:t>Principal and accrued interest is due and payable in a single installment at Maturity.</w:t>
            </w:r>
          </w:p>
        </w:tc>
      </w:tr>
      <w:tr w:rsidR="00D82A03">
        <w:tblPrEx>
          <w:tblCellMar>
            <w:top w:w="0" w:type="dxa"/>
            <w:bottom w:w="0" w:type="dxa"/>
          </w:tblCellMar>
        </w:tblPrEx>
        <w:tc>
          <w:tcPr>
            <w:tcW w:w="2530" w:type="dxa"/>
            <w:shd w:val="clear" w:color="auto" w:fill="auto"/>
            <w:tcMar>
              <w:top w:w="55" w:type="dxa"/>
              <w:left w:w="55" w:type="dxa"/>
              <w:bottom w:w="55" w:type="dxa"/>
              <w:right w:w="55" w:type="dxa"/>
            </w:tcMar>
          </w:tcPr>
          <w:p w:rsidR="00D82A03" w:rsidRDefault="00824096">
            <w:pPr>
              <w:pStyle w:val="TableContents"/>
            </w:pPr>
            <w:r>
              <w:rPr>
                <w:b/>
                <w:bCs/>
                <w:sz w:val="20"/>
                <w:szCs w:val="20"/>
              </w:rPr>
              <w:t>Prepayment:</w:t>
            </w:r>
          </w:p>
        </w:tc>
        <w:tc>
          <w:tcPr>
            <w:tcW w:w="7442" w:type="dxa"/>
            <w:shd w:val="clear" w:color="auto" w:fill="auto"/>
            <w:tcMar>
              <w:top w:w="55" w:type="dxa"/>
              <w:left w:w="55" w:type="dxa"/>
              <w:bottom w:w="55" w:type="dxa"/>
              <w:right w:w="55" w:type="dxa"/>
            </w:tcMar>
          </w:tcPr>
          <w:p w:rsidR="00D82A03" w:rsidRDefault="00824096">
            <w:pPr>
              <w:pStyle w:val="TableContents"/>
            </w:pPr>
            <w:r>
              <w:rPr>
                <w:sz w:val="20"/>
                <w:szCs w:val="20"/>
              </w:rPr>
              <w:t>Allowed before 6 months, afterwards only with the consent of Phil Morrison.</w:t>
            </w:r>
          </w:p>
        </w:tc>
      </w:tr>
      <w:tr w:rsidR="00D82A03">
        <w:tblPrEx>
          <w:tblCellMar>
            <w:top w:w="0" w:type="dxa"/>
            <w:bottom w:w="0" w:type="dxa"/>
          </w:tblCellMar>
        </w:tblPrEx>
        <w:tc>
          <w:tcPr>
            <w:tcW w:w="2530" w:type="dxa"/>
            <w:shd w:val="clear" w:color="auto" w:fill="auto"/>
            <w:tcMar>
              <w:top w:w="55" w:type="dxa"/>
              <w:left w:w="55" w:type="dxa"/>
              <w:bottom w:w="55" w:type="dxa"/>
              <w:right w:w="55" w:type="dxa"/>
            </w:tcMar>
          </w:tcPr>
          <w:p w:rsidR="00D82A03" w:rsidRDefault="00824096">
            <w:pPr>
              <w:pStyle w:val="TableContents"/>
            </w:pPr>
            <w:r>
              <w:rPr>
                <w:b/>
                <w:bCs/>
                <w:sz w:val="20"/>
                <w:szCs w:val="20"/>
              </w:rPr>
              <w:t>Optional Conversion:</w:t>
            </w:r>
          </w:p>
        </w:tc>
        <w:tc>
          <w:tcPr>
            <w:tcW w:w="7442" w:type="dxa"/>
            <w:shd w:val="clear" w:color="auto" w:fill="auto"/>
            <w:tcMar>
              <w:top w:w="55" w:type="dxa"/>
              <w:left w:w="55" w:type="dxa"/>
              <w:bottom w:w="55" w:type="dxa"/>
              <w:right w:w="55" w:type="dxa"/>
            </w:tcMar>
          </w:tcPr>
          <w:p w:rsidR="00D82A03" w:rsidRDefault="00824096">
            <w:pPr>
              <w:pStyle w:val="TableContents"/>
            </w:pPr>
            <w:r>
              <w:rPr>
                <w:sz w:val="20"/>
                <w:szCs w:val="20"/>
              </w:rPr>
              <w:t>For principal amount and accrued interest:</w:t>
            </w:r>
          </w:p>
          <w:p w:rsidR="00D82A03" w:rsidRDefault="00824096">
            <w:pPr>
              <w:pStyle w:val="TableContents"/>
              <w:numPr>
                <w:ilvl w:val="0"/>
                <w:numId w:val="1"/>
              </w:numPr>
            </w:pPr>
            <w:r>
              <w:rPr>
                <w:sz w:val="20"/>
                <w:szCs w:val="20"/>
              </w:rPr>
              <w:t>In a Round A Financing, greater than $2M, 15% discount with no maximum pre-money valuation, or 0% discount with a m</w:t>
            </w:r>
            <w:r>
              <w:rPr>
                <w:sz w:val="20"/>
                <w:szCs w:val="20"/>
              </w:rPr>
              <w:t>aximum pre-money valuation of $8M.</w:t>
            </w:r>
          </w:p>
          <w:p w:rsidR="00D82A03" w:rsidRDefault="00824096">
            <w:pPr>
              <w:pStyle w:val="TableContents"/>
              <w:numPr>
                <w:ilvl w:val="0"/>
                <w:numId w:val="1"/>
              </w:numPr>
            </w:pPr>
            <w:r>
              <w:rPr>
                <w:sz w:val="20"/>
                <w:szCs w:val="20"/>
              </w:rPr>
              <w:t>In a Seed or Angel Round, at or greater than $500K and less than $2M, which occurs at or more than 6 months after issuance of note (assuming stock is issued) then 5% discount.</w:t>
            </w:r>
          </w:p>
          <w:p w:rsidR="00D82A03" w:rsidRDefault="00824096">
            <w:pPr>
              <w:pStyle w:val="TableContents"/>
              <w:numPr>
                <w:ilvl w:val="0"/>
                <w:numId w:val="1"/>
              </w:numPr>
            </w:pPr>
            <w:r>
              <w:rPr>
                <w:sz w:val="20"/>
                <w:szCs w:val="20"/>
              </w:rPr>
              <w:t xml:space="preserve">In a Seed or Angel Round, at or greater than </w:t>
            </w:r>
            <w:r>
              <w:rPr>
                <w:sz w:val="20"/>
                <w:szCs w:val="20"/>
              </w:rPr>
              <w:t>$250K and less than $500K, which occurs within 6 months after issuance of note (assuming stock is issued) then Phil Morrison converts equally.</w:t>
            </w:r>
          </w:p>
          <w:p w:rsidR="00D82A03" w:rsidRDefault="00824096">
            <w:pPr>
              <w:pStyle w:val="TableContents"/>
              <w:numPr>
                <w:ilvl w:val="0"/>
                <w:numId w:val="1"/>
              </w:numPr>
            </w:pPr>
            <w:r>
              <w:rPr>
                <w:sz w:val="20"/>
                <w:szCs w:val="20"/>
              </w:rPr>
              <w:t xml:space="preserve">If none of the above </w:t>
            </w:r>
            <w:proofErr w:type="gramStart"/>
            <w:r>
              <w:rPr>
                <w:sz w:val="20"/>
                <w:szCs w:val="20"/>
              </w:rPr>
              <w:t>nor</w:t>
            </w:r>
            <w:proofErr w:type="gramEnd"/>
            <w:r>
              <w:rPr>
                <w:sz w:val="20"/>
                <w:szCs w:val="20"/>
              </w:rPr>
              <w:t xml:space="preserve"> a change in control or </w:t>
            </w:r>
            <w:proofErr w:type="spellStart"/>
            <w:r>
              <w:rPr>
                <w:sz w:val="20"/>
                <w:szCs w:val="20"/>
              </w:rPr>
              <w:t>ipo</w:t>
            </w:r>
            <w:proofErr w:type="spellEnd"/>
            <w:r>
              <w:rPr>
                <w:sz w:val="20"/>
                <w:szCs w:val="20"/>
              </w:rPr>
              <w:t xml:space="preserve"> has occurred prior to Maturity Date, then with the consent of</w:t>
            </w:r>
            <w:r>
              <w:rPr>
                <w:sz w:val="20"/>
                <w:szCs w:val="20"/>
              </w:rPr>
              <w:t xml:space="preserve"> both parties, the debt may convert to convertible participating preferred stock (with 1X liquidation preference, weighted average </w:t>
            </w:r>
            <w:proofErr w:type="spellStart"/>
            <w:r>
              <w:rPr>
                <w:sz w:val="20"/>
                <w:szCs w:val="20"/>
              </w:rPr>
              <w:t>antidilution</w:t>
            </w:r>
            <w:proofErr w:type="spellEnd"/>
            <w:r>
              <w:rPr>
                <w:sz w:val="20"/>
                <w:szCs w:val="20"/>
              </w:rPr>
              <w:t xml:space="preserve"> protection) equal to 12% equity in the company, on a fully diluted basis.</w:t>
            </w:r>
          </w:p>
          <w:p w:rsidR="00D82A03" w:rsidRDefault="00824096">
            <w:pPr>
              <w:pStyle w:val="TableContents"/>
              <w:numPr>
                <w:ilvl w:val="0"/>
                <w:numId w:val="1"/>
              </w:numPr>
            </w:pPr>
            <w:r>
              <w:rPr>
                <w:sz w:val="20"/>
                <w:szCs w:val="20"/>
              </w:rPr>
              <w:t>If none of the above has occurred prio</w:t>
            </w:r>
            <w:r>
              <w:rPr>
                <w:sz w:val="20"/>
                <w:szCs w:val="20"/>
              </w:rPr>
              <w:t xml:space="preserve">r to Maturity Date, but a change in control or </w:t>
            </w:r>
            <w:proofErr w:type="spellStart"/>
            <w:r>
              <w:rPr>
                <w:sz w:val="20"/>
                <w:szCs w:val="20"/>
              </w:rPr>
              <w:t>ipo</w:t>
            </w:r>
            <w:proofErr w:type="spellEnd"/>
            <w:r>
              <w:rPr>
                <w:sz w:val="20"/>
                <w:szCs w:val="20"/>
              </w:rPr>
              <w:t xml:space="preserve"> is about to occur, then Phil Morrison has option to convert prior to liquidation, to convertible preferred stock (with 1X liquidation preference) or, at his election, common stock, in either event equal to</w:t>
            </w:r>
            <w:r>
              <w:rPr>
                <w:sz w:val="20"/>
                <w:szCs w:val="20"/>
              </w:rPr>
              <w:t xml:space="preserve"> 12% equity in the company, on a fully diluted basis.</w:t>
            </w:r>
          </w:p>
        </w:tc>
      </w:tr>
      <w:tr w:rsidR="00D82A03">
        <w:tblPrEx>
          <w:tblCellMar>
            <w:top w:w="0" w:type="dxa"/>
            <w:bottom w:w="0" w:type="dxa"/>
          </w:tblCellMar>
        </w:tblPrEx>
        <w:tc>
          <w:tcPr>
            <w:tcW w:w="2530" w:type="dxa"/>
            <w:shd w:val="clear" w:color="auto" w:fill="auto"/>
            <w:tcMar>
              <w:top w:w="55" w:type="dxa"/>
              <w:left w:w="55" w:type="dxa"/>
              <w:bottom w:w="55" w:type="dxa"/>
              <w:right w:w="55" w:type="dxa"/>
            </w:tcMar>
          </w:tcPr>
          <w:p w:rsidR="00D82A03" w:rsidRDefault="00824096">
            <w:pPr>
              <w:pStyle w:val="TableContents"/>
            </w:pPr>
            <w:r>
              <w:rPr>
                <w:b/>
                <w:bCs/>
                <w:sz w:val="20"/>
                <w:szCs w:val="20"/>
              </w:rPr>
              <w:t>Reporting Requirements:</w:t>
            </w:r>
          </w:p>
        </w:tc>
        <w:tc>
          <w:tcPr>
            <w:tcW w:w="7442" w:type="dxa"/>
            <w:shd w:val="clear" w:color="auto" w:fill="auto"/>
            <w:tcMar>
              <w:top w:w="55" w:type="dxa"/>
              <w:left w:w="55" w:type="dxa"/>
              <w:bottom w:w="55" w:type="dxa"/>
              <w:right w:w="55" w:type="dxa"/>
            </w:tcMar>
          </w:tcPr>
          <w:p w:rsidR="00D82A03" w:rsidRDefault="00824096">
            <w:pPr>
              <w:pStyle w:val="TableContents"/>
            </w:pPr>
            <w:r>
              <w:rPr>
                <w:sz w:val="20"/>
                <w:szCs w:val="20"/>
              </w:rPr>
              <w:t>Quarterly company performance reports during the project period</w:t>
            </w:r>
            <w:proofErr w:type="gramStart"/>
            <w:r>
              <w:rPr>
                <w:sz w:val="20"/>
                <w:szCs w:val="20"/>
              </w:rPr>
              <w:t>;</w:t>
            </w:r>
            <w:proofErr w:type="gramEnd"/>
            <w:r>
              <w:rPr>
                <w:sz w:val="20"/>
                <w:szCs w:val="20"/>
              </w:rPr>
              <w:t xml:space="preserve"> annual performance reports and annual unaudited financial information for a period of 2 years from repayment or </w:t>
            </w:r>
            <w:r>
              <w:rPr>
                <w:sz w:val="20"/>
                <w:szCs w:val="20"/>
              </w:rPr>
              <w:t>liquidation.</w:t>
            </w:r>
          </w:p>
        </w:tc>
      </w:tr>
      <w:tr w:rsidR="00D82A03">
        <w:tblPrEx>
          <w:tblCellMar>
            <w:top w:w="0" w:type="dxa"/>
            <w:bottom w:w="0" w:type="dxa"/>
          </w:tblCellMar>
        </w:tblPrEx>
        <w:tc>
          <w:tcPr>
            <w:tcW w:w="2530" w:type="dxa"/>
            <w:shd w:val="clear" w:color="auto" w:fill="auto"/>
            <w:tcMar>
              <w:top w:w="55" w:type="dxa"/>
              <w:left w:w="55" w:type="dxa"/>
              <w:bottom w:w="55" w:type="dxa"/>
              <w:right w:w="55" w:type="dxa"/>
            </w:tcMar>
          </w:tcPr>
          <w:p w:rsidR="00D82A03" w:rsidRDefault="00824096">
            <w:pPr>
              <w:pStyle w:val="TableContents"/>
            </w:pPr>
            <w:r>
              <w:rPr>
                <w:b/>
                <w:bCs/>
                <w:sz w:val="20"/>
                <w:szCs w:val="20"/>
              </w:rPr>
              <w:t>Board Representation:</w:t>
            </w:r>
          </w:p>
        </w:tc>
        <w:tc>
          <w:tcPr>
            <w:tcW w:w="7442" w:type="dxa"/>
            <w:shd w:val="clear" w:color="auto" w:fill="auto"/>
            <w:tcMar>
              <w:top w:w="55" w:type="dxa"/>
              <w:left w:w="55" w:type="dxa"/>
              <w:bottom w:w="55" w:type="dxa"/>
              <w:right w:w="55" w:type="dxa"/>
            </w:tcMar>
          </w:tcPr>
          <w:p w:rsidR="00D82A03" w:rsidRDefault="00824096">
            <w:pPr>
              <w:pStyle w:val="TableContents"/>
            </w:pPr>
            <w:r>
              <w:rPr>
                <w:sz w:val="20"/>
                <w:szCs w:val="20"/>
              </w:rPr>
              <w:t xml:space="preserve">One non-voting observer until repayment of note or Round </w:t>
            </w:r>
            <w:proofErr w:type="gramStart"/>
            <w:r>
              <w:rPr>
                <w:sz w:val="20"/>
                <w:szCs w:val="20"/>
              </w:rPr>
              <w:t>A</w:t>
            </w:r>
            <w:proofErr w:type="gramEnd"/>
            <w:r>
              <w:rPr>
                <w:sz w:val="20"/>
                <w:szCs w:val="20"/>
              </w:rPr>
              <w:t xml:space="preserve"> investors hold a voting seat.</w:t>
            </w:r>
          </w:p>
        </w:tc>
      </w:tr>
      <w:tr w:rsidR="00D82A03">
        <w:tblPrEx>
          <w:tblCellMar>
            <w:top w:w="0" w:type="dxa"/>
            <w:bottom w:w="0" w:type="dxa"/>
          </w:tblCellMar>
        </w:tblPrEx>
        <w:tc>
          <w:tcPr>
            <w:tcW w:w="2530" w:type="dxa"/>
            <w:shd w:val="clear" w:color="auto" w:fill="auto"/>
            <w:tcMar>
              <w:top w:w="55" w:type="dxa"/>
              <w:left w:w="55" w:type="dxa"/>
              <w:bottom w:w="55" w:type="dxa"/>
              <w:right w:w="55" w:type="dxa"/>
            </w:tcMar>
          </w:tcPr>
          <w:p w:rsidR="00D82A03" w:rsidRDefault="00824096">
            <w:pPr>
              <w:pStyle w:val="TableContents"/>
            </w:pPr>
            <w:r>
              <w:rPr>
                <w:b/>
                <w:bCs/>
                <w:sz w:val="20"/>
                <w:szCs w:val="20"/>
              </w:rPr>
              <w:t>Conditions:</w:t>
            </w:r>
          </w:p>
        </w:tc>
        <w:tc>
          <w:tcPr>
            <w:tcW w:w="7442" w:type="dxa"/>
            <w:shd w:val="clear" w:color="auto" w:fill="auto"/>
            <w:tcMar>
              <w:top w:w="55" w:type="dxa"/>
              <w:left w:w="55" w:type="dxa"/>
              <w:bottom w:w="55" w:type="dxa"/>
              <w:right w:w="55" w:type="dxa"/>
            </w:tcMar>
          </w:tcPr>
          <w:p w:rsidR="00D82A03" w:rsidRDefault="00824096">
            <w:pPr>
              <w:pStyle w:val="TableContents"/>
            </w:pPr>
            <w:r>
              <w:rPr>
                <w:sz w:val="20"/>
                <w:szCs w:val="20"/>
              </w:rPr>
              <w:t>Successful completion of due diligence including:</w:t>
            </w:r>
          </w:p>
          <w:p w:rsidR="00D82A03" w:rsidRDefault="00824096">
            <w:pPr>
              <w:pStyle w:val="TableContents"/>
              <w:numPr>
                <w:ilvl w:val="0"/>
                <w:numId w:val="2"/>
              </w:numPr>
            </w:pPr>
            <w:r>
              <w:rPr>
                <w:sz w:val="20"/>
                <w:szCs w:val="20"/>
              </w:rPr>
              <w:t>Retaining a contract CFO</w:t>
            </w:r>
          </w:p>
        </w:tc>
      </w:tr>
    </w:tbl>
    <w:p w:rsidR="00D82A03" w:rsidRDefault="00D82A03">
      <w:pPr>
        <w:pStyle w:val="Textbody"/>
      </w:pPr>
    </w:p>
    <w:p w:rsidR="00D82A03" w:rsidRDefault="00D82A03">
      <w:pPr>
        <w:pStyle w:val="Textbody"/>
      </w:pPr>
    </w:p>
    <w:p w:rsidR="00D82A03" w:rsidRDefault="00D82A03">
      <w:pPr>
        <w:pStyle w:val="Textbody"/>
      </w:pPr>
    </w:p>
    <w:tbl>
      <w:tblPr>
        <w:tblW w:w="9972" w:type="dxa"/>
        <w:tblInd w:w="45" w:type="dxa"/>
        <w:tblCellMar>
          <w:left w:w="10" w:type="dxa"/>
          <w:right w:w="10" w:type="dxa"/>
        </w:tblCellMar>
        <w:tblLook w:val="0000" w:firstRow="0" w:lastRow="0" w:firstColumn="0" w:lastColumn="0" w:noHBand="0" w:noVBand="0"/>
      </w:tblPr>
      <w:tblGrid>
        <w:gridCol w:w="4985"/>
        <w:gridCol w:w="4987"/>
      </w:tblGrid>
      <w:tr w:rsidR="00D82A03">
        <w:tblPrEx>
          <w:tblCellMar>
            <w:top w:w="0" w:type="dxa"/>
            <w:bottom w:w="0" w:type="dxa"/>
          </w:tblCellMar>
        </w:tblPrEx>
        <w:tc>
          <w:tcPr>
            <w:tcW w:w="4985" w:type="dxa"/>
            <w:shd w:val="clear" w:color="auto" w:fill="auto"/>
            <w:tcMar>
              <w:top w:w="55" w:type="dxa"/>
              <w:left w:w="55" w:type="dxa"/>
              <w:bottom w:w="55" w:type="dxa"/>
              <w:right w:w="55" w:type="dxa"/>
            </w:tcMar>
          </w:tcPr>
          <w:p w:rsidR="00D82A03" w:rsidRDefault="00824096">
            <w:pPr>
              <w:pStyle w:val="TableContents"/>
              <w:jc w:val="both"/>
            </w:pPr>
            <w:r>
              <w:rPr>
                <w:b/>
                <w:bCs/>
                <w:sz w:val="20"/>
                <w:szCs w:val="20"/>
              </w:rPr>
              <w:t xml:space="preserve">______________________________ Date: </w:t>
            </w:r>
            <w:r>
              <w:rPr>
                <w:b/>
                <w:bCs/>
                <w:sz w:val="20"/>
                <w:szCs w:val="20"/>
              </w:rPr>
              <w:t>______</w:t>
            </w:r>
          </w:p>
          <w:p w:rsidR="00D82A03" w:rsidRDefault="00D82A03">
            <w:pPr>
              <w:pStyle w:val="TableContents"/>
              <w:jc w:val="both"/>
            </w:pPr>
          </w:p>
          <w:p w:rsidR="00D82A03" w:rsidRDefault="00824096">
            <w:pPr>
              <w:pStyle w:val="TableContents"/>
              <w:jc w:val="both"/>
            </w:pPr>
            <w:r>
              <w:rPr>
                <w:b/>
                <w:bCs/>
                <w:sz w:val="20"/>
                <w:szCs w:val="20"/>
              </w:rPr>
              <w:t xml:space="preserve">Charles </w:t>
            </w:r>
            <w:proofErr w:type="spellStart"/>
            <w:r>
              <w:rPr>
                <w:b/>
                <w:bCs/>
                <w:sz w:val="20"/>
                <w:szCs w:val="20"/>
              </w:rPr>
              <w:t>McBinkerbocker</w:t>
            </w:r>
            <w:proofErr w:type="spellEnd"/>
          </w:p>
          <w:p w:rsidR="00D82A03" w:rsidRDefault="00824096">
            <w:pPr>
              <w:pStyle w:val="TableContents"/>
              <w:jc w:val="both"/>
            </w:pPr>
            <w:r>
              <w:rPr>
                <w:b/>
                <w:bCs/>
                <w:sz w:val="20"/>
                <w:szCs w:val="20"/>
              </w:rPr>
              <w:t>President and CEO</w:t>
            </w:r>
          </w:p>
          <w:p w:rsidR="00D82A03" w:rsidRDefault="00824096">
            <w:pPr>
              <w:pStyle w:val="TableContents"/>
              <w:jc w:val="both"/>
            </w:pPr>
            <w:proofErr w:type="spellStart"/>
            <w:r>
              <w:rPr>
                <w:b/>
                <w:bCs/>
                <w:sz w:val="20"/>
                <w:szCs w:val="20"/>
              </w:rPr>
              <w:t>Billibunk</w:t>
            </w:r>
            <w:proofErr w:type="spellEnd"/>
            <w:r>
              <w:rPr>
                <w:b/>
                <w:bCs/>
                <w:sz w:val="20"/>
                <w:szCs w:val="20"/>
              </w:rPr>
              <w:t xml:space="preserve"> Consulting LLC</w:t>
            </w:r>
          </w:p>
        </w:tc>
        <w:tc>
          <w:tcPr>
            <w:tcW w:w="4987" w:type="dxa"/>
            <w:shd w:val="clear" w:color="auto" w:fill="auto"/>
            <w:tcMar>
              <w:top w:w="55" w:type="dxa"/>
              <w:left w:w="55" w:type="dxa"/>
              <w:bottom w:w="55" w:type="dxa"/>
              <w:right w:w="55" w:type="dxa"/>
            </w:tcMar>
          </w:tcPr>
          <w:p w:rsidR="00D82A03" w:rsidRDefault="00824096">
            <w:pPr>
              <w:pStyle w:val="TableContents"/>
              <w:jc w:val="both"/>
            </w:pPr>
            <w:r>
              <w:rPr>
                <w:b/>
                <w:bCs/>
                <w:sz w:val="20"/>
                <w:szCs w:val="20"/>
              </w:rPr>
              <w:t>______________________________ Date: ______</w:t>
            </w:r>
          </w:p>
          <w:p w:rsidR="00D82A03" w:rsidRDefault="00D82A03">
            <w:pPr>
              <w:pStyle w:val="TableContents"/>
              <w:jc w:val="both"/>
            </w:pPr>
          </w:p>
          <w:p w:rsidR="00D82A03" w:rsidRDefault="00824096">
            <w:pPr>
              <w:pStyle w:val="TableContents"/>
            </w:pPr>
            <w:r>
              <w:rPr>
                <w:b/>
                <w:bCs/>
                <w:sz w:val="20"/>
                <w:szCs w:val="20"/>
              </w:rPr>
              <w:t>Phil Morrison</w:t>
            </w:r>
          </w:p>
        </w:tc>
      </w:tr>
    </w:tbl>
    <w:p w:rsidR="00D82A03" w:rsidRDefault="00D82A03">
      <w:pPr>
        <w:jc w:val="both"/>
      </w:pPr>
    </w:p>
    <w:sectPr w:rsidR="00D82A0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 PL UMing HK">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142A"/>
    <w:multiLevelType w:val="multilevel"/>
    <w:tmpl w:val="959AB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E0693B"/>
    <w:multiLevelType w:val="multilevel"/>
    <w:tmpl w:val="B23057A6"/>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90C2270"/>
    <w:multiLevelType w:val="multilevel"/>
    <w:tmpl w:val="A93272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A03"/>
    <w:rsid w:val="00824096"/>
    <w:rsid w:val="00D82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R PL UMing HK" w:hAnsi="Times New Roman"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R PL UMing HK" w:hAnsi="Times New Roman"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2043</Characters>
  <Application>Microsoft Macintosh Word</Application>
  <DocSecurity>0</DocSecurity>
  <Lines>17</Lines>
  <Paragraphs>4</Paragraphs>
  <ScaleCrop>false</ScaleCrop>
  <Company>MIT Sloan</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Neltner</dc:creator>
  <cp:lastModifiedBy>Omid Sadeghpour</cp:lastModifiedBy>
  <cp:revision>2</cp:revision>
  <dcterms:created xsi:type="dcterms:W3CDTF">2012-10-31T23:23:00Z</dcterms:created>
  <dcterms:modified xsi:type="dcterms:W3CDTF">2012-10-31T23:23:00Z</dcterms:modified>
</cp:coreProperties>
</file>