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DESIGN HANDOFF — UI INVENTORY</w:t>
      </w:r>
    </w:p>
    <w:p>
      <w:pPr>
        <w:pStyle w:val="Title"/>
        <w:spacing w:after="160"/>
      </w:pPr>
      <w:r>
        <w:rPr>
          <w:rFonts w:ascii="Arial" w:cs="Arial" w:eastAsia="Arial" w:hAnsi="Arial"/>
        </w:rPr>
        <w:t xml:space="preserve">IssueMatch AI, screen by screen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Every page, section, control, and state currently shipped, cataloged for a professional visual pass. The product: static-analysis matching of open-source contributors to GitHub issues — a “blast radius” score per function, ranked issues, and a drafted first PR. No AI-generated mockups here — this document describes the real, current interface in words and tables.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1"/>
          <w:szCs w:val="21"/>
        </w:rPr>
        <w:t xml:space="preserve">Today’s look is an internal dark “developer console” built directly in Tailwind utility classes — functional, not yet touched by a designer. Two real views (a signed-out landing screen and one long signed-in workspace), plus one modal overlay.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Views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Workspace sections</w:t>
            </w:r>
          </w:p>
        </w:tc>
        <w:tc>
          <w:tcPr>
            <w:tcW w:type="dxa" w:w="23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Reusable atoms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React 19, Tailwind CSS v4, Vite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pages + 1 modal overlay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stacked sections</w:t>
            </w:r>
          </w:p>
        </w:tc>
        <w:tc>
          <w:tcPr>
            <w:tcW w:type="dxa" w:w="23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card shell, 7 icons, 3 accent colors</w:t>
            </w:r>
          </w:p>
        </w:tc>
      </w:tr>
    </w:tbl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Persistent header — on every screen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One header, three states depending on session and system health. Sticky to the top of the viewport, over content that scrolls beneath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500"/>
      </w:tblGrid>
      <w:tr>
        <w:trPr>
          <w:tblHeader/>
        </w:trP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 / behavior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States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Logo mark + wordmark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Rounded-square icon badge + “IssueMatch AI”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Static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Trust Panel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Shield icon + list of contacted hosts, e.g. “api.github.com only”; polls every 4s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 (green shield) vs. unexpected host contacted (red shield)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Status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Dot + “All systems operational” / “Degraded” / “Checking systems…”; polls every 15s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Loading · OK · Degraded · Unreachable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 area, signed out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Outline button, “Sign in”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· hover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 area, signed in</w:t>
            </w:r>
          </w:p>
        </w:tc>
        <w:tc>
          <w:tcPr>
            <w:tcW w:type="dxa" w:w="4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Avatar (ringed) + username + text-link “Sign out”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· “checking session…”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Page 1 — Landing (signed-out)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Everything a visitor sees before authenticating. Centered single column, no navigation beyond the header, no footer today.</w:t>
      </w:r>
    </w:p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Hero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Icon badge → headline → subhead → one primary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 badge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mark in a rounded square, accent wash background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Headline (H1)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“Know exactly which issue is safe to touch — before you touch it.”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Subhead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“IssueMatch AI matches you to open-source issues you can actually handle, and proves it with static analysis — not a guess, not an LLM.”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“Sign in with GitHub” — triggers the OAuth redirect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Feature grid — 3 columns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Equal-weight cards, no icons, no images.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Card title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Blast Radius Engine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“Real tree-sitter parsing, call-graph fan-in, cyclomatic complexity, test proximity, and git churn — combined into one transparent score per function.”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Skill-matched issues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“Local sentence embeddings rank open issues against your skills. Every match shows the overlapping terms that drove it.”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Zero external AI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 LLM calls, no hosted inference, no API key. Every number on screen is computed live, in this process, and is fully inspectable.”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338CA"/>
                <w:sz w:val="19"/>
                <w:szCs w:val="19"/>
              </w:rPr>
              <w:t xml:space="preserve">Designer’s opening — </w:t>
            </w:r>
            <w:r>
              <w:rPr>
                <w:rFonts w:ascii="Arial" w:cs="Arial" w:eastAsia="Arial" w:hAnsi="Arial"/>
                <w:color w:val="14161F"/>
                <w:sz w:val="19"/>
                <w:szCs w:val="19"/>
              </w:rPr>
              <w:t xml:space="preserve">this is the thinnest page in the product and the one most worth an editorial pass: no social proof, no product screenshot, no footer, one CTA. See “Gaps” at the end.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Page 2 — Workspace (signed-in)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One continuous page, sections stacked vertically in a single column (max width ~5xl). Order below is literal render order, top to bottom.</w:t>
      </w:r>
    </w:p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Welcome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“Welcome back, {username}”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Subtext</w:t>
            </w:r>
          </w:p>
        </w:tc>
        <w:tc>
          <w:tcPr>
            <w:tcW w:type="dxa" w:w="71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“Set your skills, then point the engine at a repo to see what’s safe to touch.”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1 · Skill profile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 line: “Compared against issue text via local sentence embeddings — no external API.”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States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Skill tag input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+ Enter/comma adds a chip; × on a chip removes it; Backspace on empty input pops the last chip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“Type a skill and press Enter…” → “Add another…”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Experience level select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Unspecified / beginner / intermediate / advanced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“Save profile” button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Persists skills + level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→ “Saving…” (disabled) → “Saved.” confirmation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2 · “Analyze a repo”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 line: “Real tree-sitter parse + call graph + cyclomatic complexity + test proximity + git churn, computed live. No AI, no external API — just the repo you name.”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 / behavior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States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input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GitHub-mark icon + text field, placeholder “owner/repo, e.g. pallets/itsdangerous”; also accepts a full GitHub URL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“Analyze” button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Submits the form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→ “Analyzing…” (disabled)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message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“Cloning, parsing every source file, walking git history, and building the call graph — first-time analysis of a repo can take a little while.”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only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error text (red)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Failure only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 header line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“{repo} @ {sha} — {N} files, {M} functions”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Bucket summary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“{N} Start Here · {M} Here Be Dragons”, color-coded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tolerance slider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Range 0.15–0.85, step 0.05; re-labels Cautious / Balanced / Adventurous; re-buckets the table live, client-side only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Function/file search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Free-text filter across name + path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vs. filtered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Bucket filter pills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/ Start Here / Here Be Dragons, one active at a time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(filled) vs. inactive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Shown-count badge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“{N} of {M} shown”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Functions table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Columns: Function (clickable, opens the Blast Radius Map) · File · Signals (3 mini bars: fan-in / complexity / churn) · Test (yes/no) · Bucket (pill) · Why (one auto-written sentence, 2-line clamp)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Populated · “No functions match your filter” empty row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3 · “Your first merge path”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Description: “The 3 safest Start Here functions in this repo, ordered easiest to hardest — a suggested on-ramp, not a mandate. Respects the risk tolerance slider above.”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Numbered list (1–3)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row: function name + file:line + its one-sentence summary. Genuinely sequential — easiest first — so the numbering carries real meaning.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 state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 functions fall under ‘Start Here’ at this risk tolerance — try loosening the slider above the table.”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4 · “Codebase landmarks”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Description: “The most depended-on functions in this repo, by fan-in — touch these last, and only with tests running.”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Ranked list (top 5)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+ file, right-aligned “{N} callers” badge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5 · “Your readiness for this repo”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Description: “Repo-level, not per-issue — real issue text rarely names the exact files it touches, so this compares your skills against the repo’s actual dependency manifests instead of guessing.”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Circular gauge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0–100 ring, color shifts danger → caution → safe as score rises, animated fill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Formula line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Live-substituted: “0.40 × {overlap} (skill overlap) + 0.35 × {1−risk} (1 − avg blast radius) + 0.25 × {gap} (gap penalty)”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skill-chip rows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“Required (from manifests)” (neutral) · “You have” (green) · “Gap” (red) — each a wrapped chip list, or “none”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6 · “Recommended issues” 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Description: “Local sentence embeddings rank open issues against your skill profile — overlapping terms shown are TF-IDF weighted, not a bare similarity float.”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 / behavior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States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Skills summary line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“Your skills: {list} · GitHub-inferred: {list}”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“none set” if empty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 Accuracy Scoreboard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“GitHub labels {N} issues here as beginner-friendly. Our engine checked the actual code named in {M} of them, and found {K} quietly touching high-risk code anyway.” + linked list of disagreeing issues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Hidden entirely if GitHub labeled 0 issues</w:t>
            </w:r>
          </w:p>
        </w:tc>
      </w:tr>
      <w:tr>
        <w:tc>
          <w:tcPr>
            <w:tcW w:type="dxa" w:w="23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/ error / empty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“Ranking open issues…” · error text · “This repo has no open issues right now — try another repo to see ranked recommendations.”</w:t>
            </w:r>
          </w:p>
        </w:tc>
        <w:tc>
          <w:tcPr>
            <w:tcW w:type="dxa" w:w="25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Issue card (repeats per issue)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Copy / behavior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Conditional?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 link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“#{number} {title}”, opens the real GitHub issue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“GitHub: beginner-friendly” pill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Green, only when GitHub’s own label says so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Similarity score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“similarity 0.847”, top-right, monospace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label chips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Outlined, colored using GitHub’s own per-label hex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if labeled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Explanation sentence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Deterministic one-liner, e.g. “This issue is about adding popular developer themes.”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“matched on” line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TF-IDF overlap terms, e.g. “matched on: python”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if any overlap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references box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Function/file the issue names + its Bucket pill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if the issue names real code and the repo’s been analyzed</w:t>
            </w:r>
          </w:p>
        </w:tc>
      </w:tr>
      <w:tr>
        <w:tc>
          <w:tcPr>
            <w:tcW w:type="dxa" w:w="2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Analysis-needed note</w:t>
            </w:r>
          </w:p>
        </w:tc>
        <w:tc>
          <w:tcPr>
            <w:tcW w:type="dxa" w:w="45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“Code-level cross-references need the repo analyzed first — run Analyze above to see them.”</w:t>
            </w:r>
          </w:p>
        </w:tc>
        <w:tc>
          <w:tcPr>
            <w:tcW w:type="dxa" w:w="26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Yes, if repo not yet analyzed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Contributor playbook (per issue, collapsed by default)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One text-link toggle: “Draft my ‘I’d like to work on this’ comment” → expands and relabels to “Hide contributor playbook”.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 (once expanded)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Drafted comment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generated GitHub-comment text + “Copy to clipboard” button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Divider + label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“Next: from claimed issue to opened PR”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Suggested branch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Monospace chip, e.g. “fix/42-add-dev-themes” + “Copy” button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“Start here” line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 + file + its real direct callers (“Called directly by: …”)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guidance line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Already-covered vs. no-test-found, naming the repo’s actual test directory</w:t>
            </w:r>
          </w:p>
        </w:tc>
      </w:tr>
      <w:tr>
        <w:tc>
          <w:tcPr>
            <w:tcW w:type="dxa" w:w="2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 description box</w:t>
            </w:r>
          </w:p>
        </w:tc>
        <w:tc>
          <w:tcPr>
            <w:tcW w:type="dxa" w:w="64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drafted PR body (Closes #N + summary + callers + who to cc) + “Copy PR description” button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Overlay — Blast Radius Map (modal)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Opens by clicking any function name in the table. Full-screen dim backdrop, centered panel, click-outside or × to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 + helper text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“Blast Radius Map” + “Real transitive dependents, traced through the actual call graph — each ring is one more hop away. Click a node to re-center the map on it.”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 button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Top-right, text button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“← back to X” button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visible after re-centering on a different node than the one originally opened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Summary line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“{N} functions transitively depend on {function} — everything shown here could break if it changes.”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Radial graph (SVG)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Selected function at center; dependents on concentric dashed rings by hop distance; real edges drawn between nodes; nodes colored by bucket; click any node to re-center; hover for a tooltip with file, score, hop count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Leaf-node message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“Nothing in the analyzed source calls this function, directly or indirectly — it’s a safe leaf in the real call graph.” when the map has only the center node</w:t>
            </w:r>
          </w:p>
        </w:tc>
      </w:tr>
      <w:tr>
        <w:tc>
          <w:tcPr>
            <w:tcW w:type="dxa" w:w="27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/ error</w:t>
            </w:r>
          </w:p>
        </w:tc>
        <w:tc>
          <w:tcPr>
            <w:tcW w:type="dxa" w:w="66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“Tracing the dependency graph…” · “Could not load the graph for this function.”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Design system, as it exists today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Nothing below was designed as a system — it is the actual token set and component shapes currently in the Tailwind config, extracted so a redesign has a real baseline to react to (keep, replace, or extend each one deliberately).</w:t>
      </w:r>
    </w:p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Color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One accent (indigo) plus two decorative secondaries (violet, cyan) used only as card-border accents — and a strict traffic-light triad reserved for meaning (safe / caution / danger), never used decoratively.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Accent (indigo)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#6366F1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buttons, links, focus states, active pills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Violet (decorative)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#A855F7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Top-border accent on 1 of 3 card types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Cyan (decorative)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#06B6D4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Top-border accent on 1 of 3 card types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#10B981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“Start Here” bucket, positive confirmations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Caution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#F59E0B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Mid-range signal bars, ambiguous-name flag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#F43F5E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“Here Be Dragons” bucket, errors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0 (page bg)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#0A0C11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background</w:t>
            </w:r>
          </w:p>
        </w:tc>
      </w:tr>
      <w:tr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Surface 2 (cards)</w:t>
            </w:r>
          </w:p>
        </w:tc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#1A1E2A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 interiors, inputs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Type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System UI everywhere, with one deliberate swap: monospace for anything that is a computed value (scores, file paths, function names) — a quiet signal that “this was calculated,” not typed by a human.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Sample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tree-sitter parse + call graph + cyclomatic complexity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Heading</w:t>
            </w:r>
          </w:p>
        </w:tc>
        <w:tc>
          <w:tcPr>
            <w:tcW w:type="dxa" w:w="69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readiness for this repo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Computed / monospace</w:t>
            </w:r>
          </w:p>
        </w:tc>
        <w:tc>
          <w:tcPr>
            <w:tcW w:type="dxa" w:w="69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app/config.py:42  ·  fan_in: 12  ·  score: 0.71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Buttons — 4 treatments, one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Style</w:t>
            </w:r>
          </w:p>
        </w:tc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(filled)</w:t>
            </w:r>
          </w:p>
        </w:tc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“Analyze”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one main action per section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Outline</w:t>
            </w:r>
          </w:p>
        </w:tc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“Sign in”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actions, header auth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Ghost / text</w:t>
            </w:r>
          </w:p>
        </w:tc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“Sign out,” “Draft my comment…”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Low-emphasis / toggle actions</w:t>
            </w:r>
          </w:p>
        </w:tc>
      </w:tr>
      <w:tr>
        <w:tc>
          <w:tcPr>
            <w:tcW w:type="dxa" w:w="24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Pill toggle</w:t>
            </w:r>
          </w:p>
        </w:tc>
        <w:tc>
          <w:tcPr>
            <w:tcW w:type="dxa" w:w="32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“Start Here” / “Here Be Dragons” filters</w:t>
            </w:r>
          </w:p>
        </w:tc>
        <w:tc>
          <w:tcPr>
            <w:tcW w:type="dxa" w:w="37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Active/inactive filter state</w:t>
            </w:r>
          </w:p>
        </w:tc>
      </w:tr>
    </w:tbl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Badges &amp; pills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Start Here — green pill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Here Be Dragons — red pill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GitHub: beginner-friendly — green pill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</w:rPr>
        <w:t xml:space="preserve">Ambiguous name flag — amber inline text</w:t>
      </w:r>
    </w:p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Icon set — 7 total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Hand-drawn inline SVGs, one stroke weight (1.6), no icon library: Shield, Target, Tag, Sparkles, Gauge, Route, Landmark.</w:t>
      </w:r>
    </w:p>
    <w:p>
      <w:pPr>
        <w:pStyle w:val="Heading3"/>
        <w:spacing w:after="90" w:before="260"/>
      </w:pPr>
      <w:r>
        <w:rPr>
          <w:rFonts w:ascii="Arial" w:cs="Arial" w:eastAsia="Arial" w:hAnsi="Arial"/>
        </w:rPr>
        <w:t xml:space="preserve">The one structural atom: SectionCard</w:t>
      </w:r>
    </w:p>
    <w:p>
      <w:pPr>
        <w:spacing w:after="10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Every card on the workspace page is the same shell: icon badge, title, one-line description, a hairline gradient across the top in one of 3 accent colors (indigo / violet / cyan) — purely for visual variety between sections, not meaningful categorization.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State coverage checklist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Every async area in the product already has loading / error / empty / success handled in copy — worth preserving the intent even where the visual treatment changes completely.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65"/>
        <w:gridCol w:w="1865"/>
        <w:gridCol w:w="1865"/>
        <w:gridCol w:w="1865"/>
      </w:tblGrid>
      <w:tr>
        <w:trPr>
          <w:tblHeader/>
        </w:trP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Area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Loading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Error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Empty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61F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 analysis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Explanatory sentence, no spinner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error text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results below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 ranking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“Ranking open issues…”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error text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 open issues right now…”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Ranked list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Functions table filter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 functions match your filter.”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Filtered rows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 merge path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“No functions fall under Start Here…”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Numbered list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Blast Radius Map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“Tracing the dependency graph…”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“Could not load the graph…”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Leaf-node message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Radial graph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health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“Checking systems…”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“API unreachable”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“All systems operational”</w:t>
            </w:r>
          </w:p>
        </w:tc>
      </w:tr>
      <w:tr>
        <w:tc>
          <w:tcPr>
            <w:tcW w:type="dxa" w:w="190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“checking session…”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65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Avatar + name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CE6" w:sz="2"/>
              <w:left w:val="single" w:color="D9DCE6" w:sz="2"/>
              <w:bottom w:val="single" w:color="D9DCE6" w:sz="2"/>
              <w:right w:val="single" w:color="D9DCE6" w:sz="2"/>
            </w:tcBorders>
            <w:shd w:fill="EEF0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338CA"/>
                <w:sz w:val="19"/>
                <w:szCs w:val="19"/>
              </w:rPr>
              <w:t xml:space="preserve">Note — </w:t>
            </w:r>
            <w:r>
              <w:rPr>
                <w:rFonts w:ascii="Arial" w:cs="Arial" w:eastAsia="Arial" w:hAnsi="Arial"/>
                <w:color w:val="14161F"/>
                <w:sz w:val="19"/>
                <w:szCs w:val="19"/>
              </w:rPr>
              <w:t xml:space="preserve">none of these currently use a skeleton loader, spinner, or toast — every pending/success/error state today is a plain sentence swapped in place. Decide deliberately whether to keep that quiet, text-first tone or introduce motion/iconography for state changes.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Gaps — what a complete product still needs</w:t>
      </w:r>
    </w:p>
    <w:p>
      <w:pPr>
        <w:spacing w:after="200" w:before="0"/>
      </w:pPr>
      <w:r>
        <w:rPr>
          <w:rFonts w:ascii="Arial" w:cs="Arial" w:eastAsia="Arial" w:hAnsi="Arial"/>
          <w:color w:val="5B5F73"/>
          <w:sz w:val="20"/>
          <w:szCs w:val="20"/>
        </w:rPr>
        <w:t xml:space="preserve">The honest list of pages and elements that don’t exist yet. Include these in the brief alongside the redesign of what’s above.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A real marketing landing page</w:t>
      </w:r>
    </w:p>
    <w:p>
      <w:pPr>
        <w:spacing w:after="2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Current landing is one hero + a 3-card grid. No product screenshot, no “how it works,” no footer, no nav beyond the header.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338CA"/>
          <w:sz w:val="16"/>
          <w:szCs w:val="16"/>
        </w:rPr>
        <w:t xml:space="preserve">HIGHEST-LEVERAGE GAP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Onboarding / first-run guidance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A first-time signed-in user lands on an empty skill profile and an empty analyze form with no guided next step.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Settings / account page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Skill profile currently lives inline on the main workspace; there’s no dedicated account page (email, connected GitHub identity, danger-zone actions).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404 / not-found and generic error page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No handling today for an unknown route or an unhandled client error.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Toast / notification system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All confirmations (“Saved.,” “Copied!”) are inline text, easy to miss, no consistent placement.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Loading skeletons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Every pending state today is a sentence, not a shape-matched placeholder — worth a deliberate call, not an oversight to just fix.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Mobile layout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A handful of responsive breakpoints exist; the functions table and the Blast Radius Map are effectively desktop-only today.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Footer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Neither page has one — no links, no version, no legal/contact info anywhere in the product.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4161F"/>
          <w:sz w:val="21"/>
          <w:szCs w:val="21"/>
        </w:rPr>
        <w:t xml:space="preserve">“How it works” / methodology page</w:t>
      </w:r>
    </w:p>
    <w:p>
      <w:pPr>
        <w:spacing w:after="140" w:before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The zero-LLM, static-analysis claim is asserted inline in card descriptions; it deserves its own page given it’s the core trust proposition.</w:t>
      </w:r>
    </w:p>
    <w:p>
      <w:pPr>
        <w:pBdr>
          <w:top w:val="single" w:color="D9DCE6" w:sz="4" w:space="8"/>
        </w:pBdr>
        <w:spacing w:before="26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5B5F73"/>
          <w:sz w:val="18"/>
          <w:szCs w:val="18"/>
        </w:rPr>
        <w:t xml:space="preserve">Compiled directly from the current source (frontend/src/) on the day of this handoff — every string, control, and state described above is real, shipped copy, not a placeholder.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5F73"/>
        <w:sz w:val="14"/>
        <w:szCs w:val="14"/>
      </w:rPr>
      <w:t xml:space="preserve">Page </w:t>
    </w:r>
    <w:r>
      <w:rPr>
        <w:rFonts w:ascii="Arial" w:cs="Arial" w:eastAsia="Arial" w:hAnsi="Arial"/>
        <w:color w:val="5B5F7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5F73"/>
        <w:sz w:val="14"/>
        <w:szCs w:val="14"/>
      </w:rPr>
      <w:t xml:space="preserve">IssueMatch AI — UI Inventory &amp; Design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6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14161F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4338CA" w:sz="6" w:space="6"/>
      </w:pBdr>
      <w:spacing w:after="160" w:before="120"/>
      <w:outlineLvl w:val="0"/>
    </w:pPr>
    <w:rPr>
      <w:rFonts w:ascii="Arial" w:cs="Arial" w:eastAsia="Arial" w:hAnsi="Arial"/>
      <w:b/>
      <w:bCs/>
      <w:color w:val="1416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16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338C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2026-07-09T14:02:35.701Z</dcterms:created>
  <dcterms:modified xsi:type="dcterms:W3CDTF">2026-07-09T14:02:35.702Z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