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Project Design Phase-II</w:t>
      </w:r>
    </w:p>
    <w:p w:rsidR="00000000" w:rsidDel="00000000" w:rsidP="00000000" w:rsidRDefault="00000000" w:rsidRPr="00000000" w14:paraId="00000002">
      <w:pPr>
        <w:pStyle w:val="Title"/>
        <w:spacing w:line="259" w:lineRule="auto"/>
        <w:jc w:val="center"/>
        <w:rPr>
          <w:rFonts w:ascii="Calibri" w:cs="Calibri" w:eastAsia="Calibri" w:hAnsi="Calibri"/>
          <w:b w:val="1"/>
          <w:sz w:val="24"/>
          <w:szCs w:val="24"/>
        </w:rPr>
      </w:pPr>
      <w:r>
        <w:t>The IMovies Solution Requirements</w:t>
      </w:r>
    </w:p>
    <w:p w:rsidR="00000000" w:rsidDel="00000000" w:rsidP="00000000" w:rsidRDefault="00000000" w:rsidRPr="00000000" w14:paraId="00000003">
      <w:pPr>
        <w:spacing w:line="259" w:lineRule="auto"/>
        <w:jc w:val="center"/>
        <w:rPr>
          <w:rFonts w:ascii="Calibri" w:cs="Calibri" w:eastAsia="Calibri" w:hAnsi="Calibri"/>
          <w:b w:val="1"/>
        </w:rPr>
      </w:pPr>
      <w:r w:rsidDel="00000000" w:rsidR="00000000" w:rsidRPr="00000000">
        <w:rPr>
          <w:rtl w:val="0"/>
        </w:rPr>
      </w:r>
    </w:p>
    <w:tbl>
      <w:tblPr>
        <w:tblStyle w:val="Table1"/>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
              <w:t>25 October 2026</w:t>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w:t>
            </w:r>
          </w:p>
        </w:tc>
        <w:tc>
          <w:tcPr/>
          <w:p>
            <w:r>
              <w:t>Not assigned</w:t>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
              <w:t>The IMovies</w:t>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
              <w:t>4 Marks</w:t>
            </w:r>
          </w:p>
        </w:tc>
      </w:tr>
    </w:tbl>
    <w:p w:rsidR="00000000" w:rsidDel="00000000" w:rsidP="00000000" w:rsidRDefault="00000000" w:rsidRPr="00000000" w14:paraId="0000000C">
      <w:pPr>
        <w:spacing w:after="160" w:line="259"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0D">
      <w:pPr>
        <w:spacing w:after="160" w:line="259" w:lineRule="auto"/>
        <w:rPr>
          <w:rFonts w:ascii="Calibri" w:cs="Calibri" w:eastAsia="Calibri" w:hAnsi="Calibri"/>
          <w:b w:val="1"/>
        </w:rPr>
      </w:pPr>
      <w:r>
        <w:t>Functional Requirements:</w:t>
      </w:r>
    </w:p>
    <w:p w:rsidR="00000000" w:rsidDel="00000000" w:rsidP="00000000" w:rsidRDefault="00000000" w:rsidRPr="00000000" w14:paraId="0000000E">
      <w:pPr>
        <w:spacing w:after="160" w:line="259" w:lineRule="auto"/>
        <w:rPr>
          <w:rFonts w:ascii="Calibri" w:cs="Calibri" w:eastAsia="Calibri" w:hAnsi="Calibri"/>
        </w:rPr>
      </w:pPr>
      <w:r>
        <w:t>The following functional requirements describe what The IMovies should allow moviegoers and authorized administrators to do. They are proposed requirements for implementation and acceptance testing.</w:t>
      </w:r>
    </w:p>
    <w:p w:rsidR="00000000" w:rsidDel="00000000" w:rsidP="00000000" w:rsidRDefault="00000000" w:rsidRPr="00000000" w14:paraId="0000000F">
      <w:pPr>
        <w:spacing w:after="160" w:line="259" w:lineRule="auto"/>
        <w:rPr>
          <w:rFonts w:ascii="Calibri" w:cs="Calibri" w:eastAsia="Calibri" w:hAnsi="Calibri"/>
          <w:b w:val="1"/>
        </w:rPr>
      </w:pPr>
      <w:r>
        <w:t>Functional Requirements - The IMovies</w:t>
      </w:r>
    </w:p>
    <w:tbl>
      <w:tblPr>
        <w:tblStyle w:val="Table2"/>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3543"/>
        <w:gridCol w:w="4820"/>
        <w:tblGridChange w:id="0">
          <w:tblGrid>
            <w:gridCol w:w="988"/>
            <w:gridCol w:w="3543"/>
            <w:gridCol w:w="4820"/>
          </w:tblGrid>
        </w:tblGridChange>
      </w:tblGrid>
      <w:tr>
        <w:trPr>
          <w:cantSplit w:val="0"/>
          <w:tblHeader w:val="0"/>
        </w:trPr>
        <w:tc>
          <w:tcPr/>
          <w:p w:rsidR="00000000" w:rsidDel="00000000" w:rsidP="00000000" w:rsidRDefault="00000000" w:rsidRPr="00000000" w14:paraId="00000010">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FR No.</w:t>
            </w:r>
          </w:p>
        </w:tc>
        <w:tc>
          <w:tcPr/>
          <w:p w:rsidR="00000000" w:rsidDel="00000000" w:rsidP="00000000" w:rsidRDefault="00000000" w:rsidRPr="00000000" w14:paraId="00000011">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Functional Requirement (Epic)</w:t>
            </w:r>
          </w:p>
        </w:tc>
        <w:tc>
          <w:tcPr/>
          <w:p w:rsidR="00000000" w:rsidDel="00000000" w:rsidP="00000000" w:rsidRDefault="00000000" w:rsidRPr="00000000" w14:paraId="00000012">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Sub Requirement (Story / Sub-Task)</w:t>
            </w:r>
          </w:p>
        </w:tc>
      </w:tr>
      <w:tr>
        <w:trPr>
          <w:cantSplit w:val="0"/>
          <w:tblHeader w:val="0"/>
        </w:trPr>
        <w:tc>
          <w:tcPr/>
          <w:p>
            <w:r>
              <w:t>FR-1</w:t>
            </w:r>
          </w:p>
        </w:tc>
        <w:tc>
          <w:tcPr/>
          <w:p>
            <w:r>
              <w:t>Account &amp; Authentication</w:t>
            </w:r>
          </w:p>
        </w:tc>
        <w:tc>
          <w:tcPr/>
          <w:p>
            <w:r>
              <w:t>Visitors can register, sign in, and sign out. Passwords must be securely hashed. JWT-protected endpoints must reject missing, invalid, or expired tokens.</w:t>
            </w:r>
          </w:p>
        </w:tc>
      </w:tr>
      <w:tr>
        <w:trPr>
          <w:cantSplit w:val="0"/>
          <w:tblHeader w:val="0"/>
        </w:trPr>
        <w:tc>
          <w:tcPr/>
          <w:p>
            <w:r>
              <w:t>FR-2</w:t>
            </w:r>
          </w:p>
        </w:tc>
        <w:tc>
          <w:tcPr/>
          <w:p>
            <w:r>
              <w:t>Movie Catalog</w:t>
            </w:r>
          </w:p>
        </w:tc>
        <w:tc>
          <w:tcPr/>
          <w:p>
            <w:r>
              <w:t>Visitors can browse movies and view key details, including title, synopsis, genres, duration, release status, rating, and artwork where available.</w:t>
            </w:r>
          </w:p>
        </w:tc>
      </w:tr>
      <w:tr>
        <w:trPr>
          <w:cantSplit w:val="0"/>
          <w:tblHeader w:val="0"/>
        </w:trPr>
        <w:tc>
          <w:tcPr/>
          <w:p>
            <w:r>
              <w:t>FR-3</w:t>
            </w:r>
          </w:p>
        </w:tc>
        <w:tc>
          <w:tcPr/>
          <w:p>
            <w:r>
              <w:t>Search &amp; Filtering</w:t>
            </w:r>
          </w:p>
        </w:tc>
        <w:tc>
          <w:tcPr/>
          <w:p>
            <w:r>
              <w:t>Visitors can search movies and filter by supported criteria such as genre, now showing, or coming soon. Empty results and loading/errors must be clearly presented.</w:t>
            </w:r>
          </w:p>
        </w:tc>
      </w:tr>
      <w:tr>
        <w:trPr>
          <w:cantSplit w:val="0"/>
          <w:tblHeader w:val="0"/>
        </w:trPr>
        <w:tc>
          <w:tcPr/>
          <w:p>
            <w:r>
              <w:t>FR-4</w:t>
            </w:r>
          </w:p>
        </w:tc>
        <w:tc>
          <w:tcPr/>
          <w:p>
            <w:r>
              <w:t>Cinema &amp; Showtimes</w:t>
            </w:r>
          </w:p>
        </w:tc>
        <w:tc>
          <w:tcPr/>
          <w:p>
            <w:r>
              <w:t>Moviegoers can select a cinema, date, and showtime and see relevant format and ticket-price information. All displayed prices use Indian rupees (INR).</w:t>
            </w:r>
          </w:p>
        </w:tc>
      </w:tr>
      <w:tr>
        <w:trPr>
          <w:cantSplit w:val="0"/>
          <w:tblHeader w:val="0"/>
        </w:trPr>
        <w:tc>
          <w:tcPr/>
          <w:p>
            <w:r>
              <w:t>FR-5</w:t>
            </w:r>
          </w:p>
        </w:tc>
        <w:tc>
          <w:tcPr/>
          <w:p>
            <w:r>
              <w:t>Seat Availability &amp; Holds</w:t>
            </w:r>
          </w:p>
        </w:tc>
        <w:tc>
          <w:tcPr/>
          <w:p>
            <w:r>
              <w:t>The seat map distinguishes available, selected, held, and booked seats. The server creates expiring temporary holds and does not allow unavailable seats to be held.</w:t>
            </w:r>
          </w:p>
        </w:tc>
      </w:tr>
      <w:tr>
        <w:trPr>
          <w:cantSplit w:val="0"/>
          <w:trHeight w:val="1739.0763346354165" w:hRule="atLeast"/>
          <w:tblHeader w:val="0"/>
        </w:trPr>
        <w:tc>
          <w:tcPr/>
          <w:p>
            <w:r>
              <w:t>FR-6</w:t>
            </w:r>
          </w:p>
        </w:tc>
        <w:tc>
          <w:tcPr/>
          <w:p>
            <w:r>
              <w:t>Booking Confirmation &amp; History</w:t>
            </w:r>
          </w:p>
        </w:tc>
        <w:tc>
          <w:tcPr/>
          <w:p>
            <w:r>
              <w:t>An authenticated moviegoer can confirm a reservation after the server rechecks hold ownership and seat availability, then view the confirmation and personal booking history.</w:t>
            </w:r>
          </w:p>
        </w:tc>
      </w:tr>
      <w:tr>
        <w:trPr>
          <w:cantSplit w:val="0"/>
          <w:tblHeader w:val="0"/>
        </w:trPr>
        <w:tc>
          <w:tcPr/>
          <w:p>
            <w:r>
              <w:t>FR-7</w:t>
            </w:r>
          </w:p>
        </w:tc>
        <w:tc>
          <w:tcPr/>
          <w:p>
            <w:r>
              <w:t>Catalog Administration</w:t>
            </w:r>
          </w:p>
        </w:tc>
        <w:tc>
          <w:tcPr/>
          <w:p>
            <w:r>
              <w:t>An authorized administrator can create and update movie, cinema, and showtime records. Unauthorized users cannot access administrative operations.</w:t>
            </w:r>
          </w:p>
        </w:tc>
      </w:tr>
      <w:tr>
        <w:trPr>
          <w:cantSplit w:val="0"/>
          <w:tblHeader w:val="0"/>
        </w:trPr>
        <w:tc>
          <w:tcPr/>
          <w:p>
            <w:r>
              <w:t>FR-8</w:t>
            </w:r>
          </w:p>
        </w:tc>
        <w:tc>
          <w:tcPr/>
          <w:p>
            <w:r>
              <w:t>Payment Scope &amp; Errors</w:t>
            </w:r>
          </w:p>
        </w:tc>
        <w:tc>
          <w:tcPr/>
          <w:p>
            <w:r>
              <w:t>Real payment processing and card-data collection are not part of this version. The application must explain booking success, validation failures, expired holds, and seat conflicts clearly.</w:t>
            </w:r>
          </w:p>
        </w:tc>
      </w:tr>
    </w:tbl>
    <w:p w:rsidR="00000000" w:rsidDel="00000000" w:rsidP="00000000" w:rsidRDefault="00000000" w:rsidRPr="00000000" w14:paraId="00000039">
      <w:pPr>
        <w:spacing w:after="160" w:line="259"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3A">
      <w:pPr>
        <w:spacing w:after="160" w:line="259"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3B">
      <w:pPr>
        <w:spacing w:after="160" w:line="259"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3C">
      <w:pPr>
        <w:spacing w:after="160" w:line="259" w:lineRule="auto"/>
        <w:rPr>
          <w:rFonts w:ascii="Calibri" w:cs="Calibri" w:eastAsia="Calibri" w:hAnsi="Calibri"/>
          <w:b w:val="1"/>
        </w:rPr>
      </w:pPr>
      <w:r>
        <w:t>Non-functional Requirements:</w:t>
      </w:r>
    </w:p>
    <w:p w:rsidR="00000000" w:rsidDel="00000000" w:rsidP="00000000" w:rsidRDefault="00000000" w:rsidRPr="00000000" w14:paraId="0000003D">
      <w:pPr>
        <w:spacing w:after="160" w:line="259" w:lineRule="auto"/>
        <w:rPr>
          <w:rFonts w:ascii="Calibri" w:cs="Calibri" w:eastAsia="Calibri" w:hAnsi="Calibri"/>
        </w:rPr>
      </w:pPr>
      <w:r>
        <w:t>The following quality requirements define measurable expectations for usability, security, reliability, performance, availability, and future growth. Targets should be verified in the intended deployment environment.</w:t>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0"/>
        <w:gridCol w:w="1876"/>
        <w:gridCol w:w="6390"/>
        <w:tblGridChange w:id="0">
          <w:tblGrid>
            <w:gridCol w:w="750"/>
            <w:gridCol w:w="1876"/>
            <w:gridCol w:w="6390"/>
          </w:tblGrid>
        </w:tblGridChange>
      </w:tblGrid>
      <w:tr>
        <w:trPr>
          <w:cantSplit w:val="0"/>
          <w:tblHeader w:val="0"/>
        </w:trPr>
        <w:tc>
          <w:tcPr/>
          <w:p w:rsidR="00000000" w:rsidDel="00000000" w:rsidP="00000000" w:rsidRDefault="00000000" w:rsidRPr="00000000" w14:paraId="0000003E">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NFR No.</w:t>
            </w:r>
          </w:p>
        </w:tc>
        <w:tc>
          <w:tcPr/>
          <w:p w:rsidR="00000000" w:rsidDel="00000000" w:rsidP="00000000" w:rsidRDefault="00000000" w:rsidRPr="00000000" w14:paraId="0000003F">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Non-Functional Requirement</w:t>
            </w:r>
          </w:p>
        </w:tc>
        <w:tc>
          <w:tcPr/>
          <w:p w:rsidR="00000000" w:rsidDel="00000000" w:rsidP="00000000" w:rsidRDefault="00000000" w:rsidRPr="00000000" w14:paraId="00000040">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blHeader w:val="0"/>
        </w:trPr>
        <w:tc>
          <w:tcPr/>
          <w:p>
            <w:r>
              <w:t>NFR-1</w:t>
            </w:r>
          </w:p>
        </w:tc>
        <w:tc>
          <w:tcPr/>
          <w:p>
            <w:r>
              <w:t>Responsive Usability &amp; Accessibility</w:t>
            </w:r>
          </w:p>
        </w:tc>
        <w:tc>
          <w:tcPr/>
          <w:p>
            <w:r>
              <w:t>The core browsing and booking flows must work at mobile, tablet, and desktop widths. Interactive controls must be keyboard usable, have clear labels/focus states, and maintain readable contrast. Use the agreed Warm Ivory (#EAE6DE), Deep Editorial Blue (#226192), and Coral Orange (#EF8557) palette.</w:t>
            </w:r>
          </w:p>
        </w:tc>
      </w:tr>
      <w:tr>
        <w:trPr>
          <w:cantSplit w:val="0"/>
          <w:tblHeader w:val="0"/>
        </w:trPr>
        <w:tc>
          <w:tcPr/>
          <w:p>
            <w:r>
              <w:t>NFR-2</w:t>
            </w:r>
          </w:p>
        </w:tc>
        <w:tc>
          <w:tcPr/>
          <w:p>
            <w:r>
              <w:t>Security &amp; Privacy</w:t>
            </w:r>
          </w:p>
        </w:tc>
        <w:tc>
          <w:tcPr/>
          <w:p>
            <w:r>
              <w:t>Store passwords as salted secure hashes; keep JWT signing secrets and MongoDB credentials in environment configuration, never source control. Validate and authorize requests on the server, restrict each user to their own bookings, and avoid logging passwords, tokens, or payment details.</w:t>
            </w:r>
          </w:p>
        </w:tc>
      </w:tr>
      <w:tr>
        <w:trPr>
          <w:cantSplit w:val="0"/>
          <w:tblHeader w:val="0"/>
        </w:trPr>
        <w:tc>
          <w:tcPr/>
          <w:p>
            <w:r>
              <w:t>NFR-3</w:t>
            </w:r>
          </w:p>
        </w:tc>
        <w:tc>
          <w:tcPr/>
          <w:p>
            <w:r>
              <w:t>Booking Reliability &amp; Data Integrity</w:t>
            </w:r>
          </w:p>
        </w:tc>
        <w:tc>
          <w:tcPr/>
          <w:p>
            <w:r>
              <w:t>Seat confirmation must recheck availability on the server and use atomic database updates or equivalent concurrency control. Expired holds must not block seats indefinitely; duplicate booking attempts must return a clear conflict response.</w:t>
            </w:r>
          </w:p>
        </w:tc>
      </w:tr>
      <w:tr>
        <w:trPr>
          <w:cantSplit w:val="0"/>
          <w:tblHeader w:val="0"/>
        </w:trPr>
        <w:tc>
          <w:tcPr/>
          <w:p>
            <w:r>
              <w:t>NFR-4</w:t>
            </w:r>
          </w:p>
        </w:tc>
        <w:tc>
          <w:tcPr/>
          <w:p>
            <w:r>
              <w:t>Performance</w:t>
            </w:r>
          </w:p>
        </w:tc>
        <w:tc>
          <w:tcPr/>
          <w:p>
            <w:r>
              <w:t>On the agreed demo dataset and test environment, catalog and showtime requests should normally respond within 2 seconds, excluding slow external networks or media hosts. Use pagination or bounded results where lists can grow.</w:t>
            </w:r>
          </w:p>
        </w:tc>
      </w:tr>
      <w:tr>
        <w:trPr>
          <w:cantSplit w:val="0"/>
          <w:tblHeader w:val="0"/>
        </w:trPr>
        <w:tc>
          <w:tcPr/>
          <w:p>
            <w:r>
              <w:t>NFR-5</w:t>
            </w:r>
          </w:p>
        </w:tc>
        <w:tc>
          <w:tcPr/>
          <w:p>
            <w:r>
              <w:t>Availability &amp; Error Recovery</w:t>
            </w:r>
          </w:p>
        </w:tc>
        <w:tc>
          <w:tcPr/>
          <w:p>
            <w:r>
              <w:t>When MongoDB or the API is unavailable, the interface must show a clear recoverable error and must not falsely claim a booking succeeded. Configure production health checks and backups according to the deployment environment.</w:t>
            </w:r>
          </w:p>
        </w:tc>
      </w:tr>
      <w:tr>
        <w:trPr>
          <w:cantSplit w:val="0"/>
          <w:tblHeader w:val="0"/>
        </w:trPr>
        <w:tc>
          <w:tcPr/>
          <w:p>
            <w:r>
              <w:t>NFR-6</w:t>
            </w:r>
          </w:p>
        </w:tc>
        <w:tc>
          <w:tcPr/>
          <w:p>
            <w:r>
              <w:t>Scalability &amp; Maintainability</w:t>
            </w:r>
          </w:p>
        </w:tc>
        <w:tc>
          <w:tcPr/>
          <w:p>
            <w:r>
              <w:t>Keep frontend, API routes, booking logic, and data models modular. Add indexes for common movie, showtime, and booking lookups; keep API responses and validation consistent so the service can grow without duplicating business rules.</w:t>
            </w:r>
          </w:p>
        </w:tc>
      </w:tr>
    </w:tbl>
    <w:p w:rsidR="00000000" w:rsidDel="00000000" w:rsidP="00000000" w:rsidRDefault="00000000" w:rsidRPr="00000000" w14:paraId="0000006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QAKFbORe2qDGx7EsTgx28tMuAw==">CgMxLjA4AHIhMS1oQ2ZVNjhCZEEzUHQzRDk4SllUalZFRWx2UTMtQVg0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