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195" w:rsidRPr="00351195" w:rsidRDefault="00351195" w:rsidP="00351195">
      <w:pPr>
        <w:jc w:val="center"/>
        <w:rPr>
          <w:rFonts w:ascii="Arial" w:hAnsi="Arial" w:cs="Arial"/>
          <w:b/>
        </w:rPr>
      </w:pPr>
      <w:r w:rsidRPr="00351195">
        <w:rPr>
          <w:rFonts w:ascii="Arial" w:hAnsi="Arial" w:cs="Arial"/>
          <w:b/>
        </w:rPr>
        <w:t>Ascertainment adjustment</w:t>
      </w:r>
    </w:p>
    <w:p w:rsidR="00351195" w:rsidRDefault="00351195" w:rsidP="007575B8">
      <w:pPr>
        <w:jc w:val="both"/>
        <w:rPr>
          <w:rFonts w:ascii="Arial" w:hAnsi="Arial" w:cs="Arial"/>
        </w:rPr>
      </w:pPr>
    </w:p>
    <w:p w:rsidR="00AB3DE4" w:rsidRPr="007575B8" w:rsidRDefault="00A85336" w:rsidP="007575B8">
      <w:pPr>
        <w:jc w:val="both"/>
        <w:rPr>
          <w:rFonts w:ascii="Arial" w:hAnsi="Arial" w:cs="Arial"/>
          <w:i/>
          <w:iCs/>
          <w:color w:val="4472C4" w:themeColor="accent1"/>
        </w:rPr>
      </w:pPr>
      <w:r w:rsidRPr="007575B8">
        <w:rPr>
          <w:rFonts w:ascii="Arial" w:hAnsi="Arial" w:cs="Arial"/>
        </w:rPr>
        <w:t xml:space="preserve">We propose to use the following working definition, which is developed by reviewing the “final papers” </w:t>
      </w:r>
      <w:r w:rsidR="00351195">
        <w:rPr>
          <w:rFonts w:ascii="Arial" w:hAnsi="Arial" w:cs="Arial"/>
        </w:rPr>
        <w:t xml:space="preserve">used </w:t>
      </w:r>
      <w:r w:rsidRPr="007575B8">
        <w:rPr>
          <w:rFonts w:ascii="Arial" w:hAnsi="Arial" w:cs="Arial"/>
        </w:rPr>
        <w:t xml:space="preserve">in Ask2me, </w:t>
      </w:r>
      <w:r w:rsidR="007575B8" w:rsidRPr="007575B8">
        <w:rPr>
          <w:rFonts w:ascii="Arial" w:hAnsi="Arial" w:cs="Arial"/>
        </w:rPr>
        <w:t xml:space="preserve">to screen </w:t>
      </w:r>
      <w:r w:rsidR="00EF578B">
        <w:rPr>
          <w:rFonts w:ascii="Arial" w:hAnsi="Arial" w:cs="Arial"/>
        </w:rPr>
        <w:t>in</w:t>
      </w:r>
      <w:r w:rsidR="007575B8" w:rsidRPr="007575B8">
        <w:rPr>
          <w:rFonts w:ascii="Arial" w:hAnsi="Arial" w:cs="Arial"/>
        </w:rPr>
        <w:t xml:space="preserve"> papers that are meta-analyses or have </w:t>
      </w:r>
      <w:r w:rsidR="00EF578B">
        <w:rPr>
          <w:rFonts w:ascii="Arial" w:hAnsi="Arial" w:cs="Arial"/>
        </w:rPr>
        <w:t xml:space="preserve">appropriate </w:t>
      </w:r>
      <w:r w:rsidR="007575B8" w:rsidRPr="007575B8">
        <w:rPr>
          <w:rFonts w:ascii="Arial" w:hAnsi="Arial" w:cs="Arial"/>
        </w:rPr>
        <w:t xml:space="preserve">adjustment of ascertainment. </w:t>
      </w:r>
      <w:r w:rsidR="00EF578B">
        <w:rPr>
          <w:rFonts w:ascii="Arial" w:hAnsi="Arial" w:cs="Arial"/>
        </w:rPr>
        <w:t xml:space="preserve">All included papers will be discussed on the Bayes </w:t>
      </w:r>
      <w:proofErr w:type="spellStart"/>
      <w:r w:rsidR="00EF578B">
        <w:rPr>
          <w:rFonts w:ascii="Arial" w:hAnsi="Arial" w:cs="Arial"/>
        </w:rPr>
        <w:t>Mendal</w:t>
      </w:r>
      <w:proofErr w:type="spellEnd"/>
      <w:r w:rsidR="00EF578B">
        <w:rPr>
          <w:rFonts w:ascii="Arial" w:hAnsi="Arial" w:cs="Arial"/>
        </w:rPr>
        <w:t xml:space="preserve"> meetings.</w:t>
      </w:r>
    </w:p>
    <w:p w:rsidR="00AB3DE4" w:rsidRDefault="00AB3DE4" w:rsidP="007575B8">
      <w:pPr>
        <w:jc w:val="both"/>
        <w:rPr>
          <w:rFonts w:ascii="Arial" w:hAnsi="Arial" w:cs="Arial"/>
        </w:rPr>
      </w:pPr>
    </w:p>
    <w:p w:rsidR="007575B8" w:rsidRDefault="007575B8" w:rsidP="007575B8">
      <w:pPr>
        <w:jc w:val="both"/>
        <w:rPr>
          <w:rFonts w:ascii="Arial" w:hAnsi="Arial" w:cs="Arial"/>
        </w:rPr>
      </w:pPr>
      <w:r>
        <w:rPr>
          <w:rFonts w:ascii="Arial" w:hAnsi="Arial" w:cs="Arial"/>
        </w:rPr>
        <w:t>We will include the paper if it is:</w:t>
      </w:r>
    </w:p>
    <w:p w:rsidR="007575B8" w:rsidRPr="007575B8" w:rsidRDefault="007575B8" w:rsidP="007575B8">
      <w:pPr>
        <w:jc w:val="both"/>
        <w:rPr>
          <w:rFonts w:ascii="Arial" w:hAnsi="Arial" w:cs="Arial"/>
        </w:rPr>
      </w:pPr>
    </w:p>
    <w:p w:rsidR="001B06EA" w:rsidRDefault="00AB3DE4" w:rsidP="007575B8">
      <w:pPr>
        <w:pStyle w:val="ListParagraph"/>
        <w:numPr>
          <w:ilvl w:val="0"/>
          <w:numId w:val="2"/>
        </w:numPr>
        <w:jc w:val="both"/>
        <w:rPr>
          <w:rFonts w:ascii="Arial" w:hAnsi="Arial" w:cs="Arial"/>
          <w:b/>
        </w:rPr>
      </w:pPr>
      <w:r w:rsidRPr="007575B8">
        <w:rPr>
          <w:rFonts w:ascii="Arial" w:hAnsi="Arial" w:cs="Arial"/>
          <w:b/>
        </w:rPr>
        <w:t>A</w:t>
      </w:r>
      <w:r w:rsidR="009E561A" w:rsidRPr="007575B8">
        <w:rPr>
          <w:rFonts w:ascii="Arial" w:hAnsi="Arial" w:cs="Arial"/>
          <w:b/>
        </w:rPr>
        <w:t xml:space="preserve"> meta-analysis</w:t>
      </w:r>
    </w:p>
    <w:p w:rsidR="007575B8" w:rsidRPr="007575B8" w:rsidRDefault="007575B8" w:rsidP="007575B8">
      <w:pPr>
        <w:pStyle w:val="ListParagraph"/>
        <w:ind w:left="1080"/>
        <w:jc w:val="both"/>
        <w:rPr>
          <w:rFonts w:ascii="Arial" w:hAnsi="Arial" w:cs="Arial"/>
          <w:b/>
        </w:rPr>
      </w:pPr>
    </w:p>
    <w:p w:rsidR="003F0BA2" w:rsidRPr="007575B8" w:rsidRDefault="003F0BA2" w:rsidP="007575B8">
      <w:pPr>
        <w:pStyle w:val="ListParagraph"/>
        <w:jc w:val="both"/>
        <w:rPr>
          <w:rFonts w:ascii="Arial" w:hAnsi="Arial" w:cs="Arial"/>
        </w:rPr>
      </w:pPr>
      <w:r w:rsidRPr="007575B8">
        <w:rPr>
          <w:rFonts w:ascii="Arial" w:hAnsi="Arial" w:cs="Arial"/>
        </w:rPr>
        <w:t>OR</w:t>
      </w:r>
    </w:p>
    <w:p w:rsidR="009E561A" w:rsidRDefault="00AB3DE4" w:rsidP="007575B8">
      <w:pPr>
        <w:pStyle w:val="ListParagraph"/>
        <w:numPr>
          <w:ilvl w:val="0"/>
          <w:numId w:val="2"/>
        </w:numPr>
        <w:jc w:val="both"/>
        <w:rPr>
          <w:rFonts w:ascii="Arial" w:hAnsi="Arial" w:cs="Arial"/>
          <w:b/>
        </w:rPr>
      </w:pPr>
      <w:r w:rsidRPr="007575B8">
        <w:rPr>
          <w:rFonts w:ascii="Arial" w:hAnsi="Arial" w:cs="Arial"/>
          <w:b/>
        </w:rPr>
        <w:t xml:space="preserve">A </w:t>
      </w:r>
      <w:r w:rsidR="00351195">
        <w:rPr>
          <w:rFonts w:ascii="Arial" w:hAnsi="Arial" w:cs="Arial"/>
          <w:b/>
        </w:rPr>
        <w:t xml:space="preserve">general </w:t>
      </w:r>
      <w:r w:rsidR="00FB70A7" w:rsidRPr="007575B8">
        <w:rPr>
          <w:rFonts w:ascii="Arial" w:hAnsi="Arial" w:cs="Arial"/>
          <w:b/>
        </w:rPr>
        <w:t>p</w:t>
      </w:r>
      <w:r w:rsidR="009E561A" w:rsidRPr="007575B8">
        <w:rPr>
          <w:rFonts w:ascii="Arial" w:hAnsi="Arial" w:cs="Arial"/>
          <w:b/>
        </w:rPr>
        <w:t>opulation</w:t>
      </w:r>
      <w:r w:rsidR="003F0BA2" w:rsidRPr="007575B8">
        <w:rPr>
          <w:rFonts w:ascii="Arial" w:hAnsi="Arial" w:cs="Arial"/>
          <w:b/>
        </w:rPr>
        <w:t>-based study</w:t>
      </w:r>
      <w:r w:rsidR="00AC46D7" w:rsidRPr="007575B8">
        <w:rPr>
          <w:rFonts w:ascii="Arial" w:hAnsi="Arial" w:cs="Arial"/>
          <w:b/>
        </w:rPr>
        <w:t xml:space="preserve"> </w:t>
      </w:r>
    </w:p>
    <w:p w:rsidR="007575B8" w:rsidRPr="007575B8" w:rsidRDefault="007575B8" w:rsidP="007575B8">
      <w:pPr>
        <w:pStyle w:val="ListParagraph"/>
        <w:ind w:left="1080"/>
        <w:jc w:val="both"/>
        <w:rPr>
          <w:rFonts w:ascii="Arial" w:hAnsi="Arial" w:cs="Arial"/>
          <w:b/>
        </w:rPr>
      </w:pPr>
    </w:p>
    <w:p w:rsidR="003F0BA2" w:rsidRPr="007575B8" w:rsidRDefault="003F0BA2" w:rsidP="007575B8">
      <w:pPr>
        <w:ind w:left="720"/>
        <w:jc w:val="both"/>
        <w:rPr>
          <w:rFonts w:ascii="Arial" w:hAnsi="Arial" w:cs="Arial"/>
        </w:rPr>
      </w:pPr>
      <w:r w:rsidRPr="007575B8">
        <w:rPr>
          <w:rFonts w:ascii="Arial" w:hAnsi="Arial" w:cs="Arial"/>
        </w:rPr>
        <w:t>OR</w:t>
      </w:r>
    </w:p>
    <w:p w:rsidR="00AB3DE4" w:rsidRPr="007575B8" w:rsidRDefault="00AB3DE4" w:rsidP="007575B8">
      <w:pPr>
        <w:pStyle w:val="ListParagraph"/>
        <w:numPr>
          <w:ilvl w:val="0"/>
          <w:numId w:val="2"/>
        </w:numPr>
        <w:jc w:val="both"/>
        <w:rPr>
          <w:rFonts w:ascii="Arial" w:hAnsi="Arial" w:cs="Arial"/>
        </w:rPr>
      </w:pPr>
      <w:r w:rsidRPr="007575B8">
        <w:rPr>
          <w:rFonts w:ascii="Arial" w:hAnsi="Arial" w:cs="Arial"/>
          <w:b/>
        </w:rPr>
        <w:t xml:space="preserve">A </w:t>
      </w:r>
      <w:r w:rsidR="002B54A9">
        <w:rPr>
          <w:rFonts w:ascii="Arial" w:hAnsi="Arial" w:cs="Arial"/>
          <w:b/>
        </w:rPr>
        <w:t>proband-based/</w:t>
      </w:r>
      <w:r w:rsidR="003F0BA2" w:rsidRPr="007575B8">
        <w:rPr>
          <w:rFonts w:ascii="Arial" w:hAnsi="Arial" w:cs="Arial"/>
          <w:b/>
        </w:rPr>
        <w:t xml:space="preserve">family-based study with </w:t>
      </w:r>
      <w:r w:rsidR="002B54A9">
        <w:rPr>
          <w:rFonts w:ascii="Arial" w:hAnsi="Arial" w:cs="Arial"/>
          <w:b/>
        </w:rPr>
        <w:t xml:space="preserve">appropriate </w:t>
      </w:r>
      <w:r w:rsidRPr="007575B8">
        <w:rPr>
          <w:rFonts w:ascii="Arial" w:hAnsi="Arial" w:cs="Arial"/>
          <w:b/>
        </w:rPr>
        <w:t>ascertainment adjustment</w:t>
      </w:r>
      <w:r w:rsidR="002B54A9">
        <w:rPr>
          <w:rFonts w:ascii="Arial" w:hAnsi="Arial" w:cs="Arial"/>
          <w:b/>
        </w:rPr>
        <w:t>:</w:t>
      </w:r>
      <w:r w:rsidR="007575B8">
        <w:rPr>
          <w:rFonts w:ascii="Arial" w:hAnsi="Arial" w:cs="Arial"/>
          <w:b/>
        </w:rPr>
        <w:t xml:space="preserve"> such as GRL, modified segregation </w:t>
      </w:r>
      <w:r w:rsidR="007575B8" w:rsidRPr="00351195">
        <w:rPr>
          <w:rFonts w:ascii="Arial" w:hAnsi="Arial" w:cs="Arial"/>
          <w:b/>
        </w:rPr>
        <w:t>analysis</w:t>
      </w:r>
      <w:r w:rsidRPr="00351195">
        <w:rPr>
          <w:rFonts w:ascii="Arial" w:hAnsi="Arial" w:cs="Arial"/>
          <w:b/>
        </w:rPr>
        <w:t>, like</w:t>
      </w:r>
      <w:r w:rsidRPr="007575B8">
        <w:rPr>
          <w:rFonts w:ascii="Arial" w:hAnsi="Arial" w:cs="Arial"/>
        </w:rPr>
        <w:t xml:space="preserve"> </w:t>
      </w:r>
    </w:p>
    <w:p w:rsidR="00AB3DE4" w:rsidRPr="007575B8" w:rsidRDefault="00AB3DE4" w:rsidP="007575B8">
      <w:pPr>
        <w:pStyle w:val="ListParagraph"/>
        <w:numPr>
          <w:ilvl w:val="0"/>
          <w:numId w:val="3"/>
        </w:numPr>
        <w:jc w:val="both"/>
        <w:rPr>
          <w:rFonts w:ascii="Arial" w:hAnsi="Arial" w:cs="Arial"/>
          <w:i/>
        </w:rPr>
      </w:pPr>
      <w:r w:rsidRPr="007575B8">
        <w:rPr>
          <w:rFonts w:ascii="Arial" w:hAnsi="Arial" w:cs="Arial"/>
          <w:i/>
        </w:rPr>
        <w:t>“To adjust for ascertainment, we used an ascertainment assumption–free approach in which we evaluated each family separately.”</w:t>
      </w:r>
    </w:p>
    <w:p w:rsidR="00AB3DE4" w:rsidRPr="007575B8" w:rsidRDefault="00AB3DE4" w:rsidP="007575B8">
      <w:pPr>
        <w:pStyle w:val="ListParagraph"/>
        <w:numPr>
          <w:ilvl w:val="0"/>
          <w:numId w:val="3"/>
        </w:numPr>
        <w:jc w:val="both"/>
        <w:rPr>
          <w:rFonts w:ascii="Arial" w:hAnsi="Arial" w:cs="Arial"/>
          <w:i/>
        </w:rPr>
      </w:pPr>
      <w:r w:rsidRPr="007575B8">
        <w:rPr>
          <w:rFonts w:ascii="Arial" w:hAnsi="Arial" w:cs="Arial"/>
          <w:i/>
        </w:rPr>
        <w:t>“This was achieved by using the genotype</w:t>
      </w:r>
      <w:r w:rsidR="00EF5039" w:rsidRPr="007575B8">
        <w:rPr>
          <w:rFonts w:ascii="Arial" w:hAnsi="Arial" w:cs="Arial"/>
          <w:i/>
        </w:rPr>
        <w:t xml:space="preserve"> </w:t>
      </w:r>
      <w:r w:rsidRPr="007575B8">
        <w:rPr>
          <w:rFonts w:ascii="Arial" w:hAnsi="Arial" w:cs="Arial"/>
          <w:i/>
        </w:rPr>
        <w:t>restricted likelihood (GRL) method, a maximum likelihood parametric method providing unbiased penetrance estimates irrespective of the criteria used for family selection.</w:t>
      </w:r>
      <w:r w:rsidR="007575B8">
        <w:rPr>
          <w:rFonts w:ascii="Arial" w:hAnsi="Arial" w:cs="Arial"/>
          <w:i/>
        </w:rPr>
        <w:t>”</w:t>
      </w:r>
    </w:p>
    <w:p w:rsidR="00AB3DE4" w:rsidRPr="007575B8" w:rsidRDefault="00AC46D7" w:rsidP="007575B8">
      <w:pPr>
        <w:pStyle w:val="ListParagraph"/>
        <w:numPr>
          <w:ilvl w:val="0"/>
          <w:numId w:val="3"/>
        </w:numPr>
        <w:jc w:val="both"/>
        <w:rPr>
          <w:rFonts w:ascii="Arial" w:hAnsi="Arial" w:cs="Arial"/>
          <w:i/>
        </w:rPr>
      </w:pPr>
      <w:r w:rsidRPr="007575B8">
        <w:rPr>
          <w:rFonts w:ascii="Arial" w:hAnsi="Arial" w:cs="Arial"/>
          <w:i/>
        </w:rPr>
        <w:t>“</w:t>
      </w:r>
      <w:r w:rsidR="003F070B" w:rsidRPr="007575B8">
        <w:rPr>
          <w:rFonts w:ascii="Arial" w:hAnsi="Arial" w:cs="Arial"/>
          <w:i/>
        </w:rPr>
        <w:t xml:space="preserve">We used a modified segregation analysis (as described in detail in the Appendix in the work by </w:t>
      </w:r>
      <w:proofErr w:type="spellStart"/>
      <w:r w:rsidR="003F070B" w:rsidRPr="007575B8">
        <w:rPr>
          <w:rFonts w:ascii="Arial" w:hAnsi="Arial" w:cs="Arial"/>
          <w:i/>
        </w:rPr>
        <w:t>Dowty</w:t>
      </w:r>
      <w:proofErr w:type="spellEnd"/>
      <w:r w:rsidR="003F070B" w:rsidRPr="007575B8">
        <w:rPr>
          <w:rFonts w:ascii="Arial" w:hAnsi="Arial" w:cs="Arial"/>
          <w:i/>
        </w:rPr>
        <w:t xml:space="preserve"> et al). This analytical method is not subject to population stratification, can be rigorously adjusted for ascertainment and uses data on all study participants, whether genotyped or not, thereby maximizing statistical power.</w:t>
      </w:r>
      <w:r w:rsidRPr="007575B8">
        <w:rPr>
          <w:rFonts w:ascii="Arial" w:hAnsi="Arial" w:cs="Arial"/>
          <w:i/>
        </w:rPr>
        <w:t>”</w:t>
      </w:r>
    </w:p>
    <w:p w:rsidR="003F070B" w:rsidRPr="007575B8" w:rsidRDefault="00AC46D7" w:rsidP="007575B8">
      <w:pPr>
        <w:pStyle w:val="ListParagraph"/>
        <w:numPr>
          <w:ilvl w:val="0"/>
          <w:numId w:val="3"/>
        </w:numPr>
        <w:jc w:val="both"/>
        <w:rPr>
          <w:rFonts w:ascii="Arial" w:hAnsi="Arial" w:cs="Arial"/>
          <w:i/>
        </w:rPr>
      </w:pPr>
      <w:r w:rsidRPr="007575B8">
        <w:rPr>
          <w:rFonts w:ascii="Arial" w:hAnsi="Arial" w:cs="Arial"/>
          <w:i/>
        </w:rPr>
        <w:t>“CRC and EC risks were estimated using modified segregation analysis implemented in the pedigree analysis software MENDEL (University of California, Los Angeles, Los Angeles, CA), as previously described.”</w:t>
      </w:r>
    </w:p>
    <w:p w:rsidR="00031CBA" w:rsidRDefault="007575B8" w:rsidP="007575B8">
      <w:pPr>
        <w:pStyle w:val="ListParagraph"/>
        <w:numPr>
          <w:ilvl w:val="0"/>
          <w:numId w:val="3"/>
        </w:numPr>
        <w:jc w:val="both"/>
        <w:rPr>
          <w:rFonts w:ascii="Arial" w:hAnsi="Arial" w:cs="Arial"/>
          <w:i/>
        </w:rPr>
      </w:pPr>
      <w:r>
        <w:rPr>
          <w:rFonts w:ascii="Arial" w:hAnsi="Arial" w:cs="Arial"/>
          <w:i/>
        </w:rPr>
        <w:t>“</w:t>
      </w:r>
      <w:r w:rsidR="00031CBA" w:rsidRPr="007575B8">
        <w:rPr>
          <w:rFonts w:ascii="Arial" w:hAnsi="Arial" w:cs="Arial"/>
          <w:i/>
        </w:rPr>
        <w:t xml:space="preserve">We estimated the relative risk of pancreatic cancer as a standardized incidence ratio (SIR), defined as the number of pancreatic cancer cases observed divided by the number expected </w:t>
      </w:r>
      <w:proofErr w:type="gramStart"/>
      <w:r w:rsidR="00031CBA" w:rsidRPr="007575B8">
        <w:rPr>
          <w:rFonts w:ascii="Arial" w:hAnsi="Arial" w:cs="Arial"/>
          <w:i/>
        </w:rPr>
        <w:t>on the basis of</w:t>
      </w:r>
      <w:proofErr w:type="gramEnd"/>
      <w:r w:rsidR="00031CBA" w:rsidRPr="007575B8">
        <w:rPr>
          <w:rFonts w:ascii="Arial" w:hAnsi="Arial" w:cs="Arial"/>
          <w:i/>
        </w:rPr>
        <w:t xml:space="preserve"> incidence rates for the general population. The expected number of cases was calculated by multiplying person-years at risk with population incidence rates of pancreatic cancer……..Once we verified that the SIR estimates were not influenced by such cohort-effects, our final analyses were based on population rates specific for each country, sex, and 5-year age group averaged from 1950 to 2009 which were applied to all follow-up, regardless of calendar year.</w:t>
      </w:r>
      <w:r>
        <w:rPr>
          <w:rFonts w:ascii="Arial" w:hAnsi="Arial" w:cs="Arial"/>
          <w:i/>
        </w:rPr>
        <w:t>”</w:t>
      </w:r>
    </w:p>
    <w:p w:rsidR="007575B8" w:rsidRPr="007575B8" w:rsidRDefault="007575B8" w:rsidP="007575B8">
      <w:pPr>
        <w:pStyle w:val="ListParagraph"/>
        <w:ind w:left="1440"/>
        <w:jc w:val="both"/>
        <w:rPr>
          <w:rFonts w:ascii="Arial" w:hAnsi="Arial" w:cs="Arial"/>
          <w:i/>
        </w:rPr>
      </w:pPr>
    </w:p>
    <w:p w:rsidR="00B773BA" w:rsidRPr="007575B8" w:rsidRDefault="003F0BA2" w:rsidP="007575B8">
      <w:pPr>
        <w:ind w:left="720"/>
        <w:jc w:val="both"/>
        <w:rPr>
          <w:rFonts w:ascii="Arial" w:hAnsi="Arial" w:cs="Arial"/>
        </w:rPr>
      </w:pPr>
      <w:r w:rsidRPr="007575B8">
        <w:rPr>
          <w:rFonts w:ascii="Arial" w:hAnsi="Arial" w:cs="Arial"/>
        </w:rPr>
        <w:t>OR</w:t>
      </w:r>
    </w:p>
    <w:p w:rsidR="003F0BA2" w:rsidRPr="007575B8" w:rsidRDefault="00AB3DE4" w:rsidP="007575B8">
      <w:pPr>
        <w:pStyle w:val="ListParagraph"/>
        <w:numPr>
          <w:ilvl w:val="0"/>
          <w:numId w:val="2"/>
        </w:numPr>
        <w:jc w:val="both"/>
        <w:rPr>
          <w:rFonts w:ascii="Arial" w:hAnsi="Arial" w:cs="Arial"/>
          <w:b/>
        </w:rPr>
      </w:pPr>
      <w:r w:rsidRPr="007575B8">
        <w:rPr>
          <w:rFonts w:ascii="Arial" w:hAnsi="Arial" w:cs="Arial"/>
          <w:b/>
        </w:rPr>
        <w:t>A h</w:t>
      </w:r>
      <w:r w:rsidR="003F0BA2" w:rsidRPr="007575B8">
        <w:rPr>
          <w:rFonts w:ascii="Arial" w:hAnsi="Arial" w:cs="Arial"/>
          <w:b/>
        </w:rPr>
        <w:t>ospital</w:t>
      </w:r>
      <w:r w:rsidR="00031CBA" w:rsidRPr="007575B8">
        <w:rPr>
          <w:rFonts w:ascii="Arial" w:hAnsi="Arial" w:cs="Arial"/>
          <w:b/>
        </w:rPr>
        <w:t>/</w:t>
      </w:r>
      <w:r w:rsidR="00351195">
        <w:rPr>
          <w:rFonts w:ascii="Arial" w:hAnsi="Arial" w:cs="Arial"/>
          <w:b/>
        </w:rPr>
        <w:t>l</w:t>
      </w:r>
      <w:r w:rsidR="00031CBA" w:rsidRPr="007575B8">
        <w:rPr>
          <w:rFonts w:ascii="Arial" w:hAnsi="Arial" w:cs="Arial"/>
          <w:b/>
        </w:rPr>
        <w:t>ab</w:t>
      </w:r>
      <w:r w:rsidR="003F0BA2" w:rsidRPr="007575B8">
        <w:rPr>
          <w:rFonts w:ascii="Arial" w:hAnsi="Arial" w:cs="Arial"/>
          <w:b/>
        </w:rPr>
        <w:t xml:space="preserve">-based case-control </w:t>
      </w:r>
      <w:r w:rsidR="00EF5039" w:rsidRPr="007575B8">
        <w:rPr>
          <w:rFonts w:ascii="Arial" w:hAnsi="Arial" w:cs="Arial"/>
          <w:b/>
        </w:rPr>
        <w:t xml:space="preserve">study with population-based </w:t>
      </w:r>
      <w:r w:rsidR="00031CBA" w:rsidRPr="007575B8">
        <w:rPr>
          <w:rFonts w:ascii="Arial" w:hAnsi="Arial" w:cs="Arial"/>
          <w:b/>
        </w:rPr>
        <w:t xml:space="preserve">or matched </w:t>
      </w:r>
      <w:r w:rsidR="00EF5039" w:rsidRPr="007575B8">
        <w:rPr>
          <w:rFonts w:ascii="Arial" w:hAnsi="Arial" w:cs="Arial"/>
          <w:b/>
        </w:rPr>
        <w:t>controls</w:t>
      </w:r>
      <w:r w:rsidR="001A3917" w:rsidRPr="007575B8">
        <w:rPr>
          <w:rFonts w:ascii="Arial" w:hAnsi="Arial" w:cs="Arial"/>
          <w:b/>
        </w:rPr>
        <w:t>, like</w:t>
      </w:r>
      <w:r w:rsidR="007575B8" w:rsidRPr="007575B8">
        <w:rPr>
          <w:rFonts w:ascii="Arial" w:hAnsi="Arial" w:cs="Arial"/>
          <w:b/>
        </w:rPr>
        <w:t>:</w:t>
      </w:r>
      <w:r w:rsidR="001A3917" w:rsidRPr="007575B8">
        <w:rPr>
          <w:rFonts w:ascii="Arial" w:hAnsi="Arial" w:cs="Arial"/>
          <w:b/>
        </w:rPr>
        <w:t xml:space="preserve"> </w:t>
      </w:r>
    </w:p>
    <w:p w:rsidR="00B773BA" w:rsidRPr="007575B8" w:rsidRDefault="007575B8" w:rsidP="007575B8">
      <w:pPr>
        <w:pStyle w:val="ListParagraph"/>
        <w:numPr>
          <w:ilvl w:val="0"/>
          <w:numId w:val="4"/>
        </w:numPr>
        <w:jc w:val="both"/>
        <w:rPr>
          <w:rFonts w:ascii="Arial" w:hAnsi="Arial" w:cs="Arial"/>
          <w:i/>
        </w:rPr>
      </w:pPr>
      <w:r w:rsidRPr="007575B8">
        <w:rPr>
          <w:rFonts w:ascii="Arial" w:hAnsi="Arial" w:cs="Arial"/>
          <w:i/>
        </w:rPr>
        <w:lastRenderedPageBreak/>
        <w:t>“</w:t>
      </w:r>
      <w:r w:rsidR="00B773BA" w:rsidRPr="007575B8">
        <w:rPr>
          <w:rFonts w:ascii="Arial" w:hAnsi="Arial" w:cs="Arial"/>
          <w:i/>
        </w:rPr>
        <w:t>We tested for association between deleterious mutations and ovarian cancer risk using unconditional logistic regression adjusted for geographical region of origin (Australia, continental Europe, the United Kingdom, and the United States), calculated the odds ratios, and performed segregation analysis to estimate risks associated with BRIP1 as previously described</w:t>
      </w:r>
      <w:r w:rsidRPr="007575B8">
        <w:rPr>
          <w:rFonts w:ascii="Arial" w:hAnsi="Arial" w:cs="Arial"/>
          <w:i/>
        </w:rPr>
        <w:t>.”</w:t>
      </w:r>
    </w:p>
    <w:p w:rsidR="00B773BA" w:rsidRPr="007575B8" w:rsidRDefault="00B773BA" w:rsidP="007575B8">
      <w:pPr>
        <w:pStyle w:val="ListParagraph"/>
        <w:numPr>
          <w:ilvl w:val="0"/>
          <w:numId w:val="4"/>
        </w:numPr>
        <w:jc w:val="both"/>
        <w:rPr>
          <w:rFonts w:ascii="Arial" w:hAnsi="Arial" w:cs="Arial"/>
          <w:i/>
        </w:rPr>
      </w:pPr>
      <w:r w:rsidRPr="007575B8">
        <w:rPr>
          <w:rFonts w:ascii="Arial" w:hAnsi="Arial" w:cs="Arial"/>
          <w:i/>
        </w:rPr>
        <w:t>“For age-adjusted analysis, the projected U.S. population (year 2000) was used; 84% of the 3,399 individuals were white, justifying the use of the U.S. SEER population.”</w:t>
      </w:r>
    </w:p>
    <w:p w:rsidR="00B773BA" w:rsidRPr="007575B8" w:rsidRDefault="00B773BA" w:rsidP="007575B8">
      <w:pPr>
        <w:pStyle w:val="ListParagraph"/>
        <w:numPr>
          <w:ilvl w:val="0"/>
          <w:numId w:val="4"/>
        </w:numPr>
        <w:jc w:val="both"/>
        <w:rPr>
          <w:rFonts w:ascii="Arial" w:hAnsi="Arial" w:cs="Arial"/>
          <w:i/>
        </w:rPr>
      </w:pPr>
      <w:r w:rsidRPr="007575B8">
        <w:rPr>
          <w:rFonts w:ascii="Arial" w:hAnsi="Arial" w:cs="Arial"/>
          <w:i/>
        </w:rPr>
        <w:t xml:space="preserve">“Two </w:t>
      </w:r>
      <w:proofErr w:type="spellStart"/>
      <w:r w:rsidRPr="007575B8">
        <w:rPr>
          <w:rFonts w:ascii="Arial" w:hAnsi="Arial" w:cs="Arial"/>
          <w:i/>
        </w:rPr>
        <w:t>publically</w:t>
      </w:r>
      <w:proofErr w:type="spellEnd"/>
      <w:r w:rsidRPr="007575B8">
        <w:rPr>
          <w:rFonts w:ascii="Arial" w:hAnsi="Arial" w:cs="Arial"/>
          <w:i/>
        </w:rPr>
        <w:t xml:space="preserve"> available, overlapping, online exome sequencing data sets were used to estimate population mutation </w:t>
      </w:r>
      <w:proofErr w:type="spellStart"/>
      <w:r w:rsidRPr="007575B8">
        <w:rPr>
          <w:rFonts w:ascii="Arial" w:hAnsi="Arial" w:cs="Arial"/>
          <w:i/>
        </w:rPr>
        <w:t>mutation</w:t>
      </w:r>
      <w:proofErr w:type="spellEnd"/>
      <w:r w:rsidRPr="007575B8">
        <w:rPr>
          <w:rFonts w:ascii="Arial" w:hAnsi="Arial" w:cs="Arial"/>
          <w:i/>
        </w:rPr>
        <w:t xml:space="preserve"> frequencies: the European American (EA) data set from the National, Heart, Lung, and Blood Institute Exome Sequencing Project (ESP) and the Exome Aggregation Consortium (</w:t>
      </w:r>
      <w:proofErr w:type="spellStart"/>
      <w:r w:rsidRPr="007575B8">
        <w:rPr>
          <w:rFonts w:ascii="Arial" w:hAnsi="Arial" w:cs="Arial"/>
          <w:i/>
        </w:rPr>
        <w:t>ExAC</w:t>
      </w:r>
      <w:proofErr w:type="spellEnd"/>
      <w:r w:rsidRPr="007575B8">
        <w:rPr>
          <w:rFonts w:ascii="Arial" w:hAnsi="Arial" w:cs="Arial"/>
          <w:i/>
        </w:rPr>
        <w:t>).”</w:t>
      </w:r>
    </w:p>
    <w:p w:rsidR="001A3917" w:rsidRPr="007575B8" w:rsidRDefault="001A3917" w:rsidP="007575B8">
      <w:pPr>
        <w:pStyle w:val="ListParagraph"/>
        <w:numPr>
          <w:ilvl w:val="0"/>
          <w:numId w:val="4"/>
        </w:numPr>
        <w:jc w:val="both"/>
        <w:rPr>
          <w:rFonts w:ascii="Arial" w:hAnsi="Arial" w:cs="Arial"/>
          <w:i/>
        </w:rPr>
      </w:pPr>
      <w:r w:rsidRPr="007575B8">
        <w:rPr>
          <w:rFonts w:ascii="Arial" w:hAnsi="Arial" w:cs="Arial"/>
          <w:i/>
        </w:rPr>
        <w:t>“A control population was defined from the National Danish Civil Registration System, with five population controls, matched on sex and year of birth, for mutation carriers as well as first-degree relatives. “</w:t>
      </w:r>
    </w:p>
    <w:p w:rsidR="00A85336" w:rsidRPr="007575B8" w:rsidRDefault="00A85336" w:rsidP="007575B8">
      <w:pPr>
        <w:pStyle w:val="ListParagraph"/>
        <w:numPr>
          <w:ilvl w:val="0"/>
          <w:numId w:val="4"/>
        </w:numPr>
        <w:jc w:val="both"/>
        <w:rPr>
          <w:rFonts w:ascii="Arial" w:hAnsi="Arial" w:cs="Arial"/>
          <w:i/>
        </w:rPr>
      </w:pPr>
      <w:r w:rsidRPr="007575B8">
        <w:rPr>
          <w:rFonts w:ascii="Arial" w:hAnsi="Arial" w:cs="Arial"/>
          <w:i/>
        </w:rPr>
        <w:t xml:space="preserve">“Cases and controls were matched 1:1 according to age (63 years), ancestry (exact match), and family cancer history (breast, ovarian, colon, </w:t>
      </w:r>
      <w:proofErr w:type="gramStart"/>
      <w:r w:rsidRPr="007575B8">
        <w:rPr>
          <w:rFonts w:ascii="Arial" w:hAnsi="Arial" w:cs="Arial"/>
          <w:i/>
        </w:rPr>
        <w:t>uterine)…</w:t>
      </w:r>
      <w:proofErr w:type="gramEnd"/>
      <w:r w:rsidRPr="007575B8">
        <w:rPr>
          <w:rFonts w:ascii="Arial" w:hAnsi="Arial" w:cs="Arial"/>
          <w:i/>
        </w:rPr>
        <w:t>… Cumulative risks were calculated according to the product-</w:t>
      </w:r>
      <w:proofErr w:type="spellStart"/>
      <w:r w:rsidRPr="007575B8">
        <w:rPr>
          <w:rFonts w:ascii="Arial" w:hAnsi="Arial" w:cs="Arial"/>
          <w:i/>
        </w:rPr>
        <w:t>limitmethod</w:t>
      </w:r>
      <w:proofErr w:type="spellEnd"/>
      <w:r w:rsidR="002B54A9">
        <w:rPr>
          <w:rFonts w:ascii="Arial" w:hAnsi="Arial" w:cs="Arial"/>
          <w:i/>
        </w:rPr>
        <w:t>,</w:t>
      </w:r>
      <w:r w:rsidRPr="007575B8">
        <w:rPr>
          <w:rFonts w:ascii="Arial" w:hAnsi="Arial" w:cs="Arial"/>
          <w:i/>
        </w:rPr>
        <w:t xml:space="preserve"> with age specific incidences estimated as the product of age specific ORs and general population incidences.”</w:t>
      </w:r>
      <w:bookmarkStart w:id="0" w:name="_GoBack"/>
      <w:bookmarkEnd w:id="0"/>
    </w:p>
    <w:sectPr w:rsidR="00A85336" w:rsidRPr="00757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F4293"/>
    <w:multiLevelType w:val="hybridMultilevel"/>
    <w:tmpl w:val="3198E846"/>
    <w:lvl w:ilvl="0" w:tplc="404854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91C32DB"/>
    <w:multiLevelType w:val="hybridMultilevel"/>
    <w:tmpl w:val="ACF6CEB0"/>
    <w:lvl w:ilvl="0" w:tplc="5D96DD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72441E8"/>
    <w:multiLevelType w:val="hybridMultilevel"/>
    <w:tmpl w:val="4A306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C63138"/>
    <w:multiLevelType w:val="hybridMultilevel"/>
    <w:tmpl w:val="FF420E5C"/>
    <w:lvl w:ilvl="0" w:tplc="A726DAA8">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0180AAD"/>
    <w:multiLevelType w:val="hybridMultilevel"/>
    <w:tmpl w:val="ACF6CEB0"/>
    <w:lvl w:ilvl="0" w:tplc="5D96DD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61A"/>
    <w:rsid w:val="00031CBA"/>
    <w:rsid w:val="001A3917"/>
    <w:rsid w:val="001B06EA"/>
    <w:rsid w:val="002B54A9"/>
    <w:rsid w:val="00351195"/>
    <w:rsid w:val="003F070B"/>
    <w:rsid w:val="003F0BA2"/>
    <w:rsid w:val="007017C3"/>
    <w:rsid w:val="007575B8"/>
    <w:rsid w:val="009E561A"/>
    <w:rsid w:val="00A85336"/>
    <w:rsid w:val="00AB3DE4"/>
    <w:rsid w:val="00AC46D7"/>
    <w:rsid w:val="00B773BA"/>
    <w:rsid w:val="00EF5039"/>
    <w:rsid w:val="00EF578B"/>
    <w:rsid w:val="00FB7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B8C88"/>
  <w15:chartTrackingRefBased/>
  <w15:docId w15:val="{333F0D27-830B-4A67-8EA9-D8DF879F6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61A"/>
    <w:pPr>
      <w:ind w:left="720"/>
      <w:contextualSpacing/>
    </w:pPr>
  </w:style>
  <w:style w:type="character" w:styleId="IntenseEmphasis">
    <w:name w:val="Intense Emphasis"/>
    <w:basedOn w:val="DefaultParagraphFont"/>
    <w:uiPriority w:val="21"/>
    <w:qFormat/>
    <w:rsid w:val="00A8533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Kanhua</dc:creator>
  <cp:keywords/>
  <dc:description/>
  <cp:lastModifiedBy>Yin, Kanhua</cp:lastModifiedBy>
  <cp:revision>9</cp:revision>
  <dcterms:created xsi:type="dcterms:W3CDTF">2019-03-13T19:41:00Z</dcterms:created>
  <dcterms:modified xsi:type="dcterms:W3CDTF">2019-03-18T20:42:00Z</dcterms:modified>
</cp:coreProperties>
</file>