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discriminating_stealth_debris_rel_2f5284"/>
      <w:r>
        <w:rPr>
          <w:b/>
          <w:sz w:val="56"/>
        </w:rPr>
        <w:t xml:space="preserve">Discriminating Stealth Debris Releases Using Small-Particle Impact Sensors</w:t>
      </w:r>
      <w:bookmarkEnd w:id="0"/>
    </w:p>
    <w:p>
      <w:pPr>
        <w:spacing w:after="210" w:lineRule="auto"/>
      </w:pPr>
      <w:r>
        <w:rPr>
          <w:b/>
        </w:rPr>
        <w:t xml:space="preserve">Somi Eigbe</w:t>
      </w:r>
      <w:r>
        <w:rPr/>
        <w:br w:type="textWrapping"/>
      </w:r>
      <w:r>
        <w:rPr/>
        <w:t xml:space="preserve">Aeronautics &amp; Astronautics, Stanford University</w:t>
      </w:r>
    </w:p>
    <w:p>
      <w:pPr>
        <w:spacing w:line="271" w:before="240" w:lineRule="auto"/>
      </w:pPr>
      <w:bookmarkStart w:id="1" w:name="bm_1_problem_overview"/>
      <w:r>
        <w:rPr>
          <w:b/>
          <w:sz w:val="42"/>
        </w:rPr>
        <w:t xml:space="preserve">1. Problem Overview</w:t>
      </w:r>
      <w:bookmarkEnd w:id="1"/>
    </w:p>
    <w:p>
      <w:pPr>
        <w:spacing w:after="210" w:lineRule="auto"/>
      </w:pPr>
      <w:r>
        <w:rPr>
          <w:rFonts w:eastAsia="Georgia" w:cs="Georgia" w:ascii="Georgia" w:hAnsi="Georgia"/>
        </w:rPr>
        <w:t xml:space="preserve">Low Earth orbit (LEO) is becoming increasingly congested as the number of operational satellites and debris objects grows. Small debris particles in the 0.1–1 mm range pose significant hazards because they travel at hypervelocity speeds but cannot be individually tracked by current ground-based radar or optical systems. Existing Space Situational Awareness (SSA) capabilities primarily monitor centimeter-scale and larger objects, leaving a large population of smaller particles effectively invisible to cataloging.</w:t>
      </w:r>
    </w:p>
    <w:p>
      <w:pPr>
        <w:spacing w:after="210" w:lineRule="auto"/>
      </w:pPr>
      <w:r>
        <w:rPr/>
        <w:t xml:space="preserve">At the same time, new security concerns are emerging. A stealthy anti-satellite (ASAT) attack could deliberately release small debris particles designed to blend into the natural environment. If such an event occurred near a spacecraft, distinguishing an intentional debris release from an accidental breakup would be extremely difficult using only conventional SSA data products.</w:t>
      </w:r>
    </w:p>
    <w:p>
      <w:pPr>
        <w:spacing w:after="210" w:lineRule="auto"/>
      </w:pPr>
      <w:r>
        <w:rPr/>
        <w:t xml:space="preserve">This motivates the central question: </w:t>
      </w:r>
      <w:r>
        <w:rPr>
          <w:b/>
        </w:rPr>
        <w:t xml:space="preserve">Can small-particle impact sensors on a spacecraft provide enough information to discriminate between deliberate debris releases and accidental fragmentation events?</w:t>
      </w:r>
      <w:r>
        <w:rPr/>
        <w:t xml:space="preserve"> I explore this by asking what physical signatures in the small-particle impact record might distinguish different classes of nearby events.</w:t>
      </w:r>
    </w:p>
    <w:p>
      <w:pPr>
        <w:spacing w:line="271" w:before="240" w:lineRule="auto"/>
      </w:pPr>
      <w:bookmarkStart w:id="2" w:name="bm_2_prior_work"/>
      <w:r>
        <w:rPr>
          <w:b/>
          <w:sz w:val="42"/>
        </w:rPr>
        <w:t xml:space="preserve">2. Prior Work</w:t>
      </w:r>
      <w:bookmarkEnd w:id="2"/>
    </w:p>
    <w:p>
      <w:pPr>
        <w:spacing w:line="271" w:before="240" w:lineRule="auto"/>
      </w:pPr>
      <w:bookmarkStart w:id="3" w:name="small_particle_debris_sensing"/>
      <w:r>
        <w:rPr>
          <w:b/>
          <w:sz w:val="33"/>
        </w:rPr>
        <w:t xml:space="preserve">Small-particle debris sensing</w:t>
      </w:r>
      <w:bookmarkEnd w:id="3"/>
    </w:p>
    <w:p>
      <w:pPr>
        <w:spacing w:after="210" w:lineRule="auto"/>
      </w:pPr>
      <w:r>
        <w:rPr/>
        <w:t xml:space="preserve">The field has historically approached small-particle debris sensing through three main avenues: passive surfaces later inspected for craters and residue, in-situ impact detectors that record events as they occur, and laboratory hypervelocity-impact campaigns used to interpret sensor readings physically. These efforts have produced substantial knowledge about small-particle flux, size distributions, directions, and impact effects, but have rarely been framed as a way to classify discrete events such as accidental breakups versus engineered releases.</w:t>
      </w:r>
    </w:p>
    <w:p>
      <w:pPr>
        <w:spacing w:after="210" w:lineRule="auto"/>
      </w:pPr>
      <w:r>
        <w:rPr>
          <w:b/>
        </w:rPr>
        <w:t xml:space="preserve">Passive witness plates:</w:t>
      </w:r>
      <w:r>
        <w:rPr/>
        <w:t xml:space="preserve"> Returned hardware and long-lived platforms such as Hubble have been examined as "natural witness plates," with crater morphology and residue used to infer impactor size, velocity, composition, and flux. This provides high-fidelity evidence of the real environment over long time scales but is inherently retrospective and does not resolve real-time evolution of transient events.</w:t>
      </w:r>
    </w:p>
    <w:p>
      <w:pPr>
        <w:spacing w:after="210" w:lineRule="auto"/>
      </w:pPr>
      <w:r>
        <w:rPr>
          <w:b/>
        </w:rPr>
        <w:t xml:space="preserve">In-situ impact detection:</w:t>
      </w:r>
      <w:r>
        <w:rPr>
          <w:rFonts w:eastAsia="Georgia" w:cs="Georgia" w:ascii="Georgia" w:hAnsi="Georgia"/>
        </w:rPr>
        <w:t xml:space="preserve"> Instruments such as ESA's DEBIE combined piezoelectric transducers and plasma detectors to estimate impact momentum, ionization yield, and particle velocity and mass. ESA's GORID detector in GEO recorded thousands of events and identified clusters in time, showing that in-situ instruments can probe temporal structure, not just average flux. NASA's DRAGONS/Space Debris Sensor (SDS) on ISS combined resistive grids and acoustic sensing to provide impact timing, location, and size-related information for sub-millimeter to millimeter particles—a particularly strong precedent for on-board small-particle sensors supporting operational decisions.</w:t>
      </w:r>
    </w:p>
    <w:p>
      <w:pPr>
        <w:spacing w:after="210" w:lineRule="auto"/>
      </w:pPr>
      <w:r>
        <w:rPr>
          <w:b/>
        </w:rPr>
        <w:t xml:space="preserve">Impact physics and signatures:</w:t>
      </w:r>
      <w:r>
        <w:rPr/>
        <w:t xml:space="preserve"> Long-standing literature on electrical, plasma, and structural signatures shows that hypervelocity impacts generate charge clouds, transient plasmas, and acoustic/structural responses whose amplitudes depend on particle mass, speed, and materials. Laboratory campaigns such as DebriSat have systematically characterized ejecta and fragment populations. Within this tradition, Stanford's hypervelocity-impact group work, including Gil Shohet's research on dusty plasma, ejecta morphology, and dust charging, is especially relevant to the "plume" or "impact-signal" dimension, providing a concrete lineage for thinking about whether impact-generated clouds differ in structure or electrical properties across scenarios.</w:t>
      </w:r>
    </w:p>
    <w:p>
      <w:pPr>
        <w:spacing w:line="271" w:before="240" w:lineRule="auto"/>
      </w:pPr>
      <w:bookmarkStart w:id="4" w:name="the_gap"/>
      <w:r>
        <w:rPr>
          <w:b/>
          <w:sz w:val="33"/>
        </w:rPr>
        <w:t xml:space="preserve">The gap</w:t>
      </w:r>
      <w:bookmarkEnd w:id="4"/>
    </w:p>
    <w:p>
      <w:pPr>
        <w:spacing w:after="210" w:lineRule="auto"/>
      </w:pPr>
      <w:r>
        <w:rPr>
          <w:rFonts w:eastAsia="Georgia" w:cs="Georgia" w:ascii="Georgia" w:hAnsi="Georgia"/>
        </w:rPr>
        <w:t xml:space="preserve">What has not been done in a mature, openly published way is the specific classification problem I am targeting: using a time series of small-particle impacts and associated signals on a single spacecraft to infer whether a nearby event was ordinary background, an accidental breakup, or a deliberately engineered debris release. Existing programs provide the ingredients—sensors, calibration data, and impact physics—but stop short of asking whether those observables can be combined into a discrimination framework for security-relevant scenarios. My project is situated in this gap.</w:t>
      </w:r>
    </w:p>
    <w:p>
      <w:pPr>
        <w:spacing w:line="271" w:before="240" w:lineRule="auto"/>
      </w:pPr>
      <w:bookmarkStart w:id="5" w:name="bm_3_open_research_questions"/>
      <w:r>
        <w:rPr>
          <w:b/>
          <w:sz w:val="42"/>
        </w:rPr>
        <w:t xml:space="preserve">3. Open Research Questions</w:t>
      </w:r>
      <w:bookmarkEnd w:id="5"/>
    </w:p>
    <w:p>
      <w:pPr>
        <w:spacing w:after="210" w:lineRule="auto"/>
      </w:pPr>
      <w:r>
        <w:rPr/>
        <w:t xml:space="preserve">Several key questions remain unresolved:</w:t>
      </w:r>
    </w:p>
    <w:p>
      <w:pPr>
        <w:numPr>
          <w:ilvl w:val="0"/>
          <w:numId w:val="1"/>
        </w:numPr>
        <w:spacing w:lineRule="auto"/>
      </w:pPr>
      <w:r>
        <w:rPr/>
        <w:t xml:space="preserve">Whether the statistical signatures of an engineered debris cloud would differ reliably from those of a natural fragmentation event when viewed only through small-particle impacts on a single spacecraft.</w:t>
      </w:r>
    </w:p>
    <w:p>
      <w:pPr>
        <w:numPr>
          <w:ilvl w:val="0"/>
          <w:numId w:val="1"/>
        </w:numPr>
        <w:spacing w:lineRule="auto"/>
      </w:pPr>
      <w:r>
        <w:rPr>
          <w:rFonts w:eastAsia="Georgia" w:cs="Georgia" w:ascii="Georgia" w:hAnsi="Georgia"/>
        </w:rPr>
        <w:t xml:space="preserve">The relative importance of different observable parameters—impact rate, directionality, particle size distributions, and impact-signal characteristics.</w:t>
      </w:r>
    </w:p>
    <w:p>
      <w:pPr>
        <w:numPr>
          <w:ilvl w:val="0"/>
          <w:numId w:val="1"/>
        </w:numPr>
        <w:spacing w:lineRule="auto"/>
      </w:pPr>
      <w:r>
        <w:rPr/>
        <w:t xml:space="preserve">Whether detecting and classifying brief bursts of impacts requires different analytical approaches than long-term debris-environment studies that emphasize averages.</w:t>
      </w:r>
    </w:p>
    <w:p>
      <w:pPr>
        <w:numPr>
          <w:ilvl w:val="0"/>
          <w:numId w:val="1"/>
        </w:numPr>
        <w:spacing w:lineRule="auto"/>
      </w:pPr>
      <w:r>
        <w:rPr/>
        <w:t xml:space="preserve">Which sensor technologies are best suited to measure the physical parameters needed for such discrimination.</w:t>
      </w:r>
    </w:p>
    <w:p>
      <w:pPr>
        <w:spacing w:line="271" w:before="240" w:lineRule="auto"/>
      </w:pPr>
      <w:bookmarkStart w:id="6" w:name="bm_4_candidate_discriminating_parameters"/>
      <w:r>
        <w:rPr>
          <w:b/>
          <w:sz w:val="42"/>
        </w:rPr>
        <w:t xml:space="preserve">4. Candidate Discriminating Parameters</w:t>
      </w:r>
      <w:bookmarkEnd w:id="6"/>
    </w:p>
    <w:p>
      <w:pPr>
        <w:spacing w:after="210" w:lineRule="auto"/>
      </w:pPr>
      <w:r>
        <w:rPr/>
        <w:t xml:space="preserve">The table below summarizes parameters that may help distinguish accidental breakup events from deliberate debris releases.</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Parameter</w:t>
            </w:r>
          </w:p>
        </w:tc>
        <w:tc>
          <w:tcPr>
            <w:tcBorders>
              <w:top w:val="single" w:sz="8" w:space="0" w:color="000000"/>
              <w:bottom w:val="single" w:sz="8" w:space="0" w:color="000000"/>
              <w:right w:val="single" w:sz="8" w:space="0" w:color="000000"/>
            </w:tcBorders>
            <w:vAlign w:val="top"/>
          </w:tcPr>
          <w:p>
            <w:pPr>
              <w:spacing w:lineRule="auto"/>
              <w:jc w:val="left"/>
            </w:pPr>
            <w:r>
              <w:rPr/>
              <w:t xml:space="preserve">Accidental breakup (World C)</w:t>
            </w:r>
          </w:p>
        </w:tc>
        <w:tc>
          <w:tcPr>
            <w:tcBorders>
              <w:top w:val="single" w:sz="8" w:space="0" w:color="000000"/>
              <w:bottom w:val="single" w:sz="8" w:space="0" w:color="000000"/>
              <w:right w:val="single" w:sz="8" w:space="0" w:color="000000"/>
            </w:tcBorders>
            <w:vAlign w:val="top"/>
          </w:tcPr>
          <w:p>
            <w:pPr>
              <w:spacing w:lineRule="auto"/>
              <w:jc w:val="left"/>
            </w:pPr>
            <w:r>
              <w:rPr/>
              <w:t xml:space="preserve">Stealth debris release (World B)</w:t>
            </w:r>
          </w:p>
        </w:tc>
        <w:tc>
          <w:tcPr>
            <w:tcBorders>
              <w:top w:val="single" w:sz="8" w:space="0" w:color="000000"/>
              <w:bottom w:val="single" w:sz="8" w:space="0" w:color="000000"/>
              <w:right w:val="single" w:sz="8" w:space="0" w:color="000000"/>
            </w:tcBorders>
            <w:vAlign w:val="center"/>
          </w:tcPr>
          <w:p>
            <w:pPr>
              <w:spacing w:lineRule="auto"/>
              <w:jc w:val="left"/>
            </w:pPr>
            <w:r>
              <w:rPr/>
              <w:t xml:space="preserve">Example sensor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Impact rate</w:t>
            </w:r>
          </w:p>
        </w:tc>
        <w:tc>
          <w:tcPr>
            <w:tcBorders>
              <w:bottom w:val="single" w:sz="8" w:space="0" w:color="000000"/>
              <w:right w:val="single" w:sz="8" w:space="0" w:color="000000"/>
            </w:tcBorders>
            <w:vAlign w:val="top"/>
          </w:tcPr>
          <w:p>
            <w:pPr>
              <w:spacing w:lineRule="auto"/>
              <w:jc w:val="left"/>
            </w:pPr>
            <w:r>
              <w:rPr/>
              <w:t xml:space="preserve">Elevated over multiple orbits as debris spreads</w:t>
            </w:r>
          </w:p>
        </w:tc>
        <w:tc>
          <w:tcPr>
            <w:tcBorders>
              <w:bottom w:val="single" w:sz="8" w:space="0" w:color="000000"/>
              <w:right w:val="single" w:sz="8" w:space="0" w:color="000000"/>
            </w:tcBorders>
            <w:vAlign w:val="top"/>
          </w:tcPr>
          <w:p>
            <w:pPr>
              <w:spacing w:lineRule="auto"/>
              <w:jc w:val="left"/>
            </w:pPr>
            <w:r>
              <w:rPr/>
              <w:t xml:space="preserve">Short, localized burst during close approach</w:t>
            </w:r>
          </w:p>
        </w:tc>
        <w:tc>
          <w:tcPr>
            <w:tcBorders>
              <w:bottom w:val="single" w:sz="8" w:space="0" w:color="000000"/>
              <w:right w:val="single" w:sz="8" w:space="0" w:color="000000"/>
            </w:tcBorders>
            <w:vAlign w:val="center"/>
          </w:tcPr>
          <w:p>
            <w:pPr>
              <w:spacing w:lineRule="auto"/>
              <w:jc w:val="left"/>
            </w:pPr>
            <w:r>
              <w:rPr/>
              <w:t xml:space="preserve">Impact sensor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Directionality</w:t>
            </w:r>
          </w:p>
        </w:tc>
        <w:tc>
          <w:tcPr>
            <w:tcBorders>
              <w:bottom w:val="single" w:sz="8" w:space="0" w:color="000000"/>
              <w:right w:val="single" w:sz="8" w:space="0" w:color="000000"/>
            </w:tcBorders>
            <w:vAlign w:val="top"/>
          </w:tcPr>
          <w:p>
            <w:pPr>
              <w:spacing w:lineRule="auto"/>
              <w:jc w:val="left"/>
            </w:pPr>
            <w:r>
              <w:rPr/>
              <w:t xml:space="preserve">Broad or evolving arrival directions</w:t>
            </w:r>
          </w:p>
        </w:tc>
        <w:tc>
          <w:tcPr>
            <w:tcBorders>
              <w:bottom w:val="single" w:sz="8" w:space="0" w:color="000000"/>
              <w:right w:val="single" w:sz="8" w:space="0" w:color="000000"/>
            </w:tcBorders>
            <w:vAlign w:val="top"/>
          </w:tcPr>
          <w:p>
            <w:pPr>
              <w:spacing w:lineRule="auto"/>
              <w:jc w:val="left"/>
            </w:pPr>
            <w:r>
              <w:rPr/>
              <w:t xml:space="preserve">Concentrated cone aligned with attacker</w:t>
            </w:r>
          </w:p>
        </w:tc>
        <w:tc>
          <w:tcPr>
            <w:tcBorders>
              <w:bottom w:val="single" w:sz="8" w:space="0" w:color="000000"/>
              <w:right w:val="single" w:sz="8" w:space="0" w:color="000000"/>
            </w:tcBorders>
            <w:vAlign w:val="center"/>
          </w:tcPr>
          <w:p>
            <w:pPr>
              <w:spacing w:lineRule="auto"/>
              <w:jc w:val="left"/>
            </w:pPr>
            <w:r>
              <w:rPr/>
              <w:t xml:space="preserve">Direction-sensitive sensor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Size distribution</w:t>
            </w:r>
          </w:p>
        </w:tc>
        <w:tc>
          <w:tcPr>
            <w:tcBorders>
              <w:bottom w:val="single" w:sz="8" w:space="0" w:color="000000"/>
              <w:right w:val="single" w:sz="8" w:space="0" w:color="000000"/>
            </w:tcBorders>
            <w:vAlign w:val="top"/>
          </w:tcPr>
          <w:p>
            <w:pPr>
              <w:spacing w:lineRule="auto"/>
              <w:jc w:val="left"/>
            </w:pPr>
            <w:r>
              <w:rPr/>
              <w:t xml:space="preserve">Power-law fragmentation spectrum</w:t>
            </w:r>
          </w:p>
        </w:tc>
        <w:tc>
          <w:tcPr>
            <w:tcBorders>
              <w:bottom w:val="single" w:sz="8" w:space="0" w:color="000000"/>
              <w:right w:val="single" w:sz="8" w:space="0" w:color="000000"/>
            </w:tcBorders>
            <w:vAlign w:val="top"/>
          </w:tcPr>
          <w:p>
            <w:pPr>
              <w:spacing w:lineRule="auto"/>
              <w:jc w:val="left"/>
            </w:pPr>
            <w:r>
              <w:rPr/>
              <w:t xml:space="preserve">Potentially engineered distribution</w:t>
            </w:r>
          </w:p>
        </w:tc>
        <w:tc>
          <w:tcPr>
            <w:tcBorders>
              <w:bottom w:val="single" w:sz="8" w:space="0" w:color="000000"/>
              <w:right w:val="single" w:sz="8" w:space="0" w:color="000000"/>
            </w:tcBorders>
            <w:vAlign w:val="center"/>
          </w:tcPr>
          <w:p>
            <w:pPr>
              <w:spacing w:lineRule="auto"/>
              <w:jc w:val="left"/>
            </w:pPr>
            <w:r>
              <w:rPr/>
              <w:t xml:space="preserve">Crater analysis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Impact signal/energy</w:t>
            </w:r>
          </w:p>
        </w:tc>
        <w:tc>
          <w:tcPr>
            <w:tcBorders>
              <w:bottom w:val="single" w:sz="8" w:space="0" w:color="000000"/>
              <w:right w:val="single" w:sz="8" w:space="0" w:color="000000"/>
            </w:tcBorders>
            <w:vAlign w:val="top"/>
          </w:tcPr>
          <w:p>
            <w:pPr>
              <w:spacing w:lineRule="auto"/>
              <w:jc w:val="left"/>
            </w:pPr>
            <w:r>
              <w:rPr/>
              <w:t xml:space="preserve">Set by natural breakup physics</w:t>
            </w:r>
          </w:p>
        </w:tc>
        <w:tc>
          <w:tcPr>
            <w:tcBorders>
              <w:bottom w:val="single" w:sz="8" w:space="0" w:color="000000"/>
              <w:right w:val="single" w:sz="8" w:space="0" w:color="000000"/>
            </w:tcBorders>
            <w:vAlign w:val="top"/>
          </w:tcPr>
          <w:p>
            <w:pPr>
              <w:spacing w:lineRule="auto"/>
              <w:jc w:val="left"/>
            </w:pPr>
            <w:r>
              <w:rPr/>
              <w:t xml:space="preserve">Possible anomalous distribution</w:t>
            </w:r>
          </w:p>
        </w:tc>
        <w:tc>
          <w:tcPr>
            <w:tcBorders>
              <w:bottom w:val="single" w:sz="8" w:space="0" w:color="000000"/>
              <w:right w:val="single" w:sz="8" w:space="0" w:color="000000"/>
            </w:tcBorders>
            <w:vAlign w:val="center"/>
          </w:tcPr>
          <w:p>
            <w:pPr>
              <w:spacing w:lineRule="auto"/>
              <w:jc w:val="left"/>
            </w:pPr>
            <w:r>
              <w:rPr/>
              <w:t xml:space="preserve">Piezoelectric sensor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Temporal pattern</w:t>
            </w:r>
          </w:p>
        </w:tc>
        <w:tc>
          <w:tcPr>
            <w:tcBorders>
              <w:bottom w:val="single" w:sz="8" w:space="0" w:color="000000"/>
              <w:right w:val="single" w:sz="8" w:space="0" w:color="000000"/>
            </w:tcBorders>
            <w:vAlign w:val="top"/>
          </w:tcPr>
          <w:p>
            <w:pPr>
              <w:spacing w:lineRule="auto"/>
              <w:jc w:val="left"/>
            </w:pPr>
            <w:r>
              <w:rPr/>
              <w:t xml:space="preserve">Extended encounter window</w:t>
            </w:r>
          </w:p>
        </w:tc>
        <w:tc>
          <w:tcPr>
            <w:tcBorders>
              <w:bottom w:val="single" w:sz="8" w:space="0" w:color="000000"/>
              <w:right w:val="single" w:sz="8" w:space="0" w:color="000000"/>
            </w:tcBorders>
            <w:vAlign w:val="top"/>
          </w:tcPr>
          <w:p>
            <w:pPr>
              <w:spacing w:lineRule="auto"/>
              <w:jc w:val="left"/>
            </w:pPr>
            <w:r>
              <w:rPr/>
              <w:t xml:space="preserve">Tight event window near release</w:t>
            </w:r>
          </w:p>
        </w:tc>
        <w:tc>
          <w:tcPr>
            <w:tcBorders>
              <w:bottom w:val="single" w:sz="8" w:space="0" w:color="000000"/>
              <w:right w:val="single" w:sz="8" w:space="0" w:color="000000"/>
            </w:tcBorders>
            <w:vAlign w:val="center"/>
          </w:tcPr>
          <w:p>
            <w:pPr>
              <w:spacing w:lineRule="auto"/>
              <w:jc w:val="left"/>
            </w:pPr>
            <w:r>
              <w:rPr/>
              <w:t xml:space="preserve">Time-resolved logger</w:t>
            </w:r>
          </w:p>
        </w:tc>
      </w:tr>
    </w:tbl>
    <w:p>
      <w:pPr>
        <w:spacing w:lineRule="auto"/>
      </w:pPr>
    </w:p>
    <w:p>
      <w:pPr>
        <w:spacing w:lineRule="auto"/>
      </w:pPr>
      <w:r>
        <w:rPr/>
        <w:t xml:space="preserve">Table 1: Candidate discriminating parameters for debris event classification</w:t>
      </w:r>
    </w:p>
    <w:p>
      <w:pPr>
        <w:spacing w:after="210" w:lineRule="auto"/>
      </w:pPr>
      <w:r>
        <w:rPr/>
        <w:t xml:space="preserve">These parameters are not expected to provide definitive proof individually. Instead, the hypothesis is that combinations of multiple observables may allow statistical discrimination between event classes.</w:t>
      </w:r>
    </w:p>
    <w:p>
      <w:pPr>
        <w:spacing w:line="271" w:before="240" w:lineRule="auto"/>
      </w:pPr>
      <w:bookmarkStart w:id="7" w:name="bm_5_sensors_for_discrimination"/>
      <w:r>
        <w:rPr>
          <w:b/>
          <w:sz w:val="42"/>
        </w:rPr>
        <w:t xml:space="preserve">5. Sensors for Discrimination</w:t>
      </w:r>
      <w:bookmarkEnd w:id="7"/>
    </w:p>
    <w:p>
      <w:pPr>
        <w:spacing w:after="210" w:lineRule="auto"/>
      </w:pPr>
      <w:r>
        <w:rPr/>
        <w:t xml:space="preserve">Several sensor types may contribute to detecting and characterizing small-particle debris events:</w:t>
      </w:r>
    </w:p>
    <w:p>
      <w:pPr>
        <w:spacing w:after="210" w:lineRule="auto"/>
      </w:pPr>
      <w:r>
        <w:rPr>
          <w:b/>
        </w:rPr>
        <w:t xml:space="preserve">Piezoelectric impact sensors</w:t>
      </w:r>
      <w:r>
        <w:rPr/>
        <w:t xml:space="preserve"> can provide real-time measurements of impact timing and signal amplitude, offering information on rate, approximate energy, and potentially waveform shape.</w:t>
      </w:r>
    </w:p>
    <w:p>
      <w:pPr>
        <w:spacing w:after="210" w:lineRule="auto"/>
      </w:pPr>
      <w:r>
        <w:rPr>
          <w:b/>
        </w:rPr>
        <w:t xml:space="preserve">Witness plates</w:t>
      </w:r>
      <w:r>
        <w:rPr/>
        <w:t xml:space="preserve"> can support detailed post-flight analysis of crater size and particle composition, but are less useful for real-time event classification.</w:t>
      </w:r>
    </w:p>
    <w:p>
      <w:pPr>
        <w:spacing w:after="210" w:lineRule="auto"/>
      </w:pPr>
      <w:r>
        <w:rPr>
          <w:b/>
        </w:rPr>
        <w:t xml:space="preserve">Magnetometers and plasma or electric-field sensors</w:t>
      </w:r>
      <w:r>
        <w:rPr/>
        <w:t xml:space="preserve"> may detect electromagnetic disturbances or plasma generated by hypervelocity impacts, adding an independent diagnostic channel for plume-related signatures.</w:t>
      </w:r>
    </w:p>
    <w:p>
      <w:pPr>
        <w:spacing w:after="210" w:lineRule="auto"/>
      </w:pPr>
      <w:r>
        <w:rPr/>
        <w:t xml:space="preserve">In practice, an on-orbit implementation would likely center on a small-particle impact panel instrumented with piezoelectric/acoustic sensors, collocated with a miniaturized plasma or charge sensor, and possibly a simple RF or magnetic pickup. This architecture mirrors ground hypervelocity-impact diagnostics that combine structural, plasma, and RF channels, but in a compact form suitable for flight.</w:t>
      </w:r>
    </w:p>
    <w:p>
      <w:pPr>
        <w:spacing w:after="210" w:lineRule="auto"/>
      </w:pPr>
      <w:r>
        <w:rPr/>
        <w:t xml:space="preserve">In principle, combining multiple sensing approaches on the same platform could significantly improve the ability to identify anomalous debris events relative to background conditions.</w:t>
      </w:r>
    </w:p>
    <w:p>
      <w:pPr>
        <w:spacing w:line="271" w:before="240" w:lineRule="auto"/>
      </w:pPr>
      <w:bookmarkStart w:id="8" w:name="bm_6_proposed_approach"/>
      <w:r>
        <w:rPr>
          <w:b/>
          <w:sz w:val="42"/>
        </w:rPr>
        <w:t xml:space="preserve">6. Proposed Approach</w:t>
      </w:r>
      <w:bookmarkEnd w:id="8"/>
    </w:p>
    <w:p>
      <w:pPr>
        <w:spacing w:after="210" w:lineRule="auto"/>
      </w:pPr>
      <w:r>
        <w:rPr/>
        <w:t xml:space="preserve">This research begins by modeling three simplified environments:</w:t>
      </w:r>
    </w:p>
    <w:p>
      <w:pPr>
        <w:numPr>
          <w:ilvl w:val="0"/>
          <w:numId w:val="2"/>
        </w:numPr>
        <w:spacing w:lineRule="auto"/>
      </w:pPr>
      <w:r>
        <w:rPr>
          <w:b/>
        </w:rPr>
        <w:t xml:space="preserve">World A</w:t>
      </w:r>
      <w:r>
        <w:rPr>
          <w:rFonts w:eastAsia="Georgia" w:cs="Georgia" w:ascii="Georgia" w:hAnsi="Georgia"/>
        </w:rPr>
        <w:t xml:space="preserve"> – Background debris environment</w:t>
      </w:r>
    </w:p>
    <w:p>
      <w:pPr>
        <w:numPr>
          <w:ilvl w:val="0"/>
          <w:numId w:val="2"/>
        </w:numPr>
        <w:spacing w:lineRule="auto"/>
      </w:pPr>
      <w:r>
        <w:rPr>
          <w:b/>
        </w:rPr>
        <w:t xml:space="preserve">World B</w:t>
      </w:r>
      <w:r>
        <w:rPr>
          <w:rFonts w:eastAsia="Georgia" w:cs="Georgia" w:ascii="Georgia" w:hAnsi="Georgia"/>
        </w:rPr>
        <w:t xml:space="preserve"> – Stealth co-orbital debris-release scenario</w:t>
      </w:r>
    </w:p>
    <w:p>
      <w:pPr>
        <w:numPr>
          <w:ilvl w:val="0"/>
          <w:numId w:val="2"/>
        </w:numPr>
        <w:spacing w:lineRule="auto"/>
      </w:pPr>
      <w:r>
        <w:rPr>
          <w:b/>
        </w:rPr>
        <w:t xml:space="preserve">World C</w:t>
      </w:r>
      <w:r>
        <w:rPr>
          <w:rFonts w:eastAsia="Georgia" w:cs="Georgia" w:ascii="Georgia" w:hAnsi="Georgia"/>
        </w:rPr>
        <w:t xml:space="preserve"> – Accidental nearby fragmentation event</w:t>
      </w:r>
    </w:p>
    <w:p>
      <w:pPr>
        <w:spacing w:after="210" w:lineRule="auto"/>
      </w:pPr>
      <w:r>
        <w:rPr/>
        <w:t xml:space="preserve">Using these models, a simulation will generate synthetic impact data representing what a small-particle sensor would observe in each scenario. The simulation will record impact time, arrival direction, a proxy for particle size or energy, and impact-signal amplitude. By analyzing these datasets, the study will evaluate which combinations of observable features can most reliably distinguish background conditions, accidental debris clouds, and stealth debris releases.</w:t>
      </w:r>
    </w:p>
    <w:p>
      <w:pPr>
        <w:spacing w:line="271" w:before="240" w:lineRule="auto"/>
      </w:pPr>
      <w:bookmarkStart w:id="9" w:name="bm_7_expected_outcome"/>
      <w:r>
        <w:rPr>
          <w:b/>
          <w:sz w:val="42"/>
        </w:rPr>
        <w:t xml:space="preserve">7. Expected Outcome</w:t>
      </w:r>
      <w:bookmarkEnd w:id="9"/>
    </w:p>
    <w:p>
      <w:pPr>
        <w:spacing w:after="210" w:lineRule="auto"/>
      </w:pPr>
      <w:r>
        <w:rPr/>
        <w:t xml:space="preserve">The goal is not to infer intent from a single sensor measurement, but to assess whether combinations of small-particle observables can provide early indicators that a nearby debris event is inconsistent with typical accidental fragmentation. If successful, this approach could inform future SSA architectures that incorporate on-board small-particle sensing as one input into broader technical and policy decision-making.</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2026-03-16T14:03:02.095Z</dcterms:created>
  <dcterms:modified xsi:type="dcterms:W3CDTF">2026-03-16T14:03:02.095Z</dcterms:modified>
</cp:coreProperties>
</file>