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2021-01-04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年策略一:2021年两个坚守和两个回避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大例资产:风险市场，固定收益市场(避险资产)。外汇单边市场。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总共5点: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结构性机会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两个坚守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两个回避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波段交易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重点关注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结构性机会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经济驱动力:消费升级(供给侧改革)；科技振兴(中国制造2025)；医药；顺周期(基建投资)。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券商2021推荐：超配低估值的顺周期，以及可选消费(白酒家电汽车)，资源，新能源。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经济的恢复需要驱动力。中国以往的驱动力:基建房地产+外贸+消费(三驾马车)。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美国、欧洲主要是消费拉动。美国的经济复苏，则有利于金融、能源、原材料，但中国未必。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美国:经济复苏-&gt;消费复苏-&gt;能源消费-&gt;买车买房(钢铁有色)-&gt;金融。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但中国不是消费驱动，而是基建投资驱动(以前)以及与之配套的相关机械工业等。老观念:</w:t>
      </w:r>
      <w:r>
        <w:rPr>
          <w:rFonts w:hint="eastAsia"/>
          <w:b/>
          <w:bCs/>
          <w:lang w:val="en-US" w:eastAsia="zh-CN"/>
        </w:rPr>
        <w:t>银行、地产、钢铁、煤炭、水泥</w:t>
      </w:r>
      <w:r>
        <w:rPr>
          <w:rFonts w:hint="eastAsia"/>
          <w:lang w:val="en-US" w:eastAsia="zh-CN"/>
        </w:rPr>
        <w:t>.但2021年中国经济结构发生转变，不再希望依赖基建投资驱动。这些行业(</w:t>
      </w:r>
      <w:r>
        <w:rPr>
          <w:rFonts w:hint="eastAsia"/>
          <w:b/>
          <w:bCs/>
          <w:lang w:val="en-US" w:eastAsia="zh-CN"/>
        </w:rPr>
        <w:t>银行、地产、钢铁、煤炭、水泥</w:t>
      </w:r>
      <w:r>
        <w:rPr>
          <w:rFonts w:hint="eastAsia"/>
          <w:lang w:val="en-US" w:eastAsia="zh-CN"/>
        </w:rPr>
        <w:t>)有分歧，就有风险，它有可能上涨或下跌。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两个坚守：国防军工，新能源。可以坚守5年以上。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为什么坚守军工和新能源(科技周期、安全周期)？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经济需要驱动力。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美国政府、家庭债务高；美国失业率上升，美国消费起不来；因此美国需要新的经济增长点。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欧洲基础设施陈旧，债务，失业等，同样需要新的新的经济增长点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中国的基础设施已无以为继，外贸也不能持续，人们收入增速放缓。也需要新的经济增长点。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经济滑坡需要新的科技引领，如中国制造2025，欧洲德国农业4.0 ，美国工业互联网。如高科技：人工智能，物联网，高端材料，生物工程等。但是</w:t>
      </w:r>
      <w:r>
        <w:rPr>
          <w:rFonts w:hint="eastAsia"/>
          <w:b/>
          <w:bCs/>
          <w:lang w:val="en-US" w:eastAsia="zh-CN"/>
        </w:rPr>
        <w:t>这些技术仍然很遥远</w:t>
      </w:r>
      <w:r>
        <w:rPr>
          <w:rFonts w:hint="eastAsia"/>
          <w:lang w:val="en-US" w:eastAsia="zh-CN"/>
        </w:rPr>
        <w:t>。而且这些行业已经透支充分，上涨相当充分(高成长题材)。但是这些技术均未被验证。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清洁能源是一个新的经济增长点。全世界都认同“碳中和”(2050.2050.2060)。从2015年开始，欧洲、美国、中国都认可。美国回到巴黎协定，在美国引领下，各国参与新能源的热情提高。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方向不同。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欧洲:氢能，核能，风电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日本:氢能源，氦能源。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美国中国:光伏，风电。地广，阳光、风资源多。中国的技术领先，成本最低。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清洁能源有现实需求，有产品。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中欧投资协定规定了清洁能源，太阳能和风能，中国可以参与，核能不能参与。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因此清洁能源是全世界共同发力的大趋势。其实光伏门槛并不高，但是中国具有低成本优势，也有部分技术优势。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最成熟的是：太阳能，风能，核能。氢能还在发展中。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能源：发电，应用。清洁能源发电设备，电力传输设备，发电技术。电力的储存设备:电池。电力的传输:特高压。应用:汽车。材料:锂，钴，石墨烯等。氢能源是所有能源中最好的一种，但是它成本较高，技术没有特别成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国防军工。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中国需要战略安全。南海、东海、南亚大陆，对外护航，太空安全，台海。拜登上台后，它会联合美国的盟友针对中国，军事。欧洲的航空母舰已经老旧。大家都要加强军事装备。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安全周期变化。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两大规避。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强顺周期：金融地产。银行估值低，市净率低，但是未来银行资产质量可能会变差，因此跌破净资产。2021年补充银行资本金。银行积累了 基建、房地产债务。房地产被调控，基建放缓，有债务违约风险。疫情导致，银行也要支持中小企业，这些中小企业倒闭、违约的风险非常高。郭树清:银行的坏账成倍数劣变。坏账多，不让赚钱，让利实体经济，银行如何走？现在银行的第一考核目标不是赚钱，而是支持国家发展建设，实体经济建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调控房地产的目的是：首先不膨胀，其次不崩盘。银行房地产贷款比例限制住。60%-&gt;30%.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回避高估值、高成长:医药、科技半导体、大消费。挖掘已经相当充分。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2021-01-05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年度策略:提前埋伏永远比追高更有效率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两个波段操作:</w:t>
      </w:r>
      <w:r>
        <w:rPr>
          <w:rFonts w:hint="eastAsia"/>
          <w:b/>
          <w:bCs/>
          <w:lang w:val="en-US" w:eastAsia="zh-CN"/>
        </w:rPr>
        <w:t>种业，疫情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同样是重点板块(种业、新能源、国防军工)，为什么种业不是我们应该坚守的板块？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粮食安全-&gt;种业。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种业是长期向好的行业。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业只是波段操作。种业同美国差距相当大，种业主要是在未来发展转基因技术。目前的种子主要是从美国引进，转基因抗病虫害，高产量等。薄弱短板在大豆、玉米、棉花等。高蛋白、植物油、饲料。现掌握了一些技术，但也有卡脖子技术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问题：转基因种子没有法律依据(谁能搞，如何认定)。种子搞出来了质量究竟如何？行业集中度不高，没有领军者(有3，4家较大).因此种业无产品，存在较大不确定性。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2020年种业已炒作过一波。少数几家已经涨幅较大。可能在2020年下半年。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中期波段安排。如果大幅调整，则可以长期布局。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中国的清洁能源: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规模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疫情受损板块和疫情间接的长期受益板块。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资金应该集中一点。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海运、航运:海运涨幅还存在大幅空间。但海运40、50倍pe是比较合适的价位。空运仍然低洼。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中期波段操作。疫情明显受控以后，撤出。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传媒娱乐、冷链物流可以稍加关注。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重点关注资源类:钢铁煤炭有色化工等.有色化工可能较好，钢铁煤炭不好。大宗商品可能是滞涨周期，大宗商品上涨周期，同经济是否恢复可能没关系。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两个坚守：国防军工，新能源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两个波段:种业，疫情(海运空运为主，冷链物流为辅助)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回避:金融地产，大消费，科技医药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重点关注:资源类。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整个市场总体看法:A股震荡市。美股:走低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2021-01-07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踏准节奏 选对工具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美国民主党取得参议院重要2席，此事件有何影响？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政治:拜登政府人员任命顺利。相对于特朗普时期，拜登政府(民主党)更为团结，施政更为顺利。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:政府的政策制定和实施将更为顺利，效率高。民主党甚至可以为所欲为。共和党偏向企业，偏向富人，压缩社会福利，减免企业赋税，有利于股市。民主党倾向于政府负担更多，对社会福利更看重。基础设施:如新能源基础设施。拜登政府回到巴黎协定。对大型的垄断科技企业进行限制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社会:民主党政策相对温和，共和党相对激进。美国分裂程度依然存在。拜登政府强调基础设施建设，例如医保(损害企业利益)。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对特朗普不利，可能会被调查。民主党害怕特朗普，有可能斩草除根。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疫情控制:拜登政府会加强疫情管控。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对美国资本市场影响: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民主党加大印钱，财政支出扩大，催生通胀预期，国债收益率上升。基准利率上涨，不利于股市、债市。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支持大宗商品，如有色。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加税。基础设施建设，投资见效慢，私营企业没有热情参与。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短期有利，长期不利。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登会修复盟友关系，建立统一战线，限制、对抗中国。但民主党不会采取贸易战等经济手段，但也不会立刻取消关税。民主党和共和党在任何领域都达不成一致，除了：对抗中国，双方比狠，谁对中国更狠。拜登会加强科技竞争，只会强化科技钳制。案例:在5G方面，欧洲曾表示支持中国，后来纷纷倒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短期看，放水，但是预期疫情受控以后，会提高利率。而且美联储会在它认为可以退出的时候</w:t>
      </w:r>
      <w:r>
        <w:rPr>
          <w:rFonts w:hint="eastAsia"/>
          <w:b/>
          <w:bCs/>
          <w:lang w:val="en-US" w:eastAsia="zh-CN"/>
        </w:rPr>
        <w:t>提出</w:t>
      </w:r>
      <w:r>
        <w:rPr>
          <w:rFonts w:hint="eastAsia"/>
          <w:lang w:val="en-US" w:eastAsia="zh-CN"/>
        </w:rPr>
        <w:t>退出宽松的货币政策，而不一定是等到经济完全恢复。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短期利好，长期利空.这里利空就是货币政策将趋于保守(与疫情相关)。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对当下市场的分析。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当前行情:“崩盘式上涨”，中小盘跌，资金集中度更高(核心资产抱团)。不完全是上证50在上涨。最近大消费、资源龙头上涨。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策略：不要超配低价股，现在市场是追高的过程。低价股的原因在于基本面不行，而不是未被发掘。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策略：行情(大龙头)</w:t>
      </w:r>
      <w:r>
        <w:rPr>
          <w:rFonts w:hint="eastAsia"/>
          <w:b/>
          <w:bCs/>
          <w:lang w:val="en-US" w:eastAsia="zh-CN"/>
        </w:rPr>
        <w:t>很可能</w:t>
      </w:r>
      <w:r>
        <w:rPr>
          <w:rFonts w:hint="eastAsia"/>
          <w:lang w:val="en-US" w:eastAsia="zh-CN"/>
        </w:rPr>
        <w:t>快速上冲然后回落。不预判上升点数和时间。通过配置适当的行业板块绕过系统性风险。坚守新能源、国防军工。波段操作：海运、空运。养殖、旅游应该逐步退出。机会:橡胶，与国防、新能源相关的材料。石化板块在原油的带领下，可能会上冲，如橡胶。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商品：煤炭看两方面：动力煤；下游炼钢。避免配置黑色系。贵金属可能熊市来临。近一年空头的角度看贵金属。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2020-01-10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一周策略：资本市场质的转变已初步形成。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股市：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避免买入低价股。避免金融地产。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市场趋势资金集中度高:市值大，流动性强，行业龙头。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结构性行情(28定律)：20%的个股获得80%的资金；20%的板块获取80%的资金.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当龙头股滞涨，二三线股会不会涨？很可能会，但是不会持久上涨。已经上涨很多的板块，二三线很难上涨，例如二三线白酒。因此要避免购买龙头已充分上涨的行业中的二三线股。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一线龙头涨的不多的股票可以配置二三线。例如海运、航运。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北向资金集中大幅度流入，并不说明有持续上涨行情。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急速上冲行情可能只在1月份或者1季度，可能在春节前。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可以追高的板块、个股：短线追一线龙头；空运龙头表现差，可以慢慢配置；海运可以配置二三线。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关注化工农药。农业是未来长远的发展方向。但不能追逐农业直接相关的，例如种业、种植。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持续持有新能源、国防军工</w:t>
      </w:r>
      <w:r>
        <w:rPr>
          <w:rFonts w:hint="eastAsia"/>
          <w:lang w:val="en-US" w:eastAsia="zh-CN"/>
        </w:rPr>
        <w:t>。大消费已经有调整迹象。见顶迹象:放量连续上涨，波幅扩大。不利因素：周末央行易刚强调“稳”。国内外疫情反扑。新基金规模可能低于2020.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结束操作养殖业。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疫情反扑可以关注疫苗、血液。油价上涨，石油化工可能表现较好。避免有色。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持续持有新能源、国防军工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中长期看成长板块，航运，化肥农药，煤炭开采。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波段:疫情相关。【华兰生物】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宗商品可能大幅下跌。回落到18年。以季度级别调整。做空有色、煤炭、钢铁。与原油相关的化工品可以适当做多。农产品(油脂饲料)可能继续上涨。偿债收益率上升打压贵金属，短线可能回调，但长期是下跌的。黄金看到1500(现价1850)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2021-01-13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指数配置逻辑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指数:沪深300，中证500，创业板。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机构投资者占比增大。机构投资者只能参与大市值股票，小市值股票无法承接大量资金(一买就飞，一卖就掉，流动性不足)。资金可能28，19.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沪深300比中证500更值得配置。美国5000支股票，标准普尔500.其中前几家科技公司占25%比例。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沪深300可以覆盖中证500所有的行业，300是龙头。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当经济基本面不好的时候，中证500通常不会涨，而且对沪深300有拉回作用(因为500反映了经济基本面，限制了300的涨幅)。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创业板&gt;中证500。沪深300周期，创业板成长股。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中证500平均28倍，并不低估。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去年、今年基金配置完毕后，行情应该结束。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结构性行情。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大部分资金：基金ETF。小部分资金:几只个股.做趋势投资者。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私募债、信用债有风险。2020年有宽松的货币政策，那么未来违约风险就存在。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市场: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国防军工、新能源调整已经开始。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航运重点关注，主要是海运，爬升期。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2021-01-14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提防见顶，把握节奏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提示风险。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可能非常快结束上冲行情，可能在1月，最迟1季度。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上证3700是阻力位。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小盘股制约大盘股的表现。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长线看好国防军工、新能源。但中级别调整可能已经开始。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航运可能调整以月度级别，可能提前结束调整。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文化传媒可以逐步配置。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海运:集装箱、散货运输比较紧张，而不是原油紧张。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中远海空主营业务：</w:t>
      </w:r>
      <w:r>
        <w:rPr>
          <w:rFonts w:hint="eastAsia" w:ascii="Tahoma" w:hAnsi="Tahoma" w:eastAsia="Tahoma" w:cs="Tahoma"/>
          <w:b w:val="0"/>
          <w:i w:val="0"/>
          <w:caps w:val="0"/>
          <w:color w:val="FFB400"/>
          <w:spacing w:val="0"/>
          <w:sz w:val="16"/>
          <w:szCs w:val="16"/>
          <w:shd w:val="clear" w:fill="090909"/>
        </w:rPr>
        <w:t>集装箱航运、干散货航运、码头和集装箱租赁。</w:t>
      </w:r>
    </w:p>
    <w:tbl>
      <w:tblPr>
        <w:tblStyle w:val="11"/>
        <w:tblpPr w:leftFromText="180" w:rightFromText="180" w:vertAnchor="text" w:horzAnchor="page" w:tblpX="1178" w:tblpY="395"/>
        <w:tblOverlap w:val="never"/>
        <w:tblW w:w="9960" w:type="dxa"/>
        <w:tblInd w:w="0" w:type="dxa"/>
        <w:tblBorders>
          <w:top w:val="none" w:color="auto" w:sz="0" w:space="0"/>
          <w:left w:val="single" w:color="344459" w:sz="4" w:space="0"/>
          <w:bottom w:val="single" w:color="344459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B1016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4"/>
        <w:gridCol w:w="1356"/>
        <w:gridCol w:w="1704"/>
        <w:gridCol w:w="1260"/>
        <w:gridCol w:w="1560"/>
        <w:gridCol w:w="1416"/>
      </w:tblGrid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B1016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eastAsia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业务名称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2020-06-30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2019-12-31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2019-06-30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2018-12-31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2018-06-30</w:t>
            </w:r>
          </w:p>
        </w:tc>
      </w:tr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4"/>
                <w:szCs w:val="14"/>
                <w:lang w:val="en-US" w:eastAsia="zh-CN" w:bidi="ar"/>
              </w:rPr>
              <w:t>集装箱码头业务总吞吐量(标准箱)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5763.42万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1.30亿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5976.40万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1.20亿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5670.70万</w:t>
            </w:r>
          </w:p>
        </w:tc>
      </w:tr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4"/>
                <w:szCs w:val="14"/>
                <w:lang w:val="en-US" w:eastAsia="zh-CN" w:bidi="ar"/>
              </w:rPr>
              <w:t>集装箱货运量(标准箱)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1184.57万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2573.90万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1245.90万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2179.20万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4"/>
                <w:szCs w:val="14"/>
                <w:lang w:val="en-US" w:eastAsia="zh-CN" w:bidi="ar"/>
              </w:rPr>
              <w:t>集装箱货运量(TEU)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1123.50万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3492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宁波海运。</w:t>
      </w:r>
    </w:p>
    <w:p>
      <w:r>
        <w:drawing>
          <wp:inline distT="0" distB="0" distL="114300" distR="114300">
            <wp:extent cx="5267325" cy="1676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744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65735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"https://www.sse.net.cn/index/singleIndex?indexType=cbofi"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https://www.sse.net.cn/index/singleIndex?indexType=cbofi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2020-01-21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增加几个关注板块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创业板龙头带动创业板创新高。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新能源、国防军工。新能源有可能延续到一季度末。风电慢慢在涨，当清洁能源所有龙头全部跟上来，行情基本结束。当燃料电池、氢能上涨时，基本透支。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国防军工相对稳定。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航运、空运、传媒、轮胎橡胶：依旧看好。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关注:进行中期配置。农业化工(化肥农药)，机械(不是工程机械，通用机械、专业机械)，工业4.0，5G。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化肥农药:扬农化工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0A6FD"/>
    <w:multiLevelType w:val="singleLevel"/>
    <w:tmpl w:val="8FE0A6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9FEFC5"/>
    <w:multiLevelType w:val="singleLevel"/>
    <w:tmpl w:val="959FEF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B67DAA"/>
    <w:multiLevelType w:val="singleLevel"/>
    <w:tmpl w:val="A8B67D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15E44B4"/>
    <w:multiLevelType w:val="singleLevel"/>
    <w:tmpl w:val="B15E44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758D13F"/>
    <w:multiLevelType w:val="singleLevel"/>
    <w:tmpl w:val="B758D1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07233E"/>
    <w:multiLevelType w:val="singleLevel"/>
    <w:tmpl w:val="BA0723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7C8869F"/>
    <w:multiLevelType w:val="singleLevel"/>
    <w:tmpl w:val="E7C8869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A40A81"/>
    <w:multiLevelType w:val="singleLevel"/>
    <w:tmpl w:val="F2A40A8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8EE5688"/>
    <w:multiLevelType w:val="singleLevel"/>
    <w:tmpl w:val="18EE568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E3219F"/>
    <w:multiLevelType w:val="singleLevel"/>
    <w:tmpl w:val="1BE3219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10F0810"/>
    <w:multiLevelType w:val="singleLevel"/>
    <w:tmpl w:val="310F081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96FDFB4"/>
    <w:multiLevelType w:val="singleLevel"/>
    <w:tmpl w:val="396FDFB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B711EF4"/>
    <w:multiLevelType w:val="singleLevel"/>
    <w:tmpl w:val="4B711EF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06EC2AD"/>
    <w:multiLevelType w:val="singleLevel"/>
    <w:tmpl w:val="506EC2A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C0E466C"/>
    <w:multiLevelType w:val="singleLevel"/>
    <w:tmpl w:val="5C0E466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43EB01D"/>
    <w:multiLevelType w:val="multilevel"/>
    <w:tmpl w:val="743EB0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6">
    <w:nsid w:val="7C8E59FC"/>
    <w:multiLevelType w:val="singleLevel"/>
    <w:tmpl w:val="7C8E59FC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  <w:num w:numId="13">
    <w:abstractNumId w:val="12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70BFA"/>
    <w:rsid w:val="00D03FAE"/>
    <w:rsid w:val="00D128C4"/>
    <w:rsid w:val="028B41AE"/>
    <w:rsid w:val="02BC683E"/>
    <w:rsid w:val="05D44E50"/>
    <w:rsid w:val="073F1708"/>
    <w:rsid w:val="07631E14"/>
    <w:rsid w:val="07F146B7"/>
    <w:rsid w:val="08293479"/>
    <w:rsid w:val="09433A91"/>
    <w:rsid w:val="0B653B39"/>
    <w:rsid w:val="0D05477B"/>
    <w:rsid w:val="0D522173"/>
    <w:rsid w:val="0DB02061"/>
    <w:rsid w:val="0E182487"/>
    <w:rsid w:val="0E6F3B50"/>
    <w:rsid w:val="0EBB4E77"/>
    <w:rsid w:val="0ECD128A"/>
    <w:rsid w:val="0FA96FD4"/>
    <w:rsid w:val="0FC36AD5"/>
    <w:rsid w:val="0FCF6DB0"/>
    <w:rsid w:val="10B156E4"/>
    <w:rsid w:val="10D000C5"/>
    <w:rsid w:val="116F7346"/>
    <w:rsid w:val="121D6AEB"/>
    <w:rsid w:val="15701AE3"/>
    <w:rsid w:val="159410D6"/>
    <w:rsid w:val="16A357DA"/>
    <w:rsid w:val="174627DD"/>
    <w:rsid w:val="19F70709"/>
    <w:rsid w:val="1AAF5425"/>
    <w:rsid w:val="1B1C4136"/>
    <w:rsid w:val="1D4F7C3E"/>
    <w:rsid w:val="1DF7064B"/>
    <w:rsid w:val="1EA51944"/>
    <w:rsid w:val="1ECC3D1E"/>
    <w:rsid w:val="1F8D6D57"/>
    <w:rsid w:val="202A0765"/>
    <w:rsid w:val="20770A24"/>
    <w:rsid w:val="21496441"/>
    <w:rsid w:val="23137490"/>
    <w:rsid w:val="23666914"/>
    <w:rsid w:val="25305CA7"/>
    <w:rsid w:val="25675F3B"/>
    <w:rsid w:val="261D3B94"/>
    <w:rsid w:val="27B243EF"/>
    <w:rsid w:val="27BB09CB"/>
    <w:rsid w:val="28476643"/>
    <w:rsid w:val="28523116"/>
    <w:rsid w:val="2A64285C"/>
    <w:rsid w:val="2B1D1CA0"/>
    <w:rsid w:val="2DA16DEE"/>
    <w:rsid w:val="2E164AB0"/>
    <w:rsid w:val="30096AF8"/>
    <w:rsid w:val="3040707F"/>
    <w:rsid w:val="308553AF"/>
    <w:rsid w:val="30CC768D"/>
    <w:rsid w:val="31F92BA8"/>
    <w:rsid w:val="331B5F73"/>
    <w:rsid w:val="333F4292"/>
    <w:rsid w:val="345D14E3"/>
    <w:rsid w:val="3489764C"/>
    <w:rsid w:val="348C6D60"/>
    <w:rsid w:val="35AF3A96"/>
    <w:rsid w:val="36C576A9"/>
    <w:rsid w:val="375501E8"/>
    <w:rsid w:val="376B3777"/>
    <w:rsid w:val="37B544BC"/>
    <w:rsid w:val="38753CAB"/>
    <w:rsid w:val="399E07BB"/>
    <w:rsid w:val="3C507666"/>
    <w:rsid w:val="3DCD2ED8"/>
    <w:rsid w:val="3FC61505"/>
    <w:rsid w:val="416D60D1"/>
    <w:rsid w:val="41994D6D"/>
    <w:rsid w:val="424B119D"/>
    <w:rsid w:val="448B170F"/>
    <w:rsid w:val="4580788C"/>
    <w:rsid w:val="46D8775E"/>
    <w:rsid w:val="46DE7008"/>
    <w:rsid w:val="48DC79D7"/>
    <w:rsid w:val="491729BF"/>
    <w:rsid w:val="4986397F"/>
    <w:rsid w:val="49B80B1A"/>
    <w:rsid w:val="4A2353AF"/>
    <w:rsid w:val="4A5657A9"/>
    <w:rsid w:val="4A591E3C"/>
    <w:rsid w:val="4B191082"/>
    <w:rsid w:val="4B803E3A"/>
    <w:rsid w:val="4BCA59A9"/>
    <w:rsid w:val="4C1074A3"/>
    <w:rsid w:val="4EF335AA"/>
    <w:rsid w:val="4F7C43B6"/>
    <w:rsid w:val="50A86598"/>
    <w:rsid w:val="529604F7"/>
    <w:rsid w:val="52AE219F"/>
    <w:rsid w:val="53D63949"/>
    <w:rsid w:val="540F31B8"/>
    <w:rsid w:val="5466325B"/>
    <w:rsid w:val="550346C2"/>
    <w:rsid w:val="55414D13"/>
    <w:rsid w:val="556C2085"/>
    <w:rsid w:val="559E3322"/>
    <w:rsid w:val="57AF5B7D"/>
    <w:rsid w:val="57C05B03"/>
    <w:rsid w:val="5869016D"/>
    <w:rsid w:val="58A86184"/>
    <w:rsid w:val="591B5955"/>
    <w:rsid w:val="59B87B4E"/>
    <w:rsid w:val="5A9A5EA7"/>
    <w:rsid w:val="5B297ACC"/>
    <w:rsid w:val="5B3750C0"/>
    <w:rsid w:val="5C0577BE"/>
    <w:rsid w:val="5C95449A"/>
    <w:rsid w:val="5F4056D6"/>
    <w:rsid w:val="607F1E3F"/>
    <w:rsid w:val="60F36EAB"/>
    <w:rsid w:val="61286336"/>
    <w:rsid w:val="61D30B93"/>
    <w:rsid w:val="622932B6"/>
    <w:rsid w:val="62B57560"/>
    <w:rsid w:val="645B5EDE"/>
    <w:rsid w:val="64A146B9"/>
    <w:rsid w:val="64C23480"/>
    <w:rsid w:val="664C7547"/>
    <w:rsid w:val="670274A3"/>
    <w:rsid w:val="67686077"/>
    <w:rsid w:val="67E25072"/>
    <w:rsid w:val="68441F83"/>
    <w:rsid w:val="6852502C"/>
    <w:rsid w:val="69737BCB"/>
    <w:rsid w:val="6AF44D1B"/>
    <w:rsid w:val="6E030D2A"/>
    <w:rsid w:val="6FB62C33"/>
    <w:rsid w:val="6FF23AF6"/>
    <w:rsid w:val="71396962"/>
    <w:rsid w:val="71572547"/>
    <w:rsid w:val="71770BFA"/>
    <w:rsid w:val="71A31F08"/>
    <w:rsid w:val="73C03B15"/>
    <w:rsid w:val="74D53B9E"/>
    <w:rsid w:val="759510D4"/>
    <w:rsid w:val="75C80094"/>
    <w:rsid w:val="788F022A"/>
    <w:rsid w:val="7A1D4B89"/>
    <w:rsid w:val="7A9B0DE7"/>
    <w:rsid w:val="7AA62802"/>
    <w:rsid w:val="7BC70D85"/>
    <w:rsid w:val="7D471B94"/>
    <w:rsid w:val="7D965EDA"/>
    <w:rsid w:val="7E4C12D1"/>
    <w:rsid w:val="7EB65156"/>
    <w:rsid w:val="7F2E342D"/>
    <w:rsid w:val="7FE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2021-01-10T05:28:00Z</dcterms:created>
  <dc:creator>18627058917</dc:creator>
  <cp:lastModifiedBy>18627058917</cp:lastModifiedBy>
  <dcterms:modified xsi:type="dcterms:W3CDTF">2021-01-21T11:49:01Z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