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 SQL(Structured Query Language)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database is a structured collection of data that can be accessed and managed easily.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Why we need database?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Data Redudancy and incosistency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Data Security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Limited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Security and Integrity issues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Features of SQL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Popular and in demand technology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Manages and retrives data from database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Structured and flexible query usage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How SQL works?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USER --SQL Query--&gt; Database Server --Processing--&gt;  Data Found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|      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|      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SQL Engine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 Types of SQL Commands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Data Definition Language (DDL)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a. CREATE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b. ALTER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c. DROP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d. TRUNCATE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Data Manipulation Language (DML)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a. SELECT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b. UPDATE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c. DELETE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d. INSERT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Data Control Language (DCL)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a. GRANT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b. REVOKE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Transaction Control Language (TCL)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a. COMMIT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b. ROLLBACK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c. SAVEPOINT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 Advantages of SQL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High speed and fast query processing.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Allows multiple views.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Open source.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Efficient and Portable.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 Disadvantages of SQL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Complex Interface.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High Operating Cost.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High Maintainance.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 Applications of SQL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1. Education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 Healthcare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Retail and E-Commerce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 Banking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5. Fianace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 Conclusions of SQL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 Language to operate database.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 Simple and easy to learn.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 Minimum Coding.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 Why we need DBMS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1. To eliminate the drawbacks of traditional file systems.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2. Effective storage and management of database.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 Efficiency in handling high volume databases.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 Components of DBMS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1. Data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 Hardware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 Software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4. User Access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5. Procedure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 Levels of DBMS Architecture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1. User/ External Level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2. Logical/ Conceptual Level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3. Physical/ Internal Level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