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rPr>
        <w:t xml:space="preserve"/>
      </w:r>
    </w:p>
    <w:p>
      <w:pPr>
        <w:spacing w:line="480"/>
      </w:pPr>
      <w:r>
        <w:rPr>
          <w:rFonts w:ascii="Times New Roman" w:cs="Times New Roman" w:eastAsia="Times New Roman" w:hAnsi="Times New Roman"/>
        </w:rPr>
        <w:t xml:space="preserve"/>
      </w:r>
    </w:p>
    <w:p>
      <w:pPr>
        <w:spacing w:line="480"/>
      </w:pPr>
      <w:r>
        <w:rPr>
          <w:rFonts w:ascii="Times New Roman" w:cs="Times New Roman" w:eastAsia="Times New Roman" w:hAnsi="Times New Roman"/>
        </w:rPr>
        <w:t xml:space="preserve"/>
      </w:r>
    </w:p>
    <w:p>
      <w:pPr>
        <w:keepNext w:val="false"/>
        <w:spacing w:after="0" w:before="0" w:line="480"/>
        <w:jc w:val="center"/>
      </w:pPr>
      <w:r>
        <w:rPr>
          <w:rFonts w:ascii="Times New Roman" w:cs="Times New Roman" w:eastAsia="Times New Roman" w:hAnsi="Times New Roman"/>
          <w:b/>
          <w:bCs/>
        </w:rPr>
        <w:t xml:space="preserve">Data Analytics Capstone</w:t>
      </w:r>
    </w:p>
    <w:p>
      <w:pPr>
        <w:keepNext w:val="false"/>
        <w:spacing w:after="0" w:before="0" w:line="480"/>
        <w:jc w:val="center"/>
      </w:pPr>
      <w:r>
        <w:rPr>
          <w:rFonts w:ascii="Times New Roman" w:cs="Times New Roman" w:eastAsia="Times New Roman" w:hAnsi="Times New Roman"/>
          <w:b/>
          <w:bCs/>
        </w:rPr>
        <w:t xml:space="preserve">Pollution-Prevention Actions and Next-Year Toxic Release Reduction in U.S. Manufacturing</w:t>
      </w:r>
    </w:p>
    <w:p>
      <w:pPr>
        <w:keepNext w:val="false"/>
        <w:spacing w:after="0" w:before="0" w:line="480"/>
        <w:jc w:val="center"/>
      </w:pPr>
      <w:r>
        <w:rPr>
          <w:rFonts w:ascii="Times New Roman" w:cs="Times New Roman" w:eastAsia="Times New Roman" w:hAnsi="Times New Roman"/>
          <w:b/>
          <w:bCs/>
        </w:rPr>
        <w:t xml:space="preserve">Final Report</w:t>
      </w:r>
    </w:p>
    <w:p>
      <w:pPr>
        <w:spacing w:line="480"/>
      </w:pPr>
      <w:r>
        <w:rPr>
          <w:rFonts w:ascii="Times New Roman" w:cs="Times New Roman" w:eastAsia="Times New Roman" w:hAnsi="Times New Roman"/>
        </w:rPr>
        <w:t xml:space="preserve"/>
      </w:r>
    </w:p>
    <w:p>
      <w:pPr>
        <w:keepNext w:val="false"/>
        <w:spacing w:after="0" w:before="0" w:line="480"/>
        <w:jc w:val="center"/>
      </w:pPr>
      <w:r>
        <w:rPr>
          <w:rFonts w:ascii="Times New Roman" w:cs="Times New Roman" w:eastAsia="Times New Roman" w:hAnsi="Times New Roman"/>
        </w:rPr>
        <w:t xml:space="preserve">Somnath Das</w:t>
      </w:r>
    </w:p>
    <w:p>
      <w:pPr>
        <w:keepNext w:val="false"/>
        <w:spacing w:after="0" w:before="0" w:line="480"/>
        <w:jc w:val="center"/>
      </w:pPr>
      <w:r>
        <w:rPr>
          <w:rFonts w:ascii="Times New Roman" w:cs="Times New Roman" w:eastAsia="Times New Roman" w:hAnsi="Times New Roman"/>
        </w:rPr>
        <w:t xml:space="preserve">Walsh College</w:t>
      </w:r>
    </w:p>
    <w:p>
      <w:pPr>
        <w:keepNext w:val="false"/>
        <w:spacing w:after="0" w:before="0" w:line="480"/>
        <w:jc w:val="center"/>
      </w:pPr>
      <w:r>
        <w:rPr>
          <w:rFonts w:ascii="Times New Roman" w:cs="Times New Roman" w:eastAsia="Times New Roman" w:hAnsi="Times New Roman"/>
        </w:rPr>
        <w:t xml:space="preserve">QM640: Data Analytics Capstone</w:t>
      </w:r>
    </w:p>
    <w:p>
      <w:pPr>
        <w:keepNext w:val="false"/>
        <w:spacing w:after="0" w:before="0" w:line="480"/>
        <w:jc w:val="center"/>
      </w:pPr>
      <w:r>
        <w:rPr>
          <w:rFonts w:ascii="Times New Roman" w:cs="Times New Roman" w:eastAsia="Times New Roman" w:hAnsi="Times New Roman"/>
        </w:rPr>
        <w:t xml:space="preserve">Professor Rishab Pandey</w:t>
      </w:r>
    </w:p>
    <w:p>
      <w:pPr>
        <w:keepNext w:val="false"/>
        <w:spacing w:after="0" w:before="0" w:line="480"/>
        <w:jc w:val="center"/>
      </w:pPr>
      <w:r>
        <w:rPr>
          <w:rFonts w:ascii="Times New Roman" w:cs="Times New Roman" w:eastAsia="Times New Roman" w:hAnsi="Times New Roman"/>
        </w:rPr>
        <w:t xml:space="preserve">Summer 2026 Term</w:t>
      </w:r>
    </w:p>
    <w:p>
      <w:pPr>
        <w:keepNext w:val="false"/>
        <w:spacing w:after="0" w:before="0" w:line="480"/>
        <w:jc w:val="center"/>
      </w:pPr>
      <w:r>
        <w:rPr>
          <w:rFonts w:ascii="Times New Roman" w:cs="Times New Roman" w:eastAsia="Times New Roman" w:hAnsi="Times New Roman"/>
        </w:rPr>
        <w:t xml:space="preserve">September 15, 2026</w:t>
      </w:r>
    </w:p>
    <w:p>
      <w:r>
        <w:br w:type="page"/>
      </w:r>
    </w:p>
    <w:p>
      <w:pPr>
        <w:keepNext w:val="false"/>
        <w:spacing w:after="0" w:before="0" w:line="480"/>
        <w:jc w:val="center"/>
      </w:pPr>
      <w:r>
        <w:rPr>
          <w:rFonts w:ascii="Times New Roman" w:cs="Times New Roman" w:eastAsia="Times New Roman" w:hAnsi="Times New Roman"/>
          <w:b/>
          <w:bCs/>
        </w:rPr>
        <w:t xml:space="preserve">Code and Data Availability</w:t>
      </w:r>
    </w:p>
    <w:p>
      <w:pPr>
        <w:keepNext w:val="false"/>
        <w:spacing w:after="0" w:before="0" w:line="480"/>
        <w:jc w:val="left"/>
      </w:pPr>
      <w:r>
        <w:rPr>
          <w:rFonts w:ascii="Times New Roman" w:cs="Times New Roman" w:eastAsia="Times New Roman" w:hAnsi="Times New Roman"/>
          <w:b/>
          <w:bCs/>
        </w:rPr>
        <w:t xml:space="preserve">GitHub repository (code, notebooks, sample data, reports, and presentation):</w:t>
      </w:r>
      <w:r>
        <w:rPr>
          <w:rFonts w:ascii="Times New Roman" w:cs="Times New Roman" w:eastAsia="Times New Roman" w:hAnsi="Times New Roman"/>
        </w:rPr>
        <w:t xml:space="preserve"> </w:t>
      </w:r>
      <w:hyperlink w:history="1" r:id="rIdo1k7-mjomu1ly1i_vqptd">
        <w:r>
          <w:rPr>
            <w:rStyle w:val="Hyperlink"/>
            <w:rFonts w:ascii="Times New Roman" w:cs="Times New Roman" w:eastAsia="Times New Roman" w:hAnsi="Times New Roman"/>
          </w:rPr>
          <w:t xml:space="preserve">https://github.com/somndas3/qm640-tri-pollution-prevention-capstone</w:t>
        </w:r>
      </w:hyperlink>
    </w:p>
    <w:p>
      <w:pPr>
        <w:keepNext w:val="false"/>
        <w:spacing w:after="0" w:before="0" w:line="480"/>
        <w:jc w:val="left"/>
      </w:pPr>
      <w:r>
        <w:rPr>
          <w:rFonts w:ascii="Times New Roman" w:cs="Times New Roman" w:eastAsia="Times New Roman" w:hAnsi="Times New Roman"/>
          <w:b/>
          <w:bCs/>
        </w:rPr>
        <w:t xml:space="preserve">Final analysis notebook:</w:t>
      </w:r>
      <w:r>
        <w:rPr>
          <w:rFonts w:ascii="Times New Roman" w:cs="Times New Roman" w:eastAsia="Times New Roman" w:hAnsi="Times New Roman"/>
        </w:rPr>
        <w:t xml:space="preserve"> notebooks/02_QM640_TRI_2020_2024_final.ipynb</w:t>
      </w:r>
    </w:p>
    <w:p>
      <w:pPr>
        <w:keepNext w:val="false"/>
        <w:spacing w:after="0" w:before="0" w:line="480"/>
        <w:jc w:val="left"/>
      </w:pPr>
      <w:r>
        <w:rPr>
          <w:rFonts w:ascii="Times New Roman" w:cs="Times New Roman" w:eastAsia="Times New Roman" w:hAnsi="Times New Roman"/>
          <w:b/>
          <w:bCs/>
        </w:rPr>
        <w:t xml:space="preserve">Exploratory data analysis and data preparation notebook:</w:t>
      </w:r>
      <w:r>
        <w:rPr>
          <w:rFonts w:ascii="Times New Roman" w:cs="Times New Roman" w:eastAsia="Times New Roman" w:hAnsi="Times New Roman"/>
        </w:rPr>
        <w:t xml:space="preserve"> notebooks/02_EDA_QM640_Synopsis_TRI_2020_2024.ipynb</w:t>
      </w:r>
    </w:p>
    <w:p>
      <w:pPr>
        <w:keepNext w:val="false"/>
        <w:spacing w:after="0" w:before="0" w:line="480"/>
        <w:jc w:val="left"/>
      </w:pPr>
      <w:r>
        <w:rPr>
          <w:rFonts w:ascii="Times New Roman" w:cs="Times New Roman" w:eastAsia="Times New Roman" w:hAnsi="Times New Roman"/>
          <w:b/>
          <w:bCs/>
        </w:rPr>
        <w:t xml:space="preserve">Final report and presentation:</w:t>
      </w:r>
      <w:r>
        <w:rPr>
          <w:rFonts w:ascii="Times New Roman" w:cs="Times New Roman" w:eastAsia="Times New Roman" w:hAnsi="Times New Roman"/>
        </w:rPr>
        <w:t xml:space="preserve"> reports/QM640_Final_Report_Somnath_Das.docx and presentation/QM640_Walsh_Capstone_Final_Presentation_Somnath_Das.pptx</w:t>
      </w:r>
    </w:p>
    <w:p>
      <w:pPr>
        <w:keepNext w:val="false"/>
        <w:spacing w:after="0" w:before="0" w:line="480"/>
        <w:jc w:val="left"/>
      </w:pPr>
      <w:r>
        <w:rPr>
          <w:rFonts w:ascii="Times New Roman" w:cs="Times New Roman" w:eastAsia="Times New Roman" w:hAnsi="Times New Roman"/>
          <w:b/>
          <w:bCs/>
        </w:rPr>
        <w:t xml:space="preserve">Raw and processed data, view-only (Google Drive):</w:t>
      </w:r>
      <w:r>
        <w:rPr>
          <w:rFonts w:ascii="Times New Roman" w:cs="Times New Roman" w:eastAsia="Times New Roman" w:hAnsi="Times New Roman"/>
        </w:rPr>
        <w:t xml:space="preserve"> </w:t>
      </w:r>
      <w:hyperlink w:history="1" r:id="rIddfxxm4ruzajhieisqygh2">
        <w:r>
          <w:rPr>
            <w:rStyle w:val="Hyperlink"/>
            <w:rFonts w:ascii="Times New Roman" w:cs="Times New Roman" w:eastAsia="Times New Roman" w:hAnsi="Times New Roman"/>
          </w:rPr>
          <w:t xml:space="preserve">https://drive.google.com/drive/folders/1oPNHYCAvGwc7uQ1iIP2a_VlZdLnFJuid?usp=sharing</w:t>
        </w:r>
      </w:hyperlink>
    </w:p>
    <w:p>
      <w:pPr>
        <w:keepNext w:val="false"/>
        <w:spacing w:after="0" w:before="0" w:line="480"/>
        <w:jc w:val="left"/>
      </w:pPr>
      <w:r>
        <w:rPr>
          <w:rFonts w:ascii="Times New Roman" w:cs="Times New Roman" w:eastAsia="Times New Roman" w:hAnsi="Times New Roman"/>
          <w:b/>
          <w:bCs/>
        </w:rPr>
        <w:t xml:space="preserve">Original data source (U.S. Environmental Protection Agency):</w:t>
      </w:r>
      <w:r>
        <w:rPr>
          <w:rFonts w:ascii="Times New Roman" w:cs="Times New Roman" w:eastAsia="Times New Roman" w:hAnsi="Times New Roman"/>
        </w:rPr>
        <w:t xml:space="preserve"> </w:t>
      </w:r>
      <w:hyperlink w:history="1" r:id="rIdsssgaq0vfminwfqlyoj-l">
        <w:r>
          <w:rPr>
            <w:rStyle w:val="Hyperlink"/>
            <w:rFonts w:ascii="Times New Roman" w:cs="Times New Roman" w:eastAsia="Times New Roman" w:hAnsi="Times New Roman"/>
          </w:rPr>
          <w:t xml:space="preserve">https://www.epa.gov/toxics-release-inventory-tri-program/tri-basic-plus-data-files-calendar-years-1987-present</w:t>
        </w:r>
      </w:hyperlink>
    </w:p>
    <w:p>
      <w:pPr>
        <w:keepNext w:val="false"/>
        <w:spacing w:after="0" w:before="0" w:line="480"/>
        <w:ind w:firstLine="720"/>
        <w:jc w:val="left"/>
      </w:pPr>
      <w:r>
        <w:rPr>
          <w:rFonts w:ascii="Times New Roman" w:cs="Times New Roman" w:eastAsia="Times New Roman" w:hAnsi="Times New Roman"/>
        </w:rPr>
        <w:t xml:space="preserve">The ten raw source files total 535.6 MB, which exceeds practical repository limits, so they are shared through Google Drive rather than GitHub. </w:t>
      </w:r>
      <w:hyperlink w:history="1" w:anchor="app_B">
        <w:r>
          <w:rPr>
            <w:rFonts w:ascii="Times New Roman" w:cs="Times New Roman" w:eastAsia="Times New Roman" w:hAnsi="Times New Roman"/>
            <w:color w:val="0563C1"/>
          </w:rPr>
          <w:t xml:space="preserve">Appendix B</w:t>
        </w:r>
      </w:hyperlink>
      <w:r>
        <w:rPr>
          <w:rFonts w:ascii="Times New Roman" w:cs="Times New Roman" w:eastAsia="Times New Roman" w:hAnsi="Times New Roman"/>
        </w:rPr>
        <w:t xml:space="preserve"> lists the size and SHA-256 checksum of every file, and </w:t>
      </w:r>
      <w:hyperlink w:history="1" w:anchor="fig_D1">
        <w:r>
          <w:rPr>
            <w:rFonts w:ascii="Times New Roman" w:cs="Times New Roman" w:eastAsia="Times New Roman" w:hAnsi="Times New Roman"/>
            <w:color w:val="0563C1"/>
          </w:rPr>
          <w:t xml:space="preserve">Figures D1</w:t>
        </w:r>
      </w:hyperlink>
      <w:r>
        <w:rPr>
          <w:rFonts w:ascii="Times New Roman" w:cs="Times New Roman" w:eastAsia="Times New Roman" w:hAnsi="Times New Roman"/>
        </w:rPr>
        <w:t xml:space="preserve"> to D4 in </w:t>
      </w:r>
      <w:hyperlink w:history="1" w:anchor="app_D">
        <w:r>
          <w:rPr>
            <w:rFonts w:ascii="Times New Roman" w:cs="Times New Roman" w:eastAsia="Times New Roman" w:hAnsi="Times New Roman"/>
            <w:color w:val="0563C1"/>
          </w:rPr>
          <w:t xml:space="preserve">Appendix D</w:t>
        </w:r>
      </w:hyperlink>
      <w:r>
        <w:rPr>
          <w:rFonts w:ascii="Times New Roman" w:cs="Times New Roman" w:eastAsia="Times New Roman" w:hAnsi="Times New Roman"/>
        </w:rPr>
        <w:t xml:space="preserve"> show the shared folder structure and processed files. The final notebook ran from top to bottom without errors. Random elements were fixed with a seed of 42 so that the tuned model and bootstrap intervals can be reproduced.</w:t>
      </w:r>
    </w:p>
    <w:p>
      <w:pPr>
        <w:pStyle w:val="Heading1"/>
        <w:keepNext/>
        <w:pageBreakBefore/>
        <w:spacing w:after="0" w:before="0" w:line="480"/>
        <w:jc w:val="center"/>
      </w:pPr>
      <w:r>
        <w:rPr>
          <w:rFonts w:ascii="Times New Roman" w:cs="Times New Roman" w:eastAsia="Times New Roman" w:hAnsi="Times New Roman"/>
          <w:b/>
          <w:bCs/>
          <w:color w:val="000000"/>
          <w:sz w:val="24"/>
          <w:szCs w:val="24"/>
        </w:rPr>
        <w:t xml:space="preserve">Abstract</w:t>
      </w:r>
    </w:p>
    <w:p>
      <w:pPr>
        <w:keepNext w:val="false"/>
        <w:spacing w:after="0" w:before="0" w:line="480"/>
        <w:jc w:val="left"/>
      </w:pPr>
      <w:r>
        <w:rPr>
          <w:rFonts w:ascii="Times New Roman" w:cs="Times New Roman" w:eastAsia="Times New Roman" w:hAnsi="Times New Roman"/>
        </w:rPr>
        <w:t xml:space="preserve">U.S. manufacturing facilities report pollution-prevention actions to the Environmental Protection Agency (EPA) every year, but environmental health and safety (EHS) teams have no simple, evidence-based way to decide which filings deserve review first. This study examined whether reported actions are associated with a meaningful next-year toxic-release reduction and whether available information can rank records by their risk of not reducing. The explanatory path applied chi-square tests, facility-clustered logistic regression, and Holm-corrected comparisons. The predictive path compared an interpretable elastic-net logistic regression with a simple baseline. It was tuned by leave-one-transition-out cross-validation and evaluated once on a sealed out-of-time holdout. The data were Toxics Release Inventory (TRI) Basic Plus Form R records for reporting years 2020 through 2024. The unit of analysis was the facility-chemical-year, and a meaningful reduction meant a next-year on-site release of no more than 90% of the current-year release. The development set held 123,535 records from 14,851 facilities, and the 2023-to-2024 holdout held 39,966 records, of which 39,500 pound-reported records were used for model evaluation. Analyses used Python, statsmodels, and scikit-learn in Google Colab. Reduction rates rose from 27.5% to 35.9% across transitions and varied by about 15 percentage points across subsectors, but the effect sizes were small. After adjustment, reporting any action was associated with 14% higher odds of reduction (odds ratio [OR] = 1.14, 95% confidence interval [CI] [1.06, 1.23],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.001). Material modification and operating practice or training were the only action types that exceeded the no-action rate after correction. On the holdout, the elastic-net model reached an area under the receiver operating characteristic curve (AUC) of .523, 95% CI [.515, .532], against .502 for the baseline. The gain was reliable but modest. Among the top 5% of ranked records, 73.9% did not reduce, compared with a base rate of about 68%. The results offer four user benefits: triage of fixed review capacity, prioritized evaluation of the two strongest action types, pounds-at-risk weighting, and peer and trend benchmarking. The model suits decision support, not automated or enforcement decisions.</w:t>
      </w:r>
    </w:p>
    <w:p>
      <w:pPr>
        <w:keepNext w:val="false"/>
        <w:spacing w:after="0" w:before="0" w:line="480"/>
        <w:ind w:firstLine="720"/>
        <w:jc w:val="left"/>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Toxics Release Inventory, pollution prevention, source reduction, logistic regression, elastic net, out-of-time validation, environmental health and safety</w:t>
      </w:r>
    </w:p>
    <w:p>
      <w:pPr>
        <w:pStyle w:val="Heading1"/>
        <w:keepNext/>
        <w:pageBreakBefore/>
        <w:spacing w:after="0" w:before="0" w:line="480"/>
        <w:jc w:val="center"/>
      </w:pPr>
      <w:r>
        <w:rPr>
          <w:rFonts w:ascii="Times New Roman" w:cs="Times New Roman" w:eastAsia="Times New Roman" w:hAnsi="Times New Roman"/>
          <w:b/>
          <w:bCs/>
          <w:color w:val="000000"/>
          <w:sz w:val="24"/>
          <w:szCs w:val="24"/>
        </w:rPr>
        <w:t xml:space="preserve">Pollution-Prevention Actions and Next-Year Toxic Release Reduction in U.S. Manufacturing</w:t>
      </w:r>
    </w:p>
    <w:p>
      <w:pPr>
        <w:keepNext w:val="false"/>
        <w:spacing w:after="0" w:before="0" w:line="480"/>
        <w:ind w:firstLine="720"/>
        <w:jc w:val="left"/>
      </w:pPr>
      <w:r>
        <w:rPr>
          <w:rFonts w:ascii="Times New Roman" w:cs="Times New Roman" w:eastAsia="Times New Roman" w:hAnsi="Times New Roman"/>
        </w:rPr>
        <w:t xml:space="preserve">Every year, thousands of U.S. manufacturing plants report their toxic releases and the steps they took to release less. An environmental health and safety (EHS) team can review only a small share of these filings. This study tested whether reported pollution-prevention actions carry real information about next-year release reductions and whether that information can help such a team decide where to look first. It is an association and screening study, not a causal one.</w:t>
      </w:r>
    </w:p>
    <w:p>
      <w:pPr>
        <w:pStyle w:val="Heading2"/>
        <w:keepNext/>
        <w:spacing w:after="0" w:before="0" w:line="480"/>
      </w:pPr>
      <w:r>
        <w:rPr>
          <w:rFonts w:ascii="Times New Roman" w:cs="Times New Roman" w:eastAsia="Times New Roman" w:hAnsi="Times New Roman"/>
          <w:b/>
          <w:bCs/>
          <w:color w:val="000000"/>
          <w:sz w:val="24"/>
          <w:szCs w:val="24"/>
        </w:rPr>
        <w:t xml:space="preserve">Background and Context</w:t>
      </w:r>
    </w:p>
    <w:p>
      <w:pPr>
        <w:keepNext w:val="false"/>
        <w:spacing w:after="0" w:before="0" w:line="480"/>
        <w:ind w:firstLine="720"/>
        <w:jc w:val="left"/>
      </w:pPr>
      <w:r>
        <w:rPr>
          <w:rFonts w:ascii="Times New Roman" w:cs="Times New Roman" w:eastAsia="Times New Roman" w:hAnsi="Times New Roman"/>
        </w:rPr>
        <w:t xml:space="preserve">The U.S. Environmental Protection Agency (EPA) collects these filings through the Toxics Release Inventory (TRI), a public program whose data support open study of industrial environmental behavior (U.S. Environmental Protection Agency [EPA], 2025b, 2025c, 2025d). The Pollution Prevention Act of 1990 favors preventing waste at the source over recycling, treatment, or disposal (EPA, 2025a), and facilities report such source-reduction actions with standard activity codes.</w:t>
      </w:r>
    </w:p>
    <w:p>
      <w:pPr>
        <w:keepNext w:val="false"/>
        <w:spacing w:after="0" w:before="0" w:line="480"/>
        <w:ind w:firstLine="720"/>
        <w:jc w:val="left"/>
      </w:pPr>
      <w:r>
        <w:rPr>
          <w:rFonts w:ascii="Times New Roman" w:cs="Times New Roman" w:eastAsia="Times New Roman" w:hAnsi="Times New Roman"/>
        </w:rPr>
        <w:t xml:space="preserve">Plant managers, EHS leaders, sustainability leaders, and regulators need to know whether reported actions line up with lower releases the following year, and which kinds of action do so most strongly. A simple before-and-after comparison cannot answer this, because releases also move with production, reporting changes, and ordinary year-to-year variation.</w:t>
      </w:r>
    </w:p>
    <w:p>
      <w:pPr>
        <w:keepNext w:val="false"/>
        <w:spacing w:after="0" w:before="0" w:line="480"/>
        <w:ind w:firstLine="720"/>
        <w:jc w:val="left"/>
      </w:pPr>
      <w:r>
        <w:rPr>
          <w:rFonts w:ascii="Times New Roman" w:cs="Times New Roman" w:eastAsia="Times New Roman" w:hAnsi="Times New Roman"/>
        </w:rPr>
        <w:t xml:space="preserve">Earlier TRI research studied disclosure, voluntary programs, and the long-run effects and profitability of prevention (Cagno et al., 2005; Gamper-Rabindran, 2006; Hamilton, 1995; King &amp; Lenox, 2002; Konar &amp; Cohen, 1997; Ranson et al., 2015). None of it gives an EHS team a ready-to-use way to screen this year’s filings, which is the gap this project addresses.</w:t>
      </w:r>
    </w:p>
    <w:p>
      <w:pPr>
        <w:pStyle w:val="Heading2"/>
        <w:keepNext/>
        <w:spacing w:after="0" w:before="0" w:line="480"/>
      </w:pPr>
      <w:r>
        <w:rPr>
          <w:rFonts w:ascii="Times New Roman" w:cs="Times New Roman" w:eastAsia="Times New Roman" w:hAnsi="Times New Roman"/>
          <w:b/>
          <w:bCs/>
          <w:color w:val="000000"/>
          <w:sz w:val="24"/>
          <w:szCs w:val="24"/>
        </w:rPr>
        <w:t xml:space="preserve">Problem Statement</w:t>
      </w:r>
    </w:p>
    <w:p>
      <w:pPr>
        <w:keepNext w:val="false"/>
        <w:spacing w:after="0" w:before="0" w:line="480"/>
        <w:ind w:firstLine="720"/>
        <w:jc w:val="left"/>
      </w:pPr>
      <w:r>
        <w:rPr>
          <w:rFonts w:ascii="Times New Roman" w:cs="Times New Roman" w:eastAsia="Times New Roman" w:hAnsi="Times New Roman"/>
        </w:rPr>
        <w:t xml:space="preserve">EHS and plant leaders lack a recent, transparent way to judge whether records carrying reported prevention actions are more likely to show a meaningful next-year reduction in the same chemical’s on-site release. The objective of this study was to explain and predict </w:t>
      </w:r>
      <w:r>
        <w:rPr>
          <w:rFonts w:ascii="Times New Roman" w:cs="Times New Roman" w:eastAsia="Times New Roman" w:hAnsi="Times New Roman"/>
          <w:i/>
          <w:iCs/>
        </w:rPr>
        <w:t xml:space="preserve">Y</w:t>
      </w:r>
      <w:r>
        <w:rPr>
          <w:rFonts w:ascii="Times New Roman" w:cs="Times New Roman" w:eastAsia="Times New Roman" w:hAnsi="Times New Roman"/>
        </w:rPr>
        <w:t xml:space="preserve"> = REDUCTION_10, equal to 1 when the next-year on-site release is no more than 90% of the current-year release, for U.S. manufacturing facility-chemical-year records, using </w:t>
      </w:r>
      <w:r>
        <w:rPr>
          <w:rFonts w:ascii="Times New Roman" w:cs="Times New Roman" w:eastAsia="Times New Roman" w:hAnsi="Times New Roman"/>
          <w:i/>
          <w:iCs/>
        </w:rPr>
        <w:t xml:space="preserve">X</w:t>
      </w:r>
      <w:r>
        <w:rPr>
          <w:rFonts w:ascii="Times New Roman" w:cs="Times New Roman" w:eastAsia="Times New Roman" w:hAnsi="Times New Roman"/>
        </w:rPr>
        <w:t xml:space="preserve"> = reported pollution-prevention actions, current release, production or activity ratio, manufacturing subsector, chemical hazard classification, and action year, over TRI reporting years 2020 through 2024. Success was evaluated with adjusted odds ratios (ORs) and facility-clustered 95% confidence intervals (CIs), and with holdout area under the receiver operating characteristic curve (AUC), Brier score, and top-ranked non-reduction rates against a simple baseline.</w:t>
      </w:r>
    </w:p>
    <w:p>
      <w:pPr>
        <w:pStyle w:val="Heading2"/>
        <w:keepNext/>
        <w:spacing w:after="0" w:before="0" w:line="480"/>
      </w:pPr>
      <w:r>
        <w:rPr>
          <w:rFonts w:ascii="Times New Roman" w:cs="Times New Roman" w:eastAsia="Times New Roman" w:hAnsi="Times New Roman"/>
          <w:b/>
          <w:bCs/>
          <w:color w:val="000000"/>
          <w:sz w:val="24"/>
          <w:szCs w:val="24"/>
        </w:rPr>
        <w:t xml:space="preserve">Purpose of the Study</w:t>
      </w:r>
    </w:p>
    <w:p>
      <w:pPr>
        <w:keepNext w:val="false"/>
        <w:spacing w:after="0" w:before="0" w:line="480"/>
        <w:ind w:firstLine="720"/>
        <w:jc w:val="left"/>
      </w:pPr>
      <w:r>
        <w:rPr>
          <w:rFonts w:ascii="Times New Roman" w:cs="Times New Roman" w:eastAsia="Times New Roman" w:hAnsi="Times New Roman"/>
        </w:rPr>
        <w:t xml:space="preserve">The study aimed to explain which factors are associated with next-year reduction and to predict which records are unlikely to reduce, so that EHS teams can prioritize review without replacing engineering judgment. The overarching question was: </w:t>
      </w:r>
      <w:r>
        <w:rPr>
          <w:rFonts w:ascii="Times New Roman" w:cs="Times New Roman" w:eastAsia="Times New Roman" w:hAnsi="Times New Roman"/>
          <w:i/>
          <w:iCs/>
        </w:rPr>
        <w:t xml:space="preserve">To what extent can recent EPA TRI information on reported pollution-prevention actions help explain and predict whether a facility will reduce the same chemical’s on-site release by at least 10% in the following year?</w:t>
      </w:r>
    </w:p>
    <w:p>
      <w:pPr>
        <w:pStyle w:val="Heading2"/>
        <w:keepNext/>
        <w:spacing w:after="0" w:before="0" w:line="480"/>
      </w:pPr>
      <w:r>
        <w:rPr>
          <w:rFonts w:ascii="Times New Roman" w:cs="Times New Roman" w:eastAsia="Times New Roman" w:hAnsi="Times New Roman"/>
          <w:b/>
          <w:bCs/>
          <w:color w:val="000000"/>
          <w:sz w:val="24"/>
          <w:szCs w:val="24"/>
        </w:rPr>
        <w:t xml:space="preserve">Research Questions</w:t>
      </w:r>
    </w:p>
    <w:p>
      <w:pPr>
        <w:keepNext w:val="false"/>
        <w:spacing w:after="0" w:before="0" w:line="480"/>
        <w:ind w:firstLine="720"/>
        <w:jc w:val="left"/>
      </w:pPr>
      <w:r>
        <w:rPr>
          <w:rFonts w:ascii="Times New Roman" w:cs="Times New Roman" w:eastAsia="Times New Roman" w:hAnsi="Times New Roman"/>
        </w:rPr>
        <w:t xml:space="preserve">Four research questions (RQs) addressed context (RQ1), explanation (RQ2 and RQ3), and prediction (RQ4).</w:t>
      </w:r>
    </w:p>
    <w:p>
      <w:pPr>
        <w:spacing w:line="480"/>
        <w:ind w:firstLine="720"/>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Do meaningful next-year reduction rates differ across action-year transitions and manufacturing subsectors?</w:t>
      </w:r>
    </w:p>
    <w:p>
      <w:pPr>
        <w:spacing w:line="480"/>
        <w:ind w:firstLine="720"/>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After controlling for current release level, production or activity ratio, manufacturing subsector, chemical hazard classification, and action year, is reporting at least one pollution-prevention action associated with achieving a meaningful next-year reduction?</w:t>
      </w:r>
    </w:p>
    <w:p>
      <w:pPr>
        <w:spacing w:line="480"/>
        <w:ind w:firstLine="720"/>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Do meaningful next-year reduction rates differ between each reported pollution-prevention action type and records with no reported action?</w:t>
      </w:r>
    </w:p>
    <w:p>
      <w:pPr>
        <w:spacing w:line="480"/>
        <w:ind w:firstLine="720"/>
      </w:pPr>
      <w:r>
        <w:rPr>
          <w:rFonts w:ascii="Times New Roman" w:cs="Times New Roman" w:eastAsia="Times New Roman" w:hAnsi="Times New Roman"/>
          <w:b/>
          <w:bCs/>
        </w:rPr>
        <w:t xml:space="preserve">RQ4.</w:t>
      </w:r>
      <w:r>
        <w:rPr>
          <w:rFonts w:ascii="Times New Roman" w:cs="Times New Roman" w:eastAsia="Times New Roman" w:hAnsi="Times New Roman"/>
        </w:rPr>
        <w:t xml:space="preserve"> Can an interpretable model using only action-year information predict which facility-chemical records will fail to achieve a meaningful next-year reduction better than chance and better than a simple baseline model?</w:t>
      </w:r>
    </w:p>
    <w:p>
      <w:pPr>
        <w:pStyle w:val="Heading2"/>
        <w:keepNext/>
        <w:spacing w:after="0" w:before="0" w:line="480"/>
      </w:pPr>
      <w:r>
        <w:rPr>
          <w:rFonts w:ascii="Times New Roman" w:cs="Times New Roman" w:eastAsia="Times New Roman" w:hAnsi="Times New Roman"/>
          <w:b/>
          <w:bCs/>
          <w:color w:val="000000"/>
          <w:sz w:val="24"/>
          <w:szCs w:val="24"/>
        </w:rPr>
        <w:t xml:space="preserve">Contributions and Expected Value</w:t>
      </w:r>
    </w:p>
    <w:p>
      <w:pPr>
        <w:spacing w:line="480"/>
        <w:ind w:firstLine="720"/>
      </w:pPr>
      <w:r>
        <w:rPr>
          <w:rFonts w:ascii="Times New Roman" w:cs="Times New Roman" w:eastAsia="Times New Roman" w:hAnsi="Times New Roman"/>
          <w:b/>
          <w:bCs/>
        </w:rPr>
        <w:t xml:space="preserve">Practical Contribution.</w:t>
      </w:r>
      <w:r>
        <w:rPr>
          <w:rFonts w:ascii="Times New Roman" w:cs="Times New Roman" w:eastAsia="Times New Roman" w:hAnsi="Times New Roman"/>
        </w:rPr>
        <w:t xml:space="preserve"> A ranked review list and evidence on which reported action types show the clearest association with reduction, both built from public data that EHS teams already hold.</w:t>
      </w:r>
    </w:p>
    <w:p>
      <w:pPr>
        <w:spacing w:line="480"/>
        <w:ind w:firstLine="720"/>
      </w:pPr>
      <w:r>
        <w:rPr>
          <w:rFonts w:ascii="Times New Roman" w:cs="Times New Roman" w:eastAsia="Times New Roman" w:hAnsi="Times New Roman"/>
          <w:b/>
          <w:bCs/>
        </w:rPr>
        <w:t xml:space="preserve">Technical Contribution.</w:t>
      </w:r>
      <w:r>
        <w:rPr>
          <w:rFonts w:ascii="Times New Roman" w:cs="Times New Roman" w:eastAsia="Times New Roman" w:hAnsi="Times New Roman"/>
        </w:rPr>
        <w:t xml:space="preserve"> A design that separates adjusted explanation from out-of-time prediction, with facility-clustered inference and a sealed holdout evaluated once.</w:t>
      </w:r>
    </w:p>
    <w:p>
      <w:pPr>
        <w:spacing w:line="480"/>
        <w:ind w:firstLine="720"/>
      </w:pPr>
      <w:r>
        <w:rPr>
          <w:rFonts w:ascii="Times New Roman" w:cs="Times New Roman" w:eastAsia="Times New Roman" w:hAnsi="Times New Roman"/>
          <w:b/>
          <w:bCs/>
        </w:rPr>
        <w:t xml:space="preserve">Value to Stakeholders.</w:t>
      </w:r>
      <w:r>
        <w:rPr>
          <w:rFonts w:ascii="Times New Roman" w:cs="Times New Roman" w:eastAsia="Times New Roman" w:hAnsi="Times New Roman"/>
        </w:rPr>
        <w:t xml:space="preserve"> EHS teams gain a way to order a fixed workload, sustainability leaders gain peer-aware benchmarks, and regulators gain a candid view of what checkbox-style TRI data can support.</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Literature Review</w:t>
      </w:r>
    </w:p>
    <w:p>
      <w:pPr>
        <w:pStyle w:val="Heading2"/>
        <w:keepNext/>
        <w:spacing w:after="0" w:before="0" w:line="480"/>
      </w:pPr>
      <w:r>
        <w:rPr>
          <w:rFonts w:ascii="Times New Roman" w:cs="Times New Roman" w:eastAsia="Times New Roman" w:hAnsi="Times New Roman"/>
          <w:b/>
          <w:bCs/>
          <w:color w:val="000000"/>
          <w:sz w:val="24"/>
          <w:szCs w:val="24"/>
        </w:rPr>
        <w:t xml:space="preserve">Literature Review Approach</w:t>
      </w:r>
    </w:p>
    <w:p>
      <w:pPr>
        <w:keepNext w:val="false"/>
        <w:spacing w:after="0" w:before="0" w:line="480"/>
        <w:ind w:firstLine="720"/>
        <w:jc w:val="left"/>
      </w:pPr>
      <w:r>
        <w:rPr>
          <w:rFonts w:ascii="Times New Roman" w:cs="Times New Roman" w:eastAsia="Times New Roman" w:hAnsi="Times New Roman"/>
        </w:rPr>
        <w:t xml:space="preserve">Subject-matter sources on TRI disclosure, voluntary programs, and source reduction were found through Google Scholar and EPA documentation and were kept when they reported U.S. facility-level or firm-level evidence. Method sources were kept when they governed a specific design decision in this study.</w:t>
      </w:r>
    </w:p>
    <w:p>
      <w:pPr>
        <w:pStyle w:val="Heading2"/>
        <w:keepNext/>
        <w:spacing w:after="0" w:before="0" w:line="480"/>
      </w:pPr>
      <w:r>
        <w:rPr>
          <w:rFonts w:ascii="Times New Roman" w:cs="Times New Roman" w:eastAsia="Times New Roman" w:hAnsi="Times New Roman"/>
          <w:b/>
          <w:bCs/>
          <w:color w:val="000000"/>
          <w:sz w:val="24"/>
          <w:szCs w:val="24"/>
        </w:rPr>
        <w:t xml:space="preserve">Summary of Key Literature</w:t>
      </w:r>
    </w:p>
    <w:p>
      <w:pPr>
        <w:keepNext w:val="false"/>
        <w:spacing w:after="0" w:before="0" w:line="480"/>
        <w:ind w:firstLine="720"/>
        <w:jc w:val="left"/>
      </w:pPr>
      <w:hyperlink w:history="1" w:anchor="tbl_1">
        <w:r>
          <w:rPr>
            <w:rFonts w:ascii="Times New Roman" w:cs="Times New Roman" w:eastAsia="Times New Roman" w:hAnsi="Times New Roman"/>
            <w:color w:val="0563C1"/>
          </w:rPr>
          <w:t xml:space="preserve">Table 1</w:t>
        </w:r>
      </w:hyperlink>
      <w:r>
        <w:rPr>
          <w:rFonts w:ascii="Times New Roman" w:cs="Times New Roman" w:eastAsia="Times New Roman" w:hAnsi="Times New Roman"/>
        </w:rPr>
        <w:t xml:space="preserve"> summarizes the 10 key sources, and </w:t>
      </w:r>
      <w:hyperlink w:history="1" w:anchor="app_G">
        <w:r>
          <w:rPr>
            <w:rFonts w:ascii="Times New Roman" w:cs="Times New Roman" w:eastAsia="Times New Roman" w:hAnsi="Times New Roman"/>
            <w:color w:val="0563C1"/>
          </w:rPr>
          <w:t xml:space="preserve">Appendix G</w:t>
        </w:r>
      </w:hyperlink>
      <w:r>
        <w:rPr>
          <w:rFonts w:ascii="Times New Roman" w:cs="Times New Roman" w:eastAsia="Times New Roman" w:hAnsi="Times New Roman"/>
        </w:rPr>
        <w:t xml:space="preserve">, </w:t>
      </w:r>
      <w:hyperlink w:history="1" w:anchor="tbl_G1">
        <w:r>
          <w:rPr>
            <w:rFonts w:ascii="Times New Roman" w:cs="Times New Roman" w:eastAsia="Times New Roman" w:hAnsi="Times New Roman"/>
            <w:color w:val="0563C1"/>
          </w:rPr>
          <w:t xml:space="preserve">Table G1</w:t>
        </w:r>
      </w:hyperlink>
      <w:r>
        <w:rPr>
          <w:rFonts w:ascii="Times New Roman" w:cs="Times New Roman" w:eastAsia="Times New Roman" w:hAnsi="Times New Roman"/>
        </w:rPr>
        <w:t xml:space="preserve"> summarizes the supporting method and documentation sources. Author names in both tables link to the References.</w:t>
      </w:r>
    </w:p>
    <w:p>
      <w:pPr>
        <w:keepNext/>
        <w:spacing w:before="240" w:line="480"/>
      </w:pPr>
      <w:bookmarkStart w:name="tbl_1" w:id="101"/>
      <w:r>
        <w:rPr>
          <w:rFonts w:ascii="Times New Roman" w:cs="Times New Roman" w:eastAsia="Times New Roman" w:hAnsi="Times New Roman"/>
          <w:b/>
          <w:bCs/>
        </w:rPr>
        <w:t xml:space="preserve">Table 1</w:t>
      </w:r>
      <w:bookmarkEnd w:id="101"/>
    </w:p>
    <w:p>
      <w:pPr>
        <w:keepNext/>
        <w:spacing w:line="480"/>
      </w:pPr>
      <w:r>
        <w:rPr>
          <w:rFonts w:ascii="Times New Roman" w:cs="Times New Roman" w:eastAsia="Times New Roman" w:hAnsi="Times New Roman"/>
          <w:i/>
          <w:iCs/>
        </w:rPr>
        <w:t xml:space="preserve">Literature Relevance Matrix for Key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300"/>
        <w:gridCol w:w="1450"/>
        <w:gridCol w:w="1250"/>
        <w:gridCol w:w="2050"/>
        <w:gridCol w:w="1960"/>
      </w:tblGrid>
      <w:tr>
        <w:trPr>
          <w:cantSplit/>
          <w:tblHeader/>
        </w:trPr>
        <w:tc>
          <w:tcPr>
            <w:tcW w:type="dxa" w:w="13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Author (Year)</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Domain / Context</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Dataset / Setting</w:t>
            </w:r>
          </w:p>
        </w:tc>
        <w:tc>
          <w:tcPr>
            <w:tcW w:type="dxa" w:w="12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Method(s)</w:t>
            </w:r>
          </w:p>
        </w:tc>
        <w:tc>
          <w:tcPr>
            <w:tcW w:type="dxa" w:w="20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Key Findings</w:t>
            </w:r>
          </w:p>
        </w:tc>
        <w:tc>
          <w:tcPr>
            <w:tcW w:type="dxa" w:w="19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How It Supports the RQs or Project Decisions</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hamilton1995">
              <w:r>
                <w:rPr>
                  <w:rFonts w:ascii="Times New Roman" w:cs="Times New Roman" w:eastAsia="Times New Roman" w:hAnsi="Times New Roman"/>
                  <w:color w:val="0563C1"/>
                  <w:sz w:val="16"/>
                  <w:szCs w:val="16"/>
                </w:rPr>
                <w:t xml:space="preserve">Hamilton (1995)</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TRI disclosure and markets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U.S. public firms named in the first TRI release</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Event study</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Firms reporting TRI releases had negative abnormal stock returns.</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TRI reporting carries real consequences, so reported behavior is worth studying</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konar1997">
              <w:r>
                <w:rPr>
                  <w:rFonts w:ascii="Times New Roman" w:cs="Times New Roman" w:eastAsia="Times New Roman" w:hAnsi="Times New Roman"/>
                  <w:color w:val="0563C1"/>
                  <w:sz w:val="16"/>
                  <w:szCs w:val="16"/>
                </w:rPr>
                <w:t xml:space="preserve">Konar &amp; Cohen (1997)</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Community right-to-know</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U.S. firms reporting to TRI</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Panel analysis</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Firms with the largest stock-price declines later cut emissions more.</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Links reported behavior with later releases</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gamperrabindran2006">
              <w:r>
                <w:rPr>
                  <w:rFonts w:ascii="Times New Roman" w:cs="Times New Roman" w:eastAsia="Times New Roman" w:hAnsi="Times New Roman"/>
                  <w:color w:val="0563C1"/>
                  <w:sz w:val="16"/>
                  <w:szCs w:val="16"/>
                </w:rPr>
                <w:t xml:space="preserve">Gamper-Rabindran (2006)</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EPA 33/50 voluntary program</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Manufacturing plants in 48 states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Evaluation controlling for self-selection</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 reduction in health-indexed emissions in several key industries; some apparent cuts were transfers to recyclers.</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Raw reductions can mislead; supports adjustment, subsector controls, and no causal claims (RQ1, RQ2)</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king2002">
              <w:r>
                <w:rPr>
                  <w:rFonts w:ascii="Times New Roman" w:cs="Times New Roman" w:eastAsia="Times New Roman" w:hAnsi="Times New Roman"/>
                  <w:color w:val="0563C1"/>
                  <w:sz w:val="16"/>
                  <w:szCs w:val="16"/>
                </w:rPr>
                <w:t xml:space="preserve">King &amp; Lenox (2002)</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Prevention versus treatment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U.S. manufacturing firms, TRI data</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Panel regression</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Profitable pollution reduction came from preventing waste, not treatment.</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Focus on source-reduction codes</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cagno2005">
              <w:r>
                <w:rPr>
                  <w:rFonts w:ascii="Times New Roman" w:cs="Times New Roman" w:eastAsia="Times New Roman" w:hAnsi="Times New Roman"/>
                  <w:color w:val="0563C1"/>
                  <w:sz w:val="16"/>
                  <w:szCs w:val="16"/>
                </w:rPr>
                <w:t xml:space="preserve">Cagno et al. (2005)</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Cleaner production economics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134 prevention project reports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Comparative analysis</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Project profitability differed across intervention types.</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Compare the five action types separately (RQ3)</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ranson2015">
              <w:r>
                <w:rPr>
                  <w:rFonts w:ascii="Times New Roman" w:cs="Times New Roman" w:eastAsia="Times New Roman" w:hAnsi="Times New Roman"/>
                  <w:color w:val="0563C1"/>
                  <w:sz w:val="16"/>
                  <w:szCs w:val="16"/>
                </w:rPr>
                <w:t xml:space="preserve">Ranson et al. (2015)</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Pollution prevention outcomes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U.S. manufacturing facilities in TRI</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Facility-level regression</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Source-reduction activity was associated with lower releases.</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Closest prior study; motivates RQ2 and RQ3 on recent data</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cameron2015">
              <w:r>
                <w:rPr>
                  <w:rFonts w:ascii="Times New Roman" w:cs="Times New Roman" w:eastAsia="Times New Roman" w:hAnsi="Times New Roman"/>
                  <w:color w:val="0563C1"/>
                  <w:sz w:val="16"/>
                  <w:szCs w:val="16"/>
                </w:rPr>
                <w:t xml:space="preserve">Cameron &amp; Miller (2015)</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Clustered inference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Econometric practice</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Practitioner guide</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Ignoring within-cluster correlation understates standard errors.</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Facility-clustered errors in RQ1 to RQ3</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holm1979">
              <w:r>
                <w:rPr>
                  <w:rFonts w:ascii="Times New Roman" w:cs="Times New Roman" w:eastAsia="Times New Roman" w:hAnsi="Times New Roman"/>
                  <w:color w:val="0563C1"/>
                  <w:sz w:val="16"/>
                  <w:szCs w:val="16"/>
                </w:rPr>
                <w:t xml:space="preserve">Holm (1979)</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Multiple comparisons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Statistical theory</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Step-down procedure</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Controls family-wise error with more power than Bonferroni.</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Correction for the five RQ3 comparisons</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zou2005">
              <w:r>
                <w:rPr>
                  <w:rFonts w:ascii="Times New Roman" w:cs="Times New Roman" w:eastAsia="Times New Roman" w:hAnsi="Times New Roman"/>
                  <w:color w:val="0563C1"/>
                  <w:sz w:val="16"/>
                  <w:szCs w:val="16"/>
                </w:rPr>
                <w:t xml:space="preserve">Zou &amp; Hastie (2005)</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Regularized regression</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Statistical methodology</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Elastic-net penalty</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Combined lasso and ridge penalties handle correlated predictors.</w:t>
            </w:r>
          </w:p>
        </w:tc>
        <w:tc>
          <w:tcPr>
            <w:tcW w:type="dxa" w:w="1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Choice of the RQ4 elastic-net model</w:t>
            </w:r>
          </w:p>
        </w:tc>
      </w:tr>
      <w:tr>
        <w:trPr>
          <w:cantSplit/>
        </w:trPr>
        <w:tc>
          <w:tcPr>
            <w:tcW w:type="dxa" w:w="13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hyperlink w:history="1" w:anchor="ref_steyerberg2010">
              <w:r>
                <w:rPr>
                  <w:rFonts w:ascii="Times New Roman" w:cs="Times New Roman" w:eastAsia="Times New Roman" w:hAnsi="Times New Roman"/>
                  <w:color w:val="0563C1"/>
                  <w:sz w:val="16"/>
                  <w:szCs w:val="16"/>
                </w:rPr>
                <w:t xml:space="preserve">Steyerberg et al. (2010)</w:t>
              </w:r>
            </w:hyperlink>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Prediction model evaluation</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Methodological framework</w:t>
            </w:r>
          </w:p>
        </w:tc>
        <w:tc>
          <w:tcPr>
            <w:tcW w:type="dxa" w:w="12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Performance measures</w:t>
            </w:r>
          </w:p>
        </w:tc>
        <w:tc>
          <w:tcPr>
            <w:tcW w:type="dxa" w:w="20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Discrimination alone is not enough; calibration and usefulness matter.</w:t>
            </w:r>
          </w:p>
        </w:tc>
        <w:tc>
          <w:tcPr>
            <w:tcW w:type="dxa" w:w="19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 metrics: AUC, Brier score, calibration, lift</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The remaining sources (interval estimation, large-sample inference, regression to the mean, functional form, sample size, calibration, and EPA documentation) appear in </w:t>
      </w:r>
      <w:hyperlink w:history="1" w:anchor="app_G">
        <w:r>
          <w:rPr>
            <w:rFonts w:ascii="Times New Roman" w:cs="Times New Roman" w:eastAsia="Times New Roman" w:hAnsi="Times New Roman"/>
            <w:color w:val="0563C1"/>
            <w:sz w:val="24"/>
            <w:szCs w:val="24"/>
          </w:rPr>
          <w:t xml:space="preserve">Appendix G</w:t>
        </w:r>
      </w:hyperlink>
      <w:r>
        <w:rPr>
          <w:rFonts w:ascii="Times New Roman" w:cs="Times New Roman" w:eastAsia="Times New Roman" w:hAnsi="Times New Roman"/>
          <w:sz w:val="24"/>
          <w:szCs w:val="24"/>
        </w:rPr>
        <w:t xml:space="preserve">, </w:t>
      </w:r>
      <w:hyperlink w:history="1" w:anchor="tbl_G1">
        <w:r>
          <w:rPr>
            <w:rFonts w:ascii="Times New Roman" w:cs="Times New Roman" w:eastAsia="Times New Roman" w:hAnsi="Times New Roman"/>
            <w:color w:val="0563C1"/>
            <w:sz w:val="24"/>
            <w:szCs w:val="24"/>
          </w:rPr>
          <w:t xml:space="preserve">Table G1</w:t>
        </w:r>
      </w:hyperlink>
      <w:r>
        <w:rPr>
          <w:rFonts w:ascii="Times New Roman" w:cs="Times New Roman" w:eastAsia="Times New Roman" w:hAnsi="Times New Roman"/>
          <w:sz w:val="24"/>
          <w:szCs w:val="24"/>
        </w:rPr>
        <w:t xml:space="preserve">. AUC = area under the receiver operating characteristic curve; EPA = U.S. Environmental Protection Agency; RQ = research question; TRI = Toxics Release Inventory.</w:t>
      </w:r>
    </w:p>
    <w:p>
      <w:pPr>
        <w:keepNext w:val="false"/>
        <w:spacing w:after="0" w:before="0" w:line="480"/>
        <w:ind w:firstLine="720"/>
        <w:jc w:val="left"/>
      </w:pPr>
      <w:r>
        <w:rPr>
          <w:rFonts w:ascii="Times New Roman" w:cs="Times New Roman" w:eastAsia="Times New Roman" w:hAnsi="Times New Roman"/>
        </w:rPr>
        <w:t xml:space="preserve">Public reporting changes behavior, but raw numbers can mislead. The first TRI disclosure moved share prices (Hamilton, 1995), and the firms punished hardest later cut emissions most (Konar &amp; Cohen, 1997). Yet in the EPA’s voluntary 33/50 program, some apparent reductions reflected transfers to recyclers rather than true elimination (Gamper-Rabindran, 2006). Prevention also varies by type. Profitable reduction came from preventing waste rather than treating it (King &amp; Lenox, 2002), project profitability differed across interventions (Cagno et al., 2005), and source reduction was associated with lower releases (Ranson et al., 2015). These studies justify a narrow outcome, adjusted comparisons, and separate analysis of action types.</w:t>
      </w:r>
    </w:p>
    <w:p>
      <w:pPr>
        <w:keepNext w:val="false"/>
        <w:spacing w:after="0" w:before="0" w:line="480"/>
        <w:ind w:firstLine="720"/>
        <w:jc w:val="left"/>
      </w:pPr>
      <w:r>
        <w:rPr>
          <w:rFonts w:ascii="Times New Roman" w:cs="Times New Roman" w:eastAsia="Times New Roman" w:hAnsi="Times New Roman"/>
        </w:rPr>
        <w:t xml:space="preserve">The methods literature shaped inference and prediction. Clustered standard errors prevent understated uncertainty when facilities repeat (Cameron &amp; Miller, 2015), Holm’s (1979) correction controls error across multiple comparisons, and with very large samples effect sizes matter more than </w:t>
      </w:r>
      <w:r>
        <w:rPr>
          <w:rFonts w:ascii="Times New Roman" w:cs="Times New Roman" w:eastAsia="Times New Roman" w:hAnsi="Times New Roman"/>
          <w:i/>
          <w:iCs/>
        </w:rPr>
        <w:t xml:space="preserve">p</w:t>
      </w:r>
      <w:r>
        <w:rPr>
          <w:rFonts w:ascii="Times New Roman" w:cs="Times New Roman" w:eastAsia="Times New Roman" w:hAnsi="Times New Roman"/>
        </w:rPr>
        <w:t xml:space="preserve"> values (Lin et al., 2013). The elastic net suits correlated predictors (Zou &amp; Hastie, 2005), and prediction models should be judged on calibration and decision usefulness as well as discrimination (Steyerberg et al., 2010; Van Calster et al., 2019).</w:t>
      </w:r>
    </w:p>
    <w:p>
      <w:pPr>
        <w:pStyle w:val="Heading2"/>
        <w:keepNext/>
        <w:spacing w:after="0" w:before="0" w:line="480"/>
      </w:pPr>
      <w:r>
        <w:rPr>
          <w:rFonts w:ascii="Times New Roman" w:cs="Times New Roman" w:eastAsia="Times New Roman" w:hAnsi="Times New Roman"/>
          <w:b/>
          <w:bCs/>
          <w:color w:val="000000"/>
          <w:sz w:val="24"/>
          <w:szCs w:val="24"/>
        </w:rPr>
        <w:t xml:space="preserve">Gap Addressed by This Study</w:t>
      </w:r>
    </w:p>
    <w:p>
      <w:pPr>
        <w:keepNext w:val="false"/>
        <w:spacing w:after="0" w:before="0" w:line="480"/>
        <w:ind w:firstLine="720"/>
        <w:jc w:val="left"/>
      </w:pPr>
      <w:r>
        <w:rPr>
          <w:rFonts w:ascii="Times New Roman" w:cs="Times New Roman" w:eastAsia="Times New Roman" w:hAnsi="Times New Roman"/>
        </w:rPr>
        <w:t xml:space="preserve">Prior work shows that disclosure matters, that raw trends mislead, and that prevention types differ. It does not offer a recent, record-level screening tool or a candid estimate of how much predictive signal TRI action fields contain. This study addresses both.</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Materials and Method</w:t>
      </w:r>
    </w:p>
    <w:p>
      <w:pPr>
        <w:keepNext w:val="false"/>
        <w:spacing w:after="0" w:before="0" w:line="480"/>
        <w:ind w:firstLine="720"/>
        <w:jc w:val="left"/>
      </w:pPr>
      <w:r>
        <w:rPr>
          <w:rFonts w:ascii="Times New Roman" w:cs="Times New Roman" w:eastAsia="Times New Roman" w:hAnsi="Times New Roman"/>
        </w:rPr>
        <w:t xml:space="preserve">The study was a retrospective observational analysis of public EPA data with two paths: an explanatory path for RQ1 to RQ3 and a predictive path for RQ4. The final transition was sealed as an out-of-time holdout for the predictive evaluation.</w:t>
      </w:r>
    </w:p>
    <w:p>
      <w:pPr>
        <w:pStyle w:val="Heading2"/>
        <w:keepNext/>
        <w:spacing w:after="0" w:before="0" w:line="480"/>
      </w:pPr>
      <w:r>
        <w:rPr>
          <w:rFonts w:ascii="Times New Roman" w:cs="Times New Roman" w:eastAsia="Times New Roman" w:hAnsi="Times New Roman"/>
          <w:b/>
          <w:bCs/>
          <w:color w:val="000000"/>
          <w:sz w:val="24"/>
          <w:szCs w:val="24"/>
        </w:rPr>
        <w:t xml:space="preserve">Data Source</w:t>
      </w:r>
    </w:p>
    <w:p>
      <w:pPr>
        <w:keepNext w:val="false"/>
        <w:spacing w:after="0" w:before="0" w:line="480"/>
        <w:ind w:firstLine="720"/>
        <w:jc w:val="left"/>
      </w:pPr>
      <w:r>
        <w:rPr>
          <w:rFonts w:ascii="Times New Roman" w:cs="Times New Roman" w:eastAsia="Times New Roman" w:hAnsi="Times New Roman"/>
        </w:rPr>
        <w:t xml:space="preserve">Data came from the EPA TRI Basic Plus Data Files (EPA, 2025c, 2025d): File 1A and File 2A for each reporting year from 2020 through 2024. File 1A supplies identifiers, the North American Industry Classification System (NAICS) code, unit, hazard flags, and on-site releases. File 2A supplies the production or activity ratio and up to four source-reduction codes. Files were joined within each year on the document control number (</w:t>
      </w:r>
      <w:hyperlink w:history="1" w:anchor="app_B">
        <w:r>
          <w:rPr>
            <w:rFonts w:ascii="Times New Roman" w:cs="Times New Roman" w:eastAsia="Times New Roman" w:hAnsi="Times New Roman"/>
            <w:color w:val="0563C1"/>
          </w:rPr>
          <w:t xml:space="preserve">Appendix B</w:t>
        </w:r>
      </w:hyperlink>
      <w:r>
        <w:rPr>
          <w:rFonts w:ascii="Times New Roman" w:cs="Times New Roman" w:eastAsia="Times New Roman" w:hAnsi="Times New Roman"/>
        </w:rPr>
        <w:t xml:space="preserve">), and the data dictionary appears in </w:t>
      </w:r>
      <w:hyperlink w:history="1" w:anchor="app_E">
        <w:r>
          <w:rPr>
            <w:rFonts w:ascii="Times New Roman" w:cs="Times New Roman" w:eastAsia="Times New Roman" w:hAnsi="Times New Roman"/>
            <w:color w:val="0563C1"/>
          </w:rPr>
          <w:t xml:space="preserve">Appendix E</w:t>
        </w:r>
      </w:hyperlink>
      <w:r>
        <w:rPr>
          <w:rFonts w:ascii="Times New Roman" w:cs="Times New Roman" w:eastAsia="Times New Roman" w:hAnsi="Times New Roman"/>
        </w:rPr>
        <w:t xml:space="preserve">, </w:t>
      </w:r>
      <w:hyperlink w:history="1" w:anchor="tbl_E1">
        <w:r>
          <w:rPr>
            <w:rFonts w:ascii="Times New Roman" w:cs="Times New Roman" w:eastAsia="Times New Roman" w:hAnsi="Times New Roman"/>
            <w:color w:val="0563C1"/>
          </w:rPr>
          <w:t xml:space="preserve">Table E1</w:t>
        </w:r>
      </w:hyperlink>
      <w:r>
        <w:rPr>
          <w:rFonts w:ascii="Times New Roman" w:cs="Times New Roman" w:eastAsia="Times New Roman" w:hAnsi="Times New Roman"/>
        </w:rPr>
        <w:t xml:space="preserve">.</w:t>
      </w:r>
    </w:p>
    <w:p>
      <w:pPr>
        <w:pStyle w:val="Heading2"/>
        <w:keepNext/>
        <w:spacing w:after="0" w:before="0" w:line="480"/>
      </w:pPr>
      <w:r>
        <w:rPr>
          <w:rFonts w:ascii="Times New Roman" w:cs="Times New Roman" w:eastAsia="Times New Roman" w:hAnsi="Times New Roman"/>
          <w:b/>
          <w:bCs/>
          <w:color w:val="000000"/>
          <w:sz w:val="24"/>
          <w:szCs w:val="24"/>
        </w:rPr>
        <w:t xml:space="preserve">Population and Unit of Analysis</w:t>
      </w:r>
    </w:p>
    <w:p>
      <w:pPr>
        <w:keepNext w:val="false"/>
        <w:spacing w:after="0" w:before="0" w:line="480"/>
        <w:ind w:firstLine="720"/>
        <w:jc w:val="left"/>
      </w:pPr>
      <w:r>
        <w:rPr>
          <w:rFonts w:ascii="Times New Roman" w:cs="Times New Roman" w:eastAsia="Times New Roman" w:hAnsi="Times New Roman"/>
        </w:rPr>
        <w:t xml:space="preserve">The population was U.S. TRI-reporting manufacturing facilities with a primary NAICS code beginning with 31, 32, or 33, using Form R records only. The unit of analysis was the facility-chemical-year, forming four transitions from 2020 to 2021 through 2023 to 2024.</w:t>
      </w:r>
    </w:p>
    <w:p>
      <w:pPr>
        <w:pStyle w:val="Heading2"/>
        <w:keepNext/>
        <w:spacing w:after="0" w:before="0" w:line="480"/>
      </w:pPr>
      <w:r>
        <w:rPr>
          <w:rFonts w:ascii="Times New Roman" w:cs="Times New Roman" w:eastAsia="Times New Roman" w:hAnsi="Times New Roman"/>
          <w:b/>
          <w:bCs/>
          <w:color w:val="000000"/>
          <w:sz w:val="24"/>
          <w:szCs w:val="24"/>
        </w:rPr>
        <w:t xml:space="preserve">Inclusion and Exclusion Criteria</w:t>
      </w:r>
    </w:p>
    <w:p>
      <w:pPr>
        <w:keepNext w:val="false"/>
        <w:spacing w:after="0" w:before="0" w:line="480"/>
        <w:ind w:firstLine="720"/>
        <w:jc w:val="left"/>
      </w:pPr>
      <w:r>
        <w:rPr>
          <w:rFonts w:ascii="Times New Roman" w:cs="Times New Roman" w:eastAsia="Times New Roman" w:hAnsi="Times New Roman"/>
        </w:rPr>
        <w:t xml:space="preserve">Records were included when they had a matching facility-chemical record in the following year, a current-year release above zero, and the same unit in both years. These rules reduced 315,581 raw rows to 163,501 eligible records (</w:t>
      </w:r>
      <w:hyperlink w:history="1" w:anchor="app_E">
        <w:r>
          <w:rPr>
            <w:rFonts w:ascii="Times New Roman" w:cs="Times New Roman" w:eastAsia="Times New Roman" w:hAnsi="Times New Roman"/>
            <w:color w:val="0563C1"/>
          </w:rPr>
          <w:t xml:space="preserve">Appendix E</w:t>
        </w:r>
      </w:hyperlink>
      <w:r>
        <w:rPr>
          <w:rFonts w:ascii="Times New Roman" w:cs="Times New Roman" w:eastAsia="Times New Roman" w:hAnsi="Times New Roman"/>
        </w:rPr>
        <w:t xml:space="preserve">, </w:t>
      </w:r>
      <w:hyperlink w:history="1" w:anchor="tbl_E3">
        <w:r>
          <w:rPr>
            <w:rFonts w:ascii="Times New Roman" w:cs="Times New Roman" w:eastAsia="Times New Roman" w:hAnsi="Times New Roman"/>
            <w:color w:val="0563C1"/>
          </w:rPr>
          <w:t xml:space="preserve">Table E3</w:t>
        </w:r>
      </w:hyperlink>
      <w:r>
        <w:rPr>
          <w:rFonts w:ascii="Times New Roman" w:cs="Times New Roman" w:eastAsia="Times New Roman" w:hAnsi="Times New Roman"/>
        </w:rPr>
        <w:t xml:space="preserve">). Records missing in the next year were excluded rather than scored as reductions.</w:t>
      </w:r>
    </w:p>
    <w:p>
      <w:pPr>
        <w:keepNext w:val="false"/>
        <w:spacing w:after="0" w:before="0" w:line="480"/>
        <w:ind w:firstLine="720"/>
        <w:jc w:val="left"/>
      </w:pPr>
      <w:r>
        <w:rPr>
          <w:rFonts w:ascii="Times New Roman" w:cs="Times New Roman" w:eastAsia="Times New Roman" w:hAnsi="Times New Roman"/>
        </w:rPr>
        <w:t xml:space="preserve">The development set held 123,535 records from 14,851 facilities, including 122,017 pound-reported records used for RQ2 and RQ4 and 1,518 gram-reported dioxin records analyzed separately. </w:t>
      </w:r>
      <w:r>
        <w:rPr>
          <w:rFonts w:ascii="Times New Roman" w:cs="Times New Roman" w:eastAsia="Times New Roman" w:hAnsi="Times New Roman"/>
          <w:b/>
          <w:bCs/>
        </w:rPr>
        <w:t xml:space="preserve">The 2023-to-2024 holdout contained 39,966 eligible records, of which 39,500 pound-reported records formed the RQ4 modeling holdout.</w:t>
      </w:r>
    </w:p>
    <w:p>
      <w:pPr>
        <w:pStyle w:val="Heading2"/>
        <w:keepNext/>
        <w:spacing w:after="0" w:before="0" w:line="480"/>
      </w:pPr>
      <w:r>
        <w:rPr>
          <w:rFonts w:ascii="Times New Roman" w:cs="Times New Roman" w:eastAsia="Times New Roman" w:hAnsi="Times New Roman"/>
          <w:b/>
          <w:bCs/>
          <w:color w:val="000000"/>
          <w:sz w:val="24"/>
          <w:szCs w:val="24"/>
        </w:rPr>
        <w:t xml:space="preserve">Outcome Definition</w:t>
      </w:r>
    </w:p>
    <w:p>
      <w:pPr>
        <w:keepNext w:val="false"/>
        <w:spacing w:after="0" w:before="0" w:line="480"/>
        <w:ind w:firstLine="720"/>
        <w:jc w:val="left"/>
      </w:pPr>
      <w:r>
        <w:rPr>
          <w:rFonts w:ascii="Times New Roman" w:cs="Times New Roman" w:eastAsia="Times New Roman" w:hAnsi="Times New Roman"/>
        </w:rPr>
        <w:t xml:space="preserve">REDUCTION_10 equals 1 when release</w:t>
      </w:r>
      <w:r>
        <w:rPr>
          <w:rFonts w:ascii="Times New Roman" w:cs="Times New Roman" w:eastAsia="Times New Roman" w:hAnsi="Times New Roman"/>
          <w:vertAlign w:val="subscript"/>
        </w:rPr>
        <w:t xml:space="preserve">t+1</w:t>
      </w:r>
      <w:r>
        <w:rPr>
          <w:rFonts w:ascii="Times New Roman" w:cs="Times New Roman" w:eastAsia="Times New Roman" w:hAnsi="Times New Roman"/>
        </w:rPr>
        <w:t xml:space="preserve"> ≤ 0.90 × release</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and 0 otherwise, and it is defined only when current release exceeds zero. The 10% threshold was fixed before any modeling as a materiality cutoff, so it could not be tuned to improve results. A round 10% change is easy for managers to interpret and keeps small year-to-year movements from counting as reductions. Alternative thresholds were not tested. The rate was 31.48% in development and 32.05% in the holdout. For RQ4 the positive class was non-reduction, the outcome an EHS team would act on.</w:t>
      </w:r>
    </w:p>
    <w:p>
      <w:pPr>
        <w:pStyle w:val="Heading2"/>
        <w:keepNext/>
        <w:spacing w:after="0" w:before="0" w:line="480"/>
      </w:pPr>
      <w:r>
        <w:rPr>
          <w:rFonts w:ascii="Times New Roman" w:cs="Times New Roman" w:eastAsia="Times New Roman" w:hAnsi="Times New Roman"/>
          <w:b/>
          <w:bCs/>
          <w:color w:val="000000"/>
          <w:sz w:val="24"/>
          <w:szCs w:val="24"/>
        </w:rPr>
        <w:t xml:space="preserve">Predictors</w:t>
      </w:r>
    </w:p>
    <w:p>
      <w:pPr>
        <w:keepNext w:val="false"/>
        <w:spacing w:after="0" w:before="0" w:line="480"/>
        <w:ind w:firstLine="720"/>
        <w:jc w:val="left"/>
      </w:pPr>
      <w:r>
        <w:rPr>
          <w:rFonts w:ascii="Times New Roman" w:cs="Times New Roman" w:eastAsia="Times New Roman" w:hAnsi="Times New Roman"/>
        </w:rPr>
        <w:t xml:space="preserve">Predictors were a reported-action indicator and five action-type indicators (material, product, process or equipment, inventory or material management, and operating practice or training), current release, the production ratio, the three-digit subsector, EPA hazard flags for carcinogen, persistent, bioaccumulative, and toxic (PBT), and metal status, and the transition. The 15 subsectors with at least 500 records were kept individually, and the rest formed Other Manufacturing. An action indicator of 0 means that no code was observed, not that no action occurred.</w:t>
      </w:r>
    </w:p>
    <w:p>
      <w:pPr>
        <w:pStyle w:val="Heading2"/>
        <w:keepNext/>
        <w:spacing w:after="0" w:before="0" w:line="480"/>
      </w:pPr>
      <w:r>
        <w:rPr>
          <w:rFonts w:ascii="Times New Roman" w:cs="Times New Roman" w:eastAsia="Times New Roman" w:hAnsi="Times New Roman"/>
          <w:b/>
          <w:bCs/>
          <w:color w:val="000000"/>
          <w:sz w:val="24"/>
          <w:szCs w:val="24"/>
        </w:rPr>
        <w:t xml:space="preserve">Data Preparation</w:t>
      </w:r>
    </w:p>
    <w:p>
      <w:pPr>
        <w:keepNext w:val="false"/>
        <w:spacing w:after="0" w:before="0" w:line="480"/>
        <w:ind w:firstLine="720"/>
        <w:jc w:val="left"/>
      </w:pPr>
      <w:r>
        <w:rPr>
          <w:rFonts w:ascii="Times New Roman" w:cs="Times New Roman" w:eastAsia="Times New Roman" w:hAnsi="Times New Roman"/>
        </w:rPr>
        <w:t xml:space="preserve">Every cleaning filter was logged and reconciled against raw counts (</w:t>
      </w:r>
      <w:hyperlink w:history="1" w:anchor="app_E">
        <w:r>
          <w:rPr>
            <w:rFonts w:ascii="Times New Roman" w:cs="Times New Roman" w:eastAsia="Times New Roman" w:hAnsi="Times New Roman"/>
            <w:color w:val="0563C1"/>
          </w:rPr>
          <w:t xml:space="preserve">Appendix E</w:t>
        </w:r>
      </w:hyperlink>
      <w:r>
        <w:rPr>
          <w:rFonts w:ascii="Times New Roman" w:cs="Times New Roman" w:eastAsia="Times New Roman" w:hAnsi="Times New Roman"/>
        </w:rPr>
        <w:t xml:space="preserve">, </w:t>
      </w:r>
      <w:hyperlink w:history="1" w:anchor="tbl_E2">
        <w:r>
          <w:rPr>
            <w:rFonts w:ascii="Times New Roman" w:cs="Times New Roman" w:eastAsia="Times New Roman" w:hAnsi="Times New Roman"/>
            <w:color w:val="0563C1"/>
          </w:rPr>
          <w:t xml:space="preserve">Table E2</w:t>
        </w:r>
      </w:hyperlink>
      <w:r>
        <w:rPr>
          <w:rFonts w:ascii="Times New Roman" w:cs="Times New Roman" w:eastAsia="Times New Roman" w:hAnsi="Times New Roman"/>
        </w:rPr>
        <w:t xml:space="preserve">). Duplicate filings were consolidated with a deterministic rule (</w:t>
      </w:r>
      <w:hyperlink w:history="1" w:anchor="app_C">
        <w:r>
          <w:rPr>
            <w:rFonts w:ascii="Times New Roman" w:cs="Times New Roman" w:eastAsia="Times New Roman" w:hAnsi="Times New Roman"/>
            <w:color w:val="0563C1"/>
          </w:rPr>
          <w:t xml:space="preserve">Appendix C</w:t>
        </w:r>
      </w:hyperlink>
      <w:r>
        <w:rPr>
          <w:rFonts w:ascii="Times New Roman" w:cs="Times New Roman" w:eastAsia="Times New Roman" w:hAnsi="Times New Roman"/>
        </w:rPr>
        <w:t xml:space="preserve">), unit labels were normalized, and 70 activity codes spanning an EPA coding change were mapped to the five action types. The holdout file was written without outcome columns.</w:t>
      </w:r>
    </w:p>
    <w:p>
      <w:pPr>
        <w:pStyle w:val="Heading2"/>
        <w:keepNext/>
        <w:spacing w:after="0" w:before="0" w:line="480"/>
      </w:pPr>
      <w:r>
        <w:rPr>
          <w:rFonts w:ascii="Times New Roman" w:cs="Times New Roman" w:eastAsia="Times New Roman" w:hAnsi="Times New Roman"/>
          <w:b/>
          <w:bCs/>
          <w:color w:val="000000"/>
          <w:sz w:val="24"/>
          <w:szCs w:val="24"/>
        </w:rPr>
        <w:t xml:space="preserve">Exploratory Data Analysis</w:t>
      </w:r>
    </w:p>
    <w:p>
      <w:pPr>
        <w:keepNext w:val="false"/>
        <w:spacing w:after="0" w:before="0" w:line="480"/>
        <w:ind w:firstLine="720"/>
        <w:jc w:val="left"/>
      </w:pPr>
      <w:r>
        <w:rPr>
          <w:rFonts w:ascii="Times New Roman" w:cs="Times New Roman" w:eastAsia="Times New Roman" w:hAnsi="Times New Roman"/>
        </w:rPr>
        <w:t xml:space="preserve">Exploratory analysis used development data only. </w:t>
      </w:r>
      <w:hyperlink w:history="1" w:anchor="tbl_2">
        <w:r>
          <w:rPr>
            <w:rFonts w:ascii="Times New Roman" w:cs="Times New Roman" w:eastAsia="Times New Roman" w:hAnsi="Times New Roman"/>
            <w:color w:val="0563C1"/>
          </w:rPr>
          <w:t xml:space="preserve">Table 2</w:t>
        </w:r>
      </w:hyperlink>
      <w:r>
        <w:rPr>
          <w:rFonts w:ascii="Times New Roman" w:cs="Times New Roman" w:eastAsia="Times New Roman" w:hAnsi="Times New Roman"/>
        </w:rPr>
        <w:t xml:space="preserve"> links each important finding to its interpretation and modeling consequence, and </w:t>
      </w:r>
      <w:hyperlink w:history="1" w:anchor="app_A">
        <w:r>
          <w:rPr>
            <w:rFonts w:ascii="Times New Roman" w:cs="Times New Roman" w:eastAsia="Times New Roman" w:hAnsi="Times New Roman"/>
            <w:color w:val="0563C1"/>
          </w:rPr>
          <w:t xml:space="preserve">Appendix A</w:t>
        </w:r>
      </w:hyperlink>
      <w:r>
        <w:rPr>
          <w:rFonts w:ascii="Times New Roman" w:cs="Times New Roman" w:eastAsia="Times New Roman" w:hAnsi="Times New Roman"/>
        </w:rPr>
        <w:t xml:space="preserve"> gives the full discussion and figures.</w:t>
      </w:r>
    </w:p>
    <w:p>
      <w:pPr>
        <w:keepNext/>
        <w:spacing w:before="240" w:line="480"/>
      </w:pPr>
      <w:bookmarkStart w:name="tbl_2" w:id="102"/>
      <w:r>
        <w:rPr>
          <w:rFonts w:ascii="Times New Roman" w:cs="Times New Roman" w:eastAsia="Times New Roman" w:hAnsi="Times New Roman"/>
          <w:b/>
          <w:bCs/>
        </w:rPr>
        <w:t xml:space="preserve">Table 2</w:t>
      </w:r>
      <w:bookmarkEnd w:id="102"/>
    </w:p>
    <w:p>
      <w:pPr>
        <w:keepNext/>
        <w:spacing w:line="480"/>
      </w:pPr>
      <w:r>
        <w:rPr>
          <w:rFonts w:ascii="Times New Roman" w:cs="Times New Roman" w:eastAsia="Times New Roman" w:hAnsi="Times New Roman"/>
          <w:i/>
          <w:iCs/>
        </w:rPr>
        <w:t xml:space="preserve">Exploratory Findings, Interpretation, and Modeling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60"/>
        <w:gridCol w:w="3300"/>
      </w:tblGrid>
      <w:tr>
        <w:trPr>
          <w:cantSplit/>
          <w:tblHeader/>
        </w:trPr>
        <w:tc>
          <w:tcPr>
            <w:tcW w:type="dxa" w:w="29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Finding</w:t>
            </w:r>
          </w:p>
        </w:tc>
        <w:tc>
          <w:tcPr>
            <w:tcW w:type="dxa" w:w="31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Interpretation</w:t>
            </w:r>
          </w:p>
        </w:tc>
        <w:tc>
          <w:tcPr>
            <w:tcW w:type="dxa" w:w="3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Modeling or Business Consequence</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31.48% of development records met the reduction threshold; only 4.87% reported any action (</w:t>
            </w:r>
            <w:hyperlink w:history="1" w:anchor="fig_A1">
              <w:r>
                <w:rPr>
                  <w:rFonts w:ascii="Times New Roman" w:cs="Times New Roman" w:eastAsia="Times New Roman" w:hAnsi="Times New Roman"/>
                  <w:color w:val="0563C1"/>
                  <w:sz w:val="17"/>
                  <w:szCs w:val="17"/>
                </w:rPr>
                <w:t xml:space="preserve">Figure A1</w:t>
              </w:r>
            </w:hyperlink>
            <w:r>
              <w:rPr>
                <w:rFonts w:ascii="Times New Roman" w:cs="Times New Roman" w:eastAsia="Times New Roman" w:hAnsi="Times New Roman"/>
                <w:sz w:val="17"/>
                <w:szCs w:val="17"/>
              </w:rPr>
              <w:t xml:space="preserve">)</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The outcome is not severely imbalanced, but the exposure is rare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No resampling; rare exposure, not class imbalance, is the main statistical constraint</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Process or equipment modification rose from 1.32% to 2.13%, and material modification from 0.41% to 0.87%, exactly at the 2020-to-2021 code-scheme change (</w:t>
            </w:r>
            <w:hyperlink w:history="1" w:anchor="fig_A2">
              <w:r>
                <w:rPr>
                  <w:rFonts w:ascii="Times New Roman" w:cs="Times New Roman" w:eastAsia="Times New Roman" w:hAnsi="Times New Roman"/>
                  <w:color w:val="0563C1"/>
                  <w:sz w:val="17"/>
                  <w:szCs w:val="17"/>
                </w:rPr>
                <w:t xml:space="preserve">Figures A2</w:t>
              </w:r>
            </w:hyperlink>
            <w:r>
              <w:rPr>
                <w:rFonts w:ascii="Times New Roman" w:cs="Times New Roman" w:eastAsia="Times New Roman" w:hAnsi="Times New Roman"/>
                <w:sz w:val="17"/>
                <w:szCs w:val="17"/>
              </w:rPr>
              <w:t xml:space="preserve">, A3)</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Part of the rise may be a reporting artifact rather than behavior</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Codes mapped to five types; key association repeated without the 2020-to-2021 transition</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Reduction rates rose from 27.54% to 35.86% across transitions and spanned 15.4 percentage points across subsectors</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Time and industry both shift the outcome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Year and subsector used as RQ2 controls; formal tests reported under RQ1</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Subsectors reporting the most actions were not those reducing most often (</w:t>
            </w:r>
            <w:hyperlink w:history="1" w:anchor="fig_A4">
              <w:r>
                <w:rPr>
                  <w:rFonts w:ascii="Times New Roman" w:cs="Times New Roman" w:eastAsia="Times New Roman" w:hAnsi="Times New Roman"/>
                  <w:color w:val="0563C1"/>
                  <w:sz w:val="17"/>
                  <w:szCs w:val="17"/>
                </w:rPr>
                <w:t xml:space="preserve">Figure A4</w:t>
              </w:r>
            </w:hyperlink>
            <w:r>
              <w:rPr>
                <w:rFonts w:ascii="Times New Roman" w:cs="Times New Roman" w:eastAsia="Times New Roman" w:hAnsi="Times New Roman"/>
                <w:sz w:val="17"/>
                <w:szCs w:val="17"/>
              </w:rPr>
              <w:t xml:space="preserve">)</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An unadjusted action comparison is partly a comparison of industries</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Adjusted model required; below-threshold subsectors grouped as Other Manufacturing</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Raw gap of 3.61 points for any action; 7 of 19 covariates imbalanced beyond a standardized difference of 0.10 (</w:t>
            </w:r>
            <w:hyperlink w:history="1" w:anchor="fig_A5">
              <w:r>
                <w:rPr>
                  <w:rFonts w:ascii="Times New Roman" w:cs="Times New Roman" w:eastAsia="Times New Roman" w:hAnsi="Times New Roman"/>
                  <w:color w:val="0563C1"/>
                  <w:sz w:val="17"/>
                  <w:szCs w:val="17"/>
                </w:rPr>
                <w:t xml:space="preserve">Figures A5</w:t>
              </w:r>
            </w:hyperlink>
            <w:r>
              <w:rPr>
                <w:rFonts w:ascii="Times New Roman" w:cs="Times New Roman" w:eastAsia="Times New Roman" w:hAnsi="Times New Roman"/>
                <w:sz w:val="17"/>
                <w:szCs w:val="17"/>
              </w:rPr>
              <w:t xml:space="preserve"> to A7)</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The raw gap is confounded</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 answered only with an adjusted model</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Current release: mean 24,737 lb, median 217 lb, skewness 34.6; nonmonotonic rates by release decile (</w:t>
            </w:r>
            <w:hyperlink w:history="1" w:anchor="fig_A8">
              <w:r>
                <w:rPr>
                  <w:rFonts w:ascii="Times New Roman" w:cs="Times New Roman" w:eastAsia="Times New Roman" w:hAnsi="Times New Roman"/>
                  <w:color w:val="0563C1"/>
                  <w:sz w:val="17"/>
                  <w:szCs w:val="17"/>
                </w:rPr>
                <w:t xml:space="preserve">Figures A8</w:t>
              </w:r>
            </w:hyperlink>
            <w:r>
              <w:rPr>
                <w:rFonts w:ascii="Times New Roman" w:cs="Times New Roman" w:eastAsia="Times New Roman" w:hAnsi="Times New Roman"/>
                <w:sz w:val="17"/>
                <w:szCs w:val="17"/>
              </w:rPr>
              <w:t xml:space="preserve"> to A10)</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Raw scale is unusable; starting level shapes room to fall (regression to the mean)</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Log transformation; current release forced into every model</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U-shaped reduction rate across production-ratio deciles; 1.62% missing; extreme values (</w:t>
            </w:r>
            <w:hyperlink w:history="1" w:anchor="fig_1">
              <w:r>
                <w:rPr>
                  <w:rFonts w:ascii="Times New Roman" w:cs="Times New Roman" w:eastAsia="Times New Roman" w:hAnsi="Times New Roman"/>
                  <w:color w:val="0563C1"/>
                  <w:sz w:val="17"/>
                  <w:szCs w:val="17"/>
                </w:rPr>
                <w:t xml:space="preserve">Figures 1</w:t>
              </w:r>
            </w:hyperlink>
            <w:r>
              <w:rPr>
                <w:rFonts w:ascii="Times New Roman" w:cs="Times New Roman" w:eastAsia="Times New Roman" w:hAnsi="Times New Roman"/>
                <w:sz w:val="17"/>
                <w:szCs w:val="17"/>
              </w:rPr>
              <w:t xml:space="preserve">, A11)</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 linear term would miss the shape; a few extreme values could dominate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Centered quadratic term, median imputation with a missingness flag, 99th-percentile cap</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122,017 pound-frame records from 14,836 facilities; 92.8% from multi-record facilities (</w:t>
            </w:r>
            <w:hyperlink w:history="1" w:anchor="fig_A3">
              <w:r>
                <w:rPr>
                  <w:rFonts w:ascii="Times New Roman" w:cs="Times New Roman" w:eastAsia="Times New Roman" w:hAnsi="Times New Roman"/>
                  <w:color w:val="0563C1"/>
                  <w:sz w:val="17"/>
                  <w:szCs w:val="17"/>
                </w:rPr>
                <w:t xml:space="preserve">Figure A3</w:t>
              </w:r>
            </w:hyperlink>
            <w:r>
              <w:rPr>
                <w:rFonts w:ascii="Times New Roman" w:cs="Times New Roman" w:eastAsia="Times New Roman" w:hAnsi="Times New Roman"/>
                <w:sz w:val="17"/>
                <w:szCs w:val="17"/>
              </w:rPr>
              <w:t xml:space="preserve">)</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Records are not independent</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Facility-clustered errors, facility bootstrap, and time-grouped validation</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Dioxins reduce at 24.84% versus 31.56%; carcinogen status shows a 0.07-point difference (</w:t>
            </w:r>
            <w:hyperlink w:history="1" w:anchor="fig_A12">
              <w:r>
                <w:rPr>
                  <w:rFonts w:ascii="Times New Roman" w:cs="Times New Roman" w:eastAsia="Times New Roman" w:hAnsi="Times New Roman"/>
                  <w:color w:val="0563C1"/>
                  <w:sz w:val="17"/>
                  <w:szCs w:val="17"/>
                </w:rPr>
                <w:t xml:space="preserve">Figure A12</w:t>
              </w:r>
            </w:hyperlink>
            <w:r>
              <w:rPr>
                <w:rFonts w:ascii="Times New Roman" w:cs="Times New Roman" w:eastAsia="Times New Roman" w:hAnsi="Times New Roman"/>
                <w:sz w:val="17"/>
                <w:szCs w:val="17"/>
              </w:rPr>
              <w:t xml:space="preserve">)</w:t>
            </w:r>
          </w:p>
        </w:tc>
        <w:tc>
          <w:tcPr>
            <w:tcW w:type="dxa" w:w="31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Dioxins differ and use grams</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Dioxins analyzed separately; hazard flags kept as controls</w:t>
            </w:r>
          </w:p>
        </w:tc>
      </w:tr>
      <w:tr>
        <w:trPr>
          <w:cantSplit/>
        </w:trPr>
        <w:tc>
          <w:tcPr>
            <w:tcW w:type="dxa" w:w="29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Cross-year attrition of 7.6% to 9.5%; higher among action-reporting records (</w:t>
            </w:r>
            <w:hyperlink w:history="1" w:anchor="fig_A13">
              <w:r>
                <w:rPr>
                  <w:rFonts w:ascii="Times New Roman" w:cs="Times New Roman" w:eastAsia="Times New Roman" w:hAnsi="Times New Roman"/>
                  <w:color w:val="0563C1"/>
                  <w:sz w:val="17"/>
                  <w:szCs w:val="17"/>
                </w:rPr>
                <w:t xml:space="preserve">Figure A13</w:t>
              </w:r>
            </w:hyperlink>
            <w:r>
              <w:rPr>
                <w:rFonts w:ascii="Times New Roman" w:cs="Times New Roman" w:eastAsia="Times New Roman" w:hAnsi="Times New Roman"/>
                <w:sz w:val="17"/>
                <w:szCs w:val="17"/>
              </w:rPr>
              <w:t xml:space="preserve">)</w:t>
            </w:r>
          </w:p>
        </w:tc>
        <w:tc>
          <w:tcPr>
            <w:tcW w:type="dxa" w:w="31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Selection into the matched sample is possible</w:t>
            </w:r>
          </w:p>
        </w:tc>
        <w:tc>
          <w:tcPr>
            <w:tcW w:type="dxa" w:w="3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Reported as a limitation; unmatched records never scored as reductions</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Rates and counts refer to the development set. </w:t>
      </w:r>
      <w:hyperlink w:history="1" w:anchor="fig_1">
        <w:r>
          <w:rPr>
            <w:rFonts w:ascii="Times New Roman" w:cs="Times New Roman" w:eastAsia="Times New Roman" w:hAnsi="Times New Roman"/>
            <w:color w:val="0563C1"/>
            <w:sz w:val="24"/>
            <w:szCs w:val="24"/>
          </w:rPr>
          <w:t xml:space="preserve">Figure 1</w:t>
        </w:r>
      </w:hyperlink>
      <w:r>
        <w:rPr>
          <w:rFonts w:ascii="Times New Roman" w:cs="Times New Roman" w:eastAsia="Times New Roman" w:hAnsi="Times New Roman"/>
          <w:sz w:val="24"/>
          <w:szCs w:val="24"/>
        </w:rPr>
        <w:t xml:space="preserve"> appears in the main text; </w:t>
      </w:r>
      <w:hyperlink w:history="1" w:anchor="fig_A1">
        <w:r>
          <w:rPr>
            <w:rFonts w:ascii="Times New Roman" w:cs="Times New Roman" w:eastAsia="Times New Roman" w:hAnsi="Times New Roman"/>
            <w:color w:val="0563C1"/>
            <w:sz w:val="24"/>
            <w:szCs w:val="24"/>
          </w:rPr>
          <w:t xml:space="preserve">Figures A1</w:t>
        </w:r>
      </w:hyperlink>
      <w:r>
        <w:rPr>
          <w:rFonts w:ascii="Times New Roman" w:cs="Times New Roman" w:eastAsia="Times New Roman" w:hAnsi="Times New Roman"/>
          <w:sz w:val="24"/>
          <w:szCs w:val="24"/>
        </w:rPr>
        <w:t xml:space="preserve"> to A14 appear in </w:t>
      </w:r>
      <w:hyperlink w:history="1" w:anchor="app_A">
        <w:r>
          <w:rPr>
            <w:rFonts w:ascii="Times New Roman" w:cs="Times New Roman" w:eastAsia="Times New Roman" w:hAnsi="Times New Roman"/>
            <w:color w:val="0563C1"/>
            <w:sz w:val="24"/>
            <w:szCs w:val="24"/>
          </w:rPr>
          <w:t xml:space="preserve">Appendix A</w:t>
        </w:r>
      </w:hyperlink>
      <w:r>
        <w:rPr>
          <w:rFonts w:ascii="Times New Roman" w:cs="Times New Roman" w:eastAsia="Times New Roman" w:hAnsi="Times New Roman"/>
          <w:sz w:val="24"/>
          <w:szCs w:val="24"/>
        </w:rPr>
        <w:t xml:space="preserve">, where </w:t>
      </w:r>
      <w:hyperlink w:history="1" w:anchor="fig_A14">
        <w:r>
          <w:rPr>
            <w:rFonts w:ascii="Times New Roman" w:cs="Times New Roman" w:eastAsia="Times New Roman" w:hAnsi="Times New Roman"/>
            <w:color w:val="0563C1"/>
            <w:sz w:val="24"/>
            <w:szCs w:val="24"/>
          </w:rPr>
          <w:t xml:space="preserve">Figure A14</w:t>
        </w:r>
      </w:hyperlink>
      <w:r>
        <w:rPr>
          <w:rFonts w:ascii="Times New Roman" w:cs="Times New Roman" w:eastAsia="Times New Roman" w:hAnsi="Times New Roman"/>
          <w:sz w:val="24"/>
          <w:szCs w:val="24"/>
        </w:rPr>
        <w:t xml:space="preserve"> summarizes the 15 data-quality checks.</w:t>
      </w:r>
    </w:p>
    <w:p>
      <w:pPr>
        <w:keepNext w:val="false"/>
        <w:spacing w:after="0" w:before="0" w:line="480"/>
        <w:ind w:firstLine="720"/>
        <w:jc w:val="left"/>
      </w:pPr>
      <w:r>
        <w:rPr>
          <w:rFonts w:ascii="Times New Roman" w:cs="Times New Roman" w:eastAsia="Times New Roman" w:hAnsi="Times New Roman"/>
        </w:rPr>
        <w:t xml:space="preserve">One finding changed the specification directly. The reduction rate was U-shaped across production-ratio deciles, lowest in the middle decile (29.72%) and highest in the top decile (36.19%), as </w:t>
      </w:r>
      <w:hyperlink w:history="1" w:anchor="fig_1">
        <w:r>
          <w:rPr>
            <w:rFonts w:ascii="Times New Roman" w:cs="Times New Roman" w:eastAsia="Times New Roman" w:hAnsi="Times New Roman"/>
            <w:color w:val="0563C1"/>
          </w:rPr>
          <w:t xml:space="preserve">Figure 1</w:t>
        </w:r>
      </w:hyperlink>
      <w:r>
        <w:rPr>
          <w:rFonts w:ascii="Times New Roman" w:cs="Times New Roman" w:eastAsia="Times New Roman" w:hAnsi="Times New Roman"/>
        </w:rPr>
        <w:t xml:space="preserve"> shows. A centered quadratic term was therefore added.</w:t>
      </w:r>
    </w:p>
    <w:p>
      <w:pPr>
        <w:keepNext/>
        <w:spacing w:before="240" w:line="480"/>
      </w:pPr>
      <w:bookmarkStart w:name="fig_1" w:id="103"/>
      <w:r>
        <w:rPr>
          <w:rFonts w:ascii="Times New Roman" w:cs="Times New Roman" w:eastAsia="Times New Roman" w:hAnsi="Times New Roman"/>
          <w:b/>
          <w:bCs/>
        </w:rPr>
        <w:t xml:space="preserve">Figure 1</w:t>
      </w:r>
      <w:bookmarkEnd w:id="103"/>
    </w:p>
    <w:p>
      <w:pPr>
        <w:keepNext/>
        <w:spacing w:line="480"/>
      </w:pPr>
      <w:r>
        <w:rPr>
          <w:rFonts w:ascii="Times New Roman" w:cs="Times New Roman" w:eastAsia="Times New Roman" w:hAnsi="Times New Roman"/>
          <w:i/>
          <w:iCs/>
        </w:rPr>
        <w:t xml:space="preserve">Reduction Rate by Production-Ratio Decile in the Development Set</w:t>
      </w:r>
    </w:p>
    <w:p>
      <w:pPr>
        <w:keepNext/>
        <w:spacing w:after="60" w:before="60" w:line="240" w:lineRule="auto"/>
        <w:jc w:val="center"/>
      </w:pPr>
      <w:r>
        <w:drawing>
          <wp:inline distT="0" distB="0" distL="0" distR="0">
            <wp:extent cx="4752975" cy="2514600"/>
            <wp:effectExtent t="0" r="0" b="0" l="0"/>
            <wp:docPr id="1" name="Figure 1" descr="Reduction Rate by Production-Ratio Decile in the Development S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51460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Shaded bands are 95% Wilson confidence intervals; the dashed line is the overall development reduction rate.</w:t>
      </w:r>
    </w:p>
    <w:p>
      <w:pPr>
        <w:pStyle w:val="Heading2"/>
        <w:keepNext/>
        <w:spacing w:after="0" w:before="0" w:line="480"/>
      </w:pPr>
      <w:r>
        <w:rPr>
          <w:rFonts w:ascii="Times New Roman" w:cs="Times New Roman" w:eastAsia="Times New Roman" w:hAnsi="Times New Roman"/>
          <w:b/>
          <w:bCs/>
          <w:color w:val="000000"/>
          <w:sz w:val="24"/>
          <w:szCs w:val="24"/>
        </w:rPr>
        <w:t xml:space="preserve">Feature Engineering</w:t>
      </w:r>
    </w:p>
    <w:p>
      <w:pPr>
        <w:keepNext w:val="false"/>
        <w:spacing w:after="0" w:before="0" w:line="480"/>
        <w:ind w:firstLine="720"/>
        <w:jc w:val="left"/>
      </w:pPr>
      <w:hyperlink w:history="1" w:anchor="tbl_3">
        <w:r>
          <w:rPr>
            <w:rFonts w:ascii="Times New Roman" w:cs="Times New Roman" w:eastAsia="Times New Roman" w:hAnsi="Times New Roman"/>
            <w:color w:val="0563C1"/>
          </w:rPr>
          <w:t xml:space="preserve">Table 3</w:t>
        </w:r>
      </w:hyperlink>
      <w:r>
        <w:rPr>
          <w:rFonts w:ascii="Times New Roman" w:cs="Times New Roman" w:eastAsia="Times New Roman" w:hAnsi="Times New Roman"/>
        </w:rPr>
        <w:t xml:space="preserve"> lists the final features and their use. RQ2 used the full adjustment set. The RQ4 model used 13 action-year predictors and excluded action year, because the holdout year was unseen in training. The locked RQ4 specification was limited to release, production, action, and chemical hazard features, so subsector indicators were not included and their added predictive value was not tested.</w:t>
      </w:r>
    </w:p>
    <w:p>
      <w:pPr>
        <w:keepNext/>
        <w:spacing w:before="240" w:line="480"/>
      </w:pPr>
      <w:bookmarkStart w:name="tbl_3" w:id="104"/>
      <w:r>
        <w:rPr>
          <w:rFonts w:ascii="Times New Roman" w:cs="Times New Roman" w:eastAsia="Times New Roman" w:hAnsi="Times New Roman"/>
          <w:b/>
          <w:bCs/>
        </w:rPr>
        <w:t xml:space="preserve">Table 3</w:t>
      </w:r>
      <w:bookmarkEnd w:id="104"/>
    </w:p>
    <w:p>
      <w:pPr>
        <w:keepNext/>
        <w:spacing w:line="480"/>
      </w:pPr>
      <w:r>
        <w:rPr>
          <w:rFonts w:ascii="Times New Roman" w:cs="Times New Roman" w:eastAsia="Times New Roman" w:hAnsi="Times New Roman"/>
          <w:i/>
          <w:iCs/>
        </w:rPr>
        <w:t xml:space="preserve">Final Features, Construction, and Use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550"/>
        <w:gridCol w:w="2460"/>
        <w:gridCol w:w="600"/>
        <w:gridCol w:w="600"/>
      </w:tblGrid>
      <w:tr>
        <w:trPr>
          <w:cantSplit/>
          <w:tblHeader/>
        </w:trPr>
        <w:tc>
          <w:tcPr>
            <w:tcW w:type="dxa" w:w="2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Feature</w:t>
            </w:r>
          </w:p>
        </w:tc>
        <w:tc>
          <w:tcPr>
            <w:tcW w:type="dxa" w:w="35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Construction</w:t>
            </w:r>
          </w:p>
        </w:tc>
        <w:tc>
          <w:tcPr>
            <w:tcW w:type="dxa" w:w="24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Reason</w:t>
            </w:r>
          </w:p>
        </w:tc>
        <w:tc>
          <w:tcPr>
            <w:tcW w:type="dxa" w:w="6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RQ2</w:t>
            </w:r>
          </w:p>
        </w:tc>
        <w:tc>
          <w:tcPr>
            <w:tcW w:type="dxa" w:w="6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RQ4</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Log current release</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log(1 + current-year release, lb)</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Skewness of 34.6; controls regression to the mean</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Production ratio, centered</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Missing values set to the development median (1.00); capped at the 99th percentile (3.15); centered at the pound-frame mean (1.0444)</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Limits extreme values; centering reduces collinearity with the squared term</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Production ratio squared</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Square of the centered ratio</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Captures the U-shape; supported by AIC</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Production ratio missing</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1 when the ratio was originally absent</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Keeps information about missingness after imputation</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Any reported action</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1 when at least one valid source-reduction code is present</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Primary RQ2 exposure</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Five action-type indicators</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One indicator per mapped action type; not mutually exclusive</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Types may differ; pooling could hide that (RQ3)</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No</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Carcinogen and PBT flags</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EPA classification flags</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Hazard controls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Metal flag</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EPA metal or metal-compound flag</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Chemical-class signal</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No</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Manufacturing subsector</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15 qualifying subsectors plus Other Manufacturing; reference NAICS 325 (chemical)</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Industry confounding</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No</w:t>
            </w:r>
          </w:p>
        </w:tc>
      </w:tr>
      <w:tr>
        <w:trPr>
          <w:cantSplit/>
        </w:trPr>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Action-year transition</w:t>
            </w:r>
          </w:p>
        </w:tc>
        <w:tc>
          <w:tcPr>
            <w:tcW w:type="dxa" w:w="3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Reference 2020 to 2021</w:t>
            </w:r>
          </w:p>
        </w:tc>
        <w:tc>
          <w:tcPr>
            <w:tcW w:type="dxa" w:w="2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Time trend confounding; holdout year unseen in training</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Yes</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No</w:t>
            </w:r>
          </w:p>
        </w:tc>
      </w:tr>
      <w:tr>
        <w:trPr>
          <w:cantSplit/>
        </w:trPr>
        <w:tc>
          <w:tcPr>
            <w:tcW w:type="dxa" w:w="2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Identifiers</w:t>
            </w:r>
          </w:p>
        </w:tc>
        <w:tc>
          <w:tcPr>
            <w:tcW w:type="dxa" w:w="35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Facility, chemical, CAS number, chemical name</w:t>
            </w:r>
          </w:p>
        </w:tc>
        <w:tc>
          <w:tcPr>
            <w:tcW w:type="dxa" w:w="24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Traceability only</w:t>
            </w:r>
          </w:p>
        </w:tc>
        <w:tc>
          <w:tcPr>
            <w:tcW w:type="dxa" w:w="6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No</w:t>
            </w:r>
          </w:p>
        </w:tc>
        <w:tc>
          <w:tcPr>
            <w:tcW w:type="dxa" w:w="6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No</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In RQ4, the three continuous features were standardized inside each cross-validation training fold, and binary indicators were passed through unchanged. Gram-reported dioxin records were outside the pound-reported frame, so a dioxin flag was not modeled. AIC = Akaike information criterion; CAS = Chemical Abstracts Service; PBT = persistent, bioaccumulative, and toxic.</w:t>
      </w:r>
    </w:p>
    <w:p>
      <w:pPr>
        <w:keepNext w:val="false"/>
        <w:spacing w:after="0" w:before="0" w:line="480"/>
        <w:ind w:firstLine="720"/>
        <w:jc w:val="left"/>
      </w:pPr>
      <w:r>
        <w:rPr>
          <w:rFonts w:ascii="Times New Roman" w:cs="Times New Roman" w:eastAsia="Times New Roman" w:hAnsi="Times New Roman"/>
        </w:rPr>
        <w:t xml:space="preserve">Leakage controls included an outcome-free holdout file, labels rebuilt only after locking, development-only preprocessing values, standardization within training folds, and folds grouped by transition. The imputation, cap, and centering constants were computed once on all development data rather than within each fold, a minor departure from a fully nested design.</w:t>
      </w:r>
    </w:p>
    <w:p>
      <w:pPr>
        <w:pStyle w:val="Heading2"/>
        <w:keepNext/>
        <w:spacing w:after="0" w:before="0" w:line="480"/>
      </w:pPr>
      <w:r>
        <w:rPr>
          <w:rFonts w:ascii="Times New Roman" w:cs="Times New Roman" w:eastAsia="Times New Roman" w:hAnsi="Times New Roman"/>
          <w:b/>
          <w:bCs/>
          <w:color w:val="000000"/>
          <w:sz w:val="24"/>
          <w:szCs w:val="24"/>
        </w:rPr>
        <w:t xml:space="preserve">Sample Size and Power Justification</w:t>
      </w:r>
    </w:p>
    <w:p>
      <w:pPr>
        <w:keepNext w:val="false"/>
        <w:spacing w:after="0" w:before="0" w:line="480"/>
        <w:ind w:firstLine="720"/>
        <w:jc w:val="left"/>
      </w:pPr>
      <w:r>
        <w:rPr>
          <w:rFonts w:ascii="Times New Roman" w:cs="Times New Roman" w:eastAsia="Times New Roman" w:hAnsi="Times New Roman"/>
        </w:rPr>
        <w:t xml:space="preserve">Minimum requirements were 1,068 records for RQ1, 10,756 for RQ2, about 290 per action type for RQ3, and 1,269 for RQ4 (</w:t>
      </w:r>
      <w:hyperlink w:history="1" w:anchor="app_E">
        <w:r>
          <w:rPr>
            <w:rFonts w:ascii="Times New Roman" w:cs="Times New Roman" w:eastAsia="Times New Roman" w:hAnsi="Times New Roman"/>
            <w:color w:val="0563C1"/>
          </w:rPr>
          <w:t xml:space="preserve">Appendix E</w:t>
        </w:r>
      </w:hyperlink>
      <w:r>
        <w:rPr>
          <w:rFonts w:ascii="Times New Roman" w:cs="Times New Roman" w:eastAsia="Times New Roman" w:hAnsi="Times New Roman"/>
        </w:rPr>
        <w:t xml:space="preserve">, </w:t>
      </w:r>
      <w:hyperlink w:history="1" w:anchor="tbl_E4">
        <w:r>
          <w:rPr>
            <w:rFonts w:ascii="Times New Roman" w:cs="Times New Roman" w:eastAsia="Times New Roman" w:hAnsi="Times New Roman"/>
            <w:color w:val="0563C1"/>
          </w:rPr>
          <w:t xml:space="preserve">Table E4</w:t>
        </w:r>
      </w:hyperlink>
      <w:r>
        <w:rPr>
          <w:rFonts w:ascii="Times New Roman" w:cs="Times New Roman" w:eastAsia="Times New Roman" w:hAnsi="Times New Roman"/>
        </w:rPr>
        <w:t xml:space="preserve">). All were met, and the locked RQ4 model had about 2,963 events per parameter. Because RQ3 was powered for 10-point differences, a nonsignificant action type does not show that the action has no association.</w:t>
      </w:r>
    </w:p>
    <w:p>
      <w:pPr>
        <w:pStyle w:val="Heading2"/>
        <w:keepNext/>
        <w:spacing w:after="0" w:before="0" w:line="480"/>
      </w:pPr>
      <w:r>
        <w:rPr>
          <w:rFonts w:ascii="Times New Roman" w:cs="Times New Roman" w:eastAsia="Times New Roman" w:hAnsi="Times New Roman"/>
          <w:b/>
          <w:bCs/>
          <w:color w:val="000000"/>
          <w:sz w:val="24"/>
          <w:szCs w:val="24"/>
        </w:rPr>
        <w:t xml:space="preserve">Research Questions and Hypotheses</w:t>
      </w:r>
    </w:p>
    <w:p>
      <w:pPr>
        <w:keepNext w:val="false"/>
        <w:spacing w:after="0" w:before="0" w:line="480"/>
        <w:ind w:firstLine="720"/>
        <w:jc w:val="left"/>
      </w:pPr>
      <w:hyperlink w:history="1" w:anchor="tbl_4">
        <w:r>
          <w:rPr>
            <w:rFonts w:ascii="Times New Roman" w:cs="Times New Roman" w:eastAsia="Times New Roman" w:hAnsi="Times New Roman"/>
            <w:color w:val="0563C1"/>
          </w:rPr>
          <w:t xml:space="preserve">Table 4</w:t>
        </w:r>
      </w:hyperlink>
      <w:r>
        <w:rPr>
          <w:rFonts w:ascii="Times New Roman" w:cs="Times New Roman" w:eastAsia="Times New Roman" w:hAnsi="Times New Roman"/>
        </w:rPr>
        <w:t xml:space="preserve"> states the hypotheses, method, and decision rule for each question. Tests used α = .05, RQ3 used Holm’s (1979) correction, and RQ4 decisions used 95% facility-bootstrap intervals.</w:t>
      </w:r>
    </w:p>
    <w:p>
      <w:pPr>
        <w:keepNext/>
        <w:spacing w:before="240" w:line="480"/>
      </w:pPr>
      <w:bookmarkStart w:name="tbl_4" w:id="105"/>
      <w:r>
        <w:rPr>
          <w:rFonts w:ascii="Times New Roman" w:cs="Times New Roman" w:eastAsia="Times New Roman" w:hAnsi="Times New Roman"/>
          <w:b/>
          <w:bCs/>
        </w:rPr>
        <w:t xml:space="preserve">Table 4</w:t>
      </w:r>
      <w:bookmarkEnd w:id="105"/>
    </w:p>
    <w:p>
      <w:pPr>
        <w:keepNext/>
        <w:spacing w:line="480"/>
      </w:pPr>
      <w:r>
        <w:rPr>
          <w:rFonts w:ascii="Times New Roman" w:cs="Times New Roman" w:eastAsia="Times New Roman" w:hAnsi="Times New Roman"/>
          <w:i/>
          <w:iCs/>
        </w:rPr>
        <w:t xml:space="preserve">Research Questions, Hypotheses, Methods, and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2400"/>
        <w:gridCol w:w="2060"/>
        <w:gridCol w:w="1750"/>
      </w:tblGrid>
      <w:tr>
        <w:trPr>
          <w:cantSplit/>
          <w:tblHeader/>
        </w:trPr>
        <w:tc>
          <w:tcPr>
            <w:tcW w:type="dxa" w:w="6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RQ</w:t>
            </w:r>
          </w:p>
        </w:tc>
        <w:tc>
          <w:tcPr>
            <w:tcW w:type="dxa" w:w="2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Null Hypothesis (H</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Alternative Hypothesis (H</w:t>
            </w:r>
            <w:r>
              <w:rPr>
                <w:rFonts w:ascii="Times New Roman" w:cs="Times New Roman" w:eastAsia="Times New Roman" w:hAnsi="Times New Roman"/>
                <w:b/>
                <w:bCs/>
                <w:sz w:val="17"/>
                <w:szCs w:val="17"/>
                <w:vertAlign w:val="subscript"/>
              </w:rPr>
              <w:t xml:space="preserve">a</w:t>
            </w:r>
            <w:r>
              <w:rPr>
                <w:rFonts w:ascii="Times New Roman" w:cs="Times New Roman" w:eastAsia="Times New Roman" w:hAnsi="Times New Roman"/>
                <w:b/>
                <w:bCs/>
                <w:sz w:val="17"/>
                <w:szCs w:val="17"/>
              </w:rPr>
              <w:t xml:space="preserve">)</w:t>
            </w:r>
          </w:p>
        </w:tc>
        <w:tc>
          <w:tcPr>
            <w:tcW w:type="dxa" w:w="20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Method</w:t>
            </w:r>
          </w:p>
        </w:tc>
        <w:tc>
          <w:tcPr>
            <w:tcW w:type="dxa" w:w="17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Decision Rule</w:t>
            </w:r>
          </w:p>
        </w:tc>
      </w:tr>
      <w:tr>
        <w:trPr>
          <w:cantSplit/>
        </w:trPr>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RQ1a</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Meaningful reduction is independent of action-year transition</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Reduction rates differ across transitions</w:t>
            </w:r>
          </w:p>
        </w:tc>
        <w:tc>
          <w:tcPr>
            <w:tcW w:type="dxa" w:w="20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Pearson chi-square test, Cramér’s </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 Wilson CIs</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Reject H</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.05; judge size by </w:t>
            </w:r>
            <w:r>
              <w:rPr>
                <w:rFonts w:ascii="Times New Roman" w:cs="Times New Roman" w:eastAsia="Times New Roman" w:hAnsi="Times New Roman"/>
                <w:i/>
                <w:iCs/>
                <w:sz w:val="17"/>
                <w:szCs w:val="17"/>
              </w:rPr>
              <w:t xml:space="preserve">V</w:t>
            </w:r>
          </w:p>
        </w:tc>
      </w:tr>
      <w:tr>
        <w:trPr>
          <w:cantSplit/>
        </w:trPr>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RQ1b</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Meaningful reduction is independent of manufacturing subsector</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Reduction rates differ across subsectors</w:t>
            </w:r>
          </w:p>
        </w:tc>
        <w:tc>
          <w:tcPr>
            <w:tcW w:type="dxa" w:w="20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Pearson chi-square test, Cramér’s </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 Wilson CIs</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Reject H</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.05; judge size by </w:t>
            </w:r>
            <w:r>
              <w:rPr>
                <w:rFonts w:ascii="Times New Roman" w:cs="Times New Roman" w:eastAsia="Times New Roman" w:hAnsi="Times New Roman"/>
                <w:i/>
                <w:iCs/>
                <w:sz w:val="17"/>
                <w:szCs w:val="17"/>
              </w:rPr>
              <w:t xml:space="preserve">V</w:t>
            </w:r>
          </w:p>
        </w:tc>
      </w:tr>
      <w:tr>
        <w:trPr>
          <w:cantSplit/>
        </w:trPr>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The adjusted OR for reporting any action equals 1</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The adjusted OR differs from 1</w:t>
            </w:r>
          </w:p>
        </w:tc>
        <w:tc>
          <w:tcPr>
            <w:tcW w:type="dxa" w:w="20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Logistic regression with facility-clustered standard errors</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Reject H</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.05 and the 95% CI excludes 1</w:t>
            </w:r>
          </w:p>
        </w:tc>
      </w:tr>
      <w:tr>
        <w:trPr>
          <w:cantSplit/>
        </w:trPr>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RQ3</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For each action type, the reduction rate equals the no-action rate</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The action-type rate differs from the no-action rate</w:t>
            </w:r>
          </w:p>
        </w:tc>
        <w:tc>
          <w:tcPr>
            <w:tcW w:type="dxa" w:w="20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Five 2 × 2 chi-square tests, rate differences, RRs, Holm correction</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Reject H</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 for a type if Holm-adjusted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.05</w:t>
            </w:r>
          </w:p>
        </w:tc>
      </w:tr>
      <w:tr>
        <w:trPr>
          <w:cantSplit/>
        </w:trPr>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RQ4a</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Holdout AUC of the elastic-net model equals .50 (chance)</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Holdout AUC exceeds .50</w:t>
            </w:r>
          </w:p>
        </w:tc>
        <w:tc>
          <w:tcPr>
            <w:tcW w:type="dxa" w:w="20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Facility bootstrap CI for AUC on the sealed holdout</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Reject H</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 if the 95% CI lower bound exceeds .50</w:t>
            </w:r>
          </w:p>
        </w:tc>
      </w:tr>
      <w:tr>
        <w:trPr>
          <w:cantSplit/>
        </w:trPr>
        <w:tc>
          <w:tcPr>
            <w:tcW w:type="dxa" w:w="6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RQ4b</w:t>
            </w:r>
          </w:p>
        </w:tc>
        <w:tc>
          <w:tcPr>
            <w:tcW w:type="dxa" w:w="2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Elastic-net holdout AUC does not exceed baseline AUC</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Elastic-net holdout AUC exceeds baseline AUC</w:t>
            </w:r>
          </w:p>
        </w:tc>
        <w:tc>
          <w:tcPr>
            <w:tcW w:type="dxa" w:w="20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Paired facility bootstrap of the AUC difference</w:t>
            </w:r>
          </w:p>
        </w:tc>
        <w:tc>
          <w:tcPr>
            <w:tcW w:type="dxa" w:w="17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Reject H</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 if the 95% CI of the difference excludes 0</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AUC = area under the receiver operating characteristic curve; CI = confidence interval; OR = odds ratio; RR = relative risk.</w:t>
      </w:r>
    </w:p>
    <w:p>
      <w:pPr>
        <w:pStyle w:val="Heading2"/>
        <w:keepNext/>
        <w:spacing w:after="0" w:before="0" w:line="480"/>
      </w:pPr>
      <w:r>
        <w:rPr>
          <w:rFonts w:ascii="Times New Roman" w:cs="Times New Roman" w:eastAsia="Times New Roman" w:hAnsi="Times New Roman"/>
          <w:b/>
          <w:bCs/>
          <w:color w:val="000000"/>
          <w:sz w:val="24"/>
          <w:szCs w:val="24"/>
        </w:rPr>
        <w:t xml:space="preserve">Statistical Methods</w:t>
      </w:r>
    </w:p>
    <w:p>
      <w:pPr>
        <w:keepNext w:val="false"/>
        <w:spacing w:after="0" w:before="0" w:line="480"/>
        <w:ind w:firstLine="720"/>
        <w:jc w:val="left"/>
      </w:pPr>
      <w:r>
        <w:rPr>
          <w:rFonts w:ascii="Times New Roman" w:cs="Times New Roman" w:eastAsia="Times New Roman" w:hAnsi="Times New Roman"/>
        </w:rPr>
        <w:t xml:space="preserve">RQ1 used Pearson chi-square tests with Cramér’s </w:t>
      </w:r>
      <w:r>
        <w:rPr>
          <w:rFonts w:ascii="Times New Roman" w:cs="Times New Roman" w:eastAsia="Times New Roman" w:hAnsi="Times New Roman"/>
          <w:i/>
          <w:iCs/>
        </w:rPr>
        <w:t xml:space="preserve">V</w:t>
      </w:r>
      <w:r>
        <w:rPr>
          <w:rFonts w:ascii="Times New Roman" w:cs="Times New Roman" w:eastAsia="Times New Roman" w:hAnsi="Times New Roman"/>
        </w:rPr>
        <w:t xml:space="preserve"> and Wilson intervals, because significance alone is uninformative with more than 120,000 records (Lin et al., 2013). RQ2 used logistic regression, whose coefficients convert into odds ratios, with standard errors clustered by facility because facilities contribute repeated records (Cameron &amp; Miller, 2015). Diagnostics included variance inflation factors (VIFs), the condition number, and an Akaike information criterion (AIC) comparison of production-ratio forms. RQ3 compared each action type with the no-action group in 2 × 2 chi-square tests, reporting rate differences, relative risks (RRs), and Holm-adjusted </w:t>
      </w:r>
      <w:r>
        <w:rPr>
          <w:rFonts w:ascii="Times New Roman" w:cs="Times New Roman" w:eastAsia="Times New Roman" w:hAnsi="Times New Roman"/>
          <w:i/>
          <w:iCs/>
        </w:rPr>
        <w:t xml:space="preserve">p</w:t>
      </w:r>
      <w:r>
        <w:rPr>
          <w:rFonts w:ascii="Times New Roman" w:cs="Times New Roman" w:eastAsia="Times New Roman" w:hAnsi="Times New Roman"/>
        </w:rPr>
        <w:t xml:space="preserve"> values.</w:t>
      </w:r>
    </w:p>
    <w:p>
      <w:pPr>
        <w:pStyle w:val="Heading2"/>
        <w:keepNext/>
        <w:spacing w:after="0" w:before="0" w:line="480"/>
      </w:pPr>
      <w:r>
        <w:rPr>
          <w:rFonts w:ascii="Times New Roman" w:cs="Times New Roman" w:eastAsia="Times New Roman" w:hAnsi="Times New Roman"/>
          <w:b/>
          <w:bCs/>
          <w:color w:val="000000"/>
          <w:sz w:val="24"/>
          <w:szCs w:val="24"/>
        </w:rPr>
        <w:t xml:space="preserve">Model Development</w:t>
      </w:r>
    </w:p>
    <w:p>
      <w:pPr>
        <w:keepNext w:val="false"/>
        <w:spacing w:after="0" w:before="0" w:line="480"/>
        <w:ind w:firstLine="720"/>
        <w:jc w:val="left"/>
      </w:pPr>
      <w:r>
        <w:rPr>
          <w:rFonts w:ascii="Times New Roman" w:cs="Times New Roman" w:eastAsia="Times New Roman" w:hAnsi="Times New Roman"/>
        </w:rPr>
        <w:t xml:space="preserve">The predictive path compared an unpenalized baseline logistic regression, using only the any-action indicator and log current release, with an elastic-net logistic regression using the 13 predictors in </w:t>
      </w:r>
      <w:hyperlink w:history="1" w:anchor="tbl_3">
        <w:r>
          <w:rPr>
            <w:rFonts w:ascii="Times New Roman" w:cs="Times New Roman" w:eastAsia="Times New Roman" w:hAnsi="Times New Roman"/>
            <w:color w:val="0563C1"/>
          </w:rPr>
          <w:t xml:space="preserve">Table 3</w:t>
        </w:r>
      </w:hyperlink>
      <w:r>
        <w:rPr>
          <w:rFonts w:ascii="Times New Roman" w:cs="Times New Roman" w:eastAsia="Times New Roman" w:hAnsi="Times New Roman"/>
        </w:rPr>
        <w:t xml:space="preserve"> (Zou &amp; Hastie, 2005). The elastic net stays interpretable, handles correlated action indicators, and resists overfitting. A grid search selected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0.01 with an L1 ratio of .1, a heavily penalized fit. Both models were refitted on all development data and locked. Flexible learners were not adopted, because reviewers need to know why a record is flagged.</w:t>
      </w:r>
    </w:p>
    <w:p>
      <w:pPr>
        <w:pStyle w:val="Heading2"/>
        <w:keepNext/>
        <w:spacing w:after="0" w:before="0" w:line="480"/>
      </w:pPr>
      <w:r>
        <w:rPr>
          <w:rFonts w:ascii="Times New Roman" w:cs="Times New Roman" w:eastAsia="Times New Roman" w:hAnsi="Times New Roman"/>
          <w:b/>
          <w:bCs/>
          <w:color w:val="000000"/>
          <w:sz w:val="24"/>
          <w:szCs w:val="24"/>
        </w:rPr>
        <w:t xml:space="preserve">Validation Strategy</w:t>
      </w:r>
    </w:p>
    <w:p>
      <w:pPr>
        <w:keepNext w:val="false"/>
        <w:spacing w:after="0" w:before="0" w:line="480"/>
        <w:ind w:firstLine="720"/>
        <w:jc w:val="left"/>
      </w:pPr>
      <w:r>
        <w:rPr>
          <w:rFonts w:ascii="Times New Roman" w:cs="Times New Roman" w:eastAsia="Times New Roman" w:hAnsi="Times New Roman"/>
        </w:rPr>
        <w:t xml:space="preserve">The split was temporal because real use is forward-looking, and a random row-level split could place observations from the same facilities in both training and validation sets, producing an overly optimistic estimate of future performance. Tuning used leave-one-transition-out cross-validation within development data. Holdout labels were rebuilt from raw 2024 filings only after the design was locked, matching all 39,500 pound-reported records, and the holdout was used once. Holdout uncertainty came from 500 facility-level bootstrap resamples.</w:t>
      </w:r>
    </w:p>
    <w:p>
      <w:pPr>
        <w:pStyle w:val="Heading2"/>
        <w:keepNext/>
        <w:spacing w:after="0" w:before="0" w:line="480"/>
      </w:pPr>
      <w:r>
        <w:rPr>
          <w:rFonts w:ascii="Times New Roman" w:cs="Times New Roman" w:eastAsia="Times New Roman" w:hAnsi="Times New Roman"/>
          <w:b/>
          <w:bCs/>
          <w:color w:val="000000"/>
          <w:sz w:val="24"/>
          <w:szCs w:val="24"/>
        </w:rPr>
        <w:t xml:space="preserve">Evaluation Metrics</w:t>
      </w:r>
    </w:p>
    <w:p>
      <w:pPr>
        <w:keepNext w:val="false"/>
        <w:spacing w:after="0" w:before="0" w:line="480"/>
        <w:ind w:firstLine="720"/>
        <w:jc w:val="left"/>
      </w:pPr>
      <w:r>
        <w:rPr>
          <w:rFonts w:ascii="Times New Roman" w:cs="Times New Roman" w:eastAsia="Times New Roman" w:hAnsi="Times New Roman"/>
        </w:rPr>
        <w:t xml:space="preserve">Explanatory results were judged by effect sizes and intervals. Predictive models were judged on AUC, Brier score, calibration, and screening lift among top-ranked records (Steyerberg et al., 2010; Van Calster et al., 2019). Accuracy was not a headline metric, because always predicting non-reduction is already correct for about 68% of records (</w:t>
      </w:r>
      <w:hyperlink w:history="1" w:anchor="app_E">
        <w:r>
          <w:rPr>
            <w:rFonts w:ascii="Times New Roman" w:cs="Times New Roman" w:eastAsia="Times New Roman" w:hAnsi="Times New Roman"/>
            <w:color w:val="0563C1"/>
          </w:rPr>
          <w:t xml:space="preserve">Appendix E</w:t>
        </w:r>
      </w:hyperlink>
      <w:r>
        <w:rPr>
          <w:rFonts w:ascii="Times New Roman" w:cs="Times New Roman" w:eastAsia="Times New Roman" w:hAnsi="Times New Roman"/>
        </w:rPr>
        <w:t xml:space="preserve">, </w:t>
      </w:r>
      <w:hyperlink w:history="1" w:anchor="tbl_E5">
        <w:r>
          <w:rPr>
            <w:rFonts w:ascii="Times New Roman" w:cs="Times New Roman" w:eastAsia="Times New Roman" w:hAnsi="Times New Roman"/>
            <w:color w:val="0563C1"/>
          </w:rPr>
          <w:t xml:space="preserve">Table E5</w:t>
        </w:r>
      </w:hyperlink>
      <w:r>
        <w:rPr>
          <w:rFonts w:ascii="Times New Roman" w:cs="Times New Roman" w:eastAsia="Times New Roman" w:hAnsi="Times New Roman"/>
        </w:rPr>
        <w:t xml:space="preserve">).</w:t>
      </w:r>
    </w:p>
    <w:p>
      <w:pPr>
        <w:pStyle w:val="Heading2"/>
        <w:keepNext/>
        <w:spacing w:after="0" w:before="0" w:line="480"/>
      </w:pPr>
      <w:r>
        <w:rPr>
          <w:rFonts w:ascii="Times New Roman" w:cs="Times New Roman" w:eastAsia="Times New Roman" w:hAnsi="Times New Roman"/>
          <w:b/>
          <w:bCs/>
          <w:color w:val="000000"/>
          <w:sz w:val="24"/>
          <w:szCs w:val="24"/>
        </w:rPr>
        <w:t xml:space="preserve">Sensitivity Analyses</w:t>
      </w:r>
    </w:p>
    <w:p>
      <w:pPr>
        <w:keepNext w:val="false"/>
        <w:spacing w:after="0" w:before="0" w:line="480"/>
        <w:ind w:firstLine="720"/>
        <w:jc w:val="left"/>
      </w:pPr>
      <w:r>
        <w:rPr>
          <w:rFonts w:ascii="Times New Roman" w:cs="Times New Roman" w:eastAsia="Times New Roman" w:hAnsi="Times New Roman"/>
        </w:rPr>
        <w:t xml:space="preserve">Six sensitivity checks tested the time period, the imputation choice, the functional form, facility clustering for RQ1 and RQ3, and separate handling of dioxins (</w:t>
      </w:r>
      <w:hyperlink w:history="1" w:anchor="app_F">
        <w:r>
          <w:rPr>
            <w:rFonts w:ascii="Times New Roman" w:cs="Times New Roman" w:eastAsia="Times New Roman" w:hAnsi="Times New Roman"/>
            <w:color w:val="0563C1"/>
          </w:rPr>
          <w:t xml:space="preserve">Appendix F</w:t>
        </w:r>
      </w:hyperlink>
      <w:r>
        <w:rPr>
          <w:rFonts w:ascii="Times New Roman" w:cs="Times New Roman" w:eastAsia="Times New Roman" w:hAnsi="Times New Roman"/>
        </w:rPr>
        <w:t xml:space="preserve">, </w:t>
      </w:r>
      <w:hyperlink w:history="1" w:anchor="tbl_F1">
        <w:r>
          <w:rPr>
            <w:rFonts w:ascii="Times New Roman" w:cs="Times New Roman" w:eastAsia="Times New Roman" w:hAnsi="Times New Roman"/>
            <w:color w:val="0563C1"/>
          </w:rPr>
          <w:t xml:space="preserve">Table F1</w:t>
        </w:r>
      </w:hyperlink>
      <w:r>
        <w:rPr>
          <w:rFonts w:ascii="Times New Roman" w:cs="Times New Roman" w:eastAsia="Times New Roman" w:hAnsi="Times New Roman"/>
        </w:rPr>
        <w:t xml:space="preserve">).</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Architecture Diagram and Workflow</w:t>
      </w:r>
    </w:p>
    <w:p>
      <w:pPr>
        <w:pStyle w:val="Heading2"/>
        <w:keepNext/>
        <w:spacing w:after="0" w:before="0" w:line="480"/>
      </w:pPr>
      <w:r>
        <w:rPr>
          <w:rFonts w:ascii="Times New Roman" w:cs="Times New Roman" w:eastAsia="Times New Roman" w:hAnsi="Times New Roman"/>
          <w:b/>
          <w:bCs/>
          <w:color w:val="000000"/>
          <w:sz w:val="24"/>
          <w:szCs w:val="24"/>
        </w:rPr>
        <w:t xml:space="preserve">System Overview</w:t>
      </w:r>
    </w:p>
    <w:p>
      <w:pPr>
        <w:keepNext w:val="false"/>
        <w:spacing w:after="0" w:before="0" w:line="480"/>
        <w:ind w:firstLine="720"/>
        <w:jc w:val="left"/>
      </w:pPr>
      <w:r>
        <w:rPr>
          <w:rFonts w:ascii="Times New Roman" w:cs="Times New Roman" w:eastAsia="Times New Roman" w:hAnsi="Times New Roman"/>
        </w:rPr>
        <w:t xml:space="preserve">The pipeline turns raw EPA files into two outputs: statistical evidence for RQ1 to RQ3 and a ranked review list from a locked screening model for RQ4. All stages ran in Python notebooks in Google Colab, with data on Google Drive and code on GitHub.</w:t>
      </w:r>
    </w:p>
    <w:p>
      <w:pPr>
        <w:pStyle w:val="Heading2"/>
        <w:keepNext/>
        <w:spacing w:after="0" w:before="0" w:line="480"/>
      </w:pPr>
      <w:r>
        <w:rPr>
          <w:rFonts w:ascii="Times New Roman" w:cs="Times New Roman" w:eastAsia="Times New Roman" w:hAnsi="Times New Roman"/>
          <w:b/>
          <w:bCs/>
          <w:color w:val="000000"/>
          <w:sz w:val="24"/>
          <w:szCs w:val="24"/>
        </w:rPr>
        <w:t xml:space="preserve">Architecture Diagram</w:t>
      </w:r>
    </w:p>
    <w:p>
      <w:pPr>
        <w:keepNext w:val="false"/>
        <w:spacing w:after="0" w:before="0" w:line="480"/>
        <w:ind w:firstLine="720"/>
        <w:jc w:val="left"/>
      </w:pPr>
      <w:r>
        <w:rPr>
          <w:rFonts w:ascii="Times New Roman" w:cs="Times New Roman" w:eastAsia="Times New Roman" w:hAnsi="Times New Roman"/>
        </w:rPr>
        <w:t xml:space="preserve">As shown in </w:t>
      </w:r>
      <w:hyperlink w:history="1" w:anchor="fig_2">
        <w:r>
          <w:rPr>
            <w:rFonts w:ascii="Times New Roman" w:cs="Times New Roman" w:eastAsia="Times New Roman" w:hAnsi="Times New Roman"/>
            <w:color w:val="0563C1"/>
          </w:rPr>
          <w:t xml:space="preserve">Figure 2</w:t>
        </w:r>
      </w:hyperlink>
      <w:r>
        <w:rPr>
          <w:rFonts w:ascii="Times New Roman" w:cs="Times New Roman" w:eastAsia="Times New Roman" w:hAnsi="Times New Roman"/>
        </w:rPr>
        <w:t xml:space="preserve">, the cleaned and joined files form the facility-chemical-year dataset and outcome, which split into development data and a sealed holdout. The explanatory and predictive paths branch after exploratory analysis, and the holdout was opened once, after the design was locked.</w:t>
      </w:r>
    </w:p>
    <w:p>
      <w:pPr>
        <w:keepNext/>
        <w:spacing w:before="240" w:line="480"/>
      </w:pPr>
      <w:bookmarkStart w:name="fig_2" w:id="106"/>
      <w:r>
        <w:rPr>
          <w:rFonts w:ascii="Times New Roman" w:cs="Times New Roman" w:eastAsia="Times New Roman" w:hAnsi="Times New Roman"/>
          <w:b/>
          <w:bCs/>
        </w:rPr>
        <w:t xml:space="preserve">Figure 2</w:t>
      </w:r>
      <w:bookmarkEnd w:id="106"/>
    </w:p>
    <w:p>
      <w:pPr>
        <w:keepNext/>
        <w:spacing w:line="480"/>
      </w:pPr>
      <w:r>
        <w:rPr>
          <w:rFonts w:ascii="Times New Roman" w:cs="Times New Roman" w:eastAsia="Times New Roman" w:hAnsi="Times New Roman"/>
          <w:i/>
          <w:iCs/>
        </w:rPr>
        <w:t xml:space="preserve">End-to-End Workflow From EPA TRI Files to a Ranked EHS Review List</w:t>
      </w:r>
    </w:p>
    <w:p>
      <w:pPr>
        <w:keepNext/>
        <w:spacing w:after="60" w:before="60" w:line="240" w:lineRule="auto"/>
        <w:jc w:val="center"/>
      </w:pPr>
      <w:r>
        <w:drawing>
          <wp:inline distT="0" distB="0" distL="0" distR="0">
            <wp:extent cx="4019550" cy="5286375"/>
            <wp:effectExtent t="0" r="0" b="0" l="0"/>
            <wp:docPr id="1" name="Figure 2" descr="End-to-End Workflow From EPA TRI Files to a Ranked EHS Review Li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52863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Colors mark stage groups, as shown in the legend. Solid arrows show the flow of development data. The dashed box and arrow show the sealed 2023-to-2024 holdout, which was used only for the single final evaluation. CV = cross-validation; EHS = environmental health and safety; RQ = research question; TRI = Toxics Release Inventory.</w:t>
      </w:r>
    </w:p>
    <w:p>
      <w:pPr>
        <w:pStyle w:val="Heading2"/>
        <w:keepNext/>
        <w:spacing w:after="0" w:before="0" w:line="480"/>
      </w:pPr>
      <w:r>
        <w:rPr>
          <w:rFonts w:ascii="Times New Roman" w:cs="Times New Roman" w:eastAsia="Times New Roman" w:hAnsi="Times New Roman"/>
          <w:b/>
          <w:bCs/>
          <w:color w:val="000000"/>
          <w:sz w:val="24"/>
          <w:szCs w:val="24"/>
        </w:rPr>
        <w:t xml:space="preserve">Workflow Components</w:t>
      </w:r>
    </w:p>
    <w:p>
      <w:pPr>
        <w:keepNext w:val="false"/>
        <w:spacing w:after="0" w:before="0" w:line="480"/>
        <w:ind w:firstLine="720"/>
        <w:jc w:val="left"/>
      </w:pPr>
      <w:r>
        <w:rPr>
          <w:rFonts w:ascii="Times New Roman" w:cs="Times New Roman" w:eastAsia="Times New Roman" w:hAnsi="Times New Roman"/>
          <w:b/>
          <w:bCs/>
        </w:rPr>
        <w:t xml:space="preserve">Data ingestion:</w:t>
      </w:r>
      <w:r>
        <w:rPr>
          <w:rFonts w:ascii="Times New Roman" w:cs="Times New Roman" w:eastAsia="Times New Roman" w:hAnsi="Times New Roman"/>
        </w:rPr>
        <w:t xml:space="preserve"> ten EPA text files. </w:t>
      </w: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filtering, consolidation, matching, imputation, capping, and encoding. </w:t>
      </w:r>
      <w:r>
        <w:rPr>
          <w:rFonts w:ascii="Times New Roman" w:cs="Times New Roman" w:eastAsia="Times New Roman" w:hAnsi="Times New Roman"/>
          <w:b/>
          <w:bCs/>
        </w:rPr>
        <w:t xml:space="preserve">Exploratory analysis:</w:t>
      </w:r>
      <w:r>
        <w:rPr>
          <w:rFonts w:ascii="Times New Roman" w:cs="Times New Roman" w:eastAsia="Times New Roman" w:hAnsi="Times New Roman"/>
        </w:rPr>
        <w:t xml:space="preserve"> </w:t>
      </w:r>
      <w:hyperlink w:history="1" w:anchor="tbl_2">
        <w:r>
          <w:rPr>
            <w:rFonts w:ascii="Times New Roman" w:cs="Times New Roman" w:eastAsia="Times New Roman" w:hAnsi="Times New Roman"/>
            <w:color w:val="0563C1"/>
          </w:rPr>
          <w:t xml:space="preserve">Table 2</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Feature engineering:</w:t>
      </w:r>
      <w:r>
        <w:rPr>
          <w:rFonts w:ascii="Times New Roman" w:cs="Times New Roman" w:eastAsia="Times New Roman" w:hAnsi="Times New Roman"/>
        </w:rPr>
        <w:t xml:space="preserve"> </w:t>
      </w:r>
      <w:hyperlink w:history="1" w:anchor="tbl_3">
        <w:r>
          <w:rPr>
            <w:rFonts w:ascii="Times New Roman" w:cs="Times New Roman" w:eastAsia="Times New Roman" w:hAnsi="Times New Roman"/>
            <w:color w:val="0563C1"/>
          </w:rPr>
          <w:t xml:space="preserve">Table 3</w:t>
        </w:r>
      </w:hyperlink>
      <w:r>
        <w:rPr>
          <w:rFonts w:ascii="Times New Roman" w:cs="Times New Roman" w:eastAsia="Times New Roman" w:hAnsi="Times New Roman"/>
        </w:rPr>
        <w:t xml:space="preserve">. </w:t>
      </w:r>
      <w:r>
        <w:rPr>
          <w:rFonts w:ascii="Times New Roman" w:cs="Times New Roman" w:eastAsia="Times New Roman" w:hAnsi="Times New Roman"/>
          <w:b/>
          <w:bCs/>
        </w:rPr>
        <w:t xml:space="preserve">Model development:</w:t>
      </w:r>
      <w:r>
        <w:rPr>
          <w:rFonts w:ascii="Times New Roman" w:cs="Times New Roman" w:eastAsia="Times New Roman" w:hAnsi="Times New Roman"/>
        </w:rPr>
        <w:t xml:space="preserve"> the RQ2 regression and the baseline and elastic-net RQ4 models. </w:t>
      </w:r>
      <w:r>
        <w:rPr>
          <w:rFonts w:ascii="Times New Roman" w:cs="Times New Roman" w:eastAsia="Times New Roman" w:hAnsi="Times New Roman"/>
          <w:b/>
          <w:bCs/>
        </w:rPr>
        <w:t xml:space="preserve">Model evaluation:</w:t>
      </w:r>
      <w:r>
        <w:rPr>
          <w:rFonts w:ascii="Times New Roman" w:cs="Times New Roman" w:eastAsia="Times New Roman" w:hAnsi="Times New Roman"/>
        </w:rPr>
        <w:t xml:space="preserve"> a single scoring of the 39,500 holdout records. </w:t>
      </w:r>
      <w:r>
        <w:rPr>
          <w:rFonts w:ascii="Times New Roman" w:cs="Times New Roman" w:eastAsia="Times New Roman" w:hAnsi="Times New Roman"/>
          <w:b/>
          <w:bCs/>
        </w:rPr>
        <w:t xml:space="preserve">Deployment:</w:t>
      </w:r>
      <w:r>
        <w:rPr>
          <w:rFonts w:ascii="Times New Roman" w:cs="Times New Roman" w:eastAsia="Times New Roman" w:hAnsi="Times New Roman"/>
        </w:rPr>
        <w:t xml:space="preserve"> no production system was built (see Implementation and User Benefit).</w:t>
      </w:r>
    </w:p>
    <w:p>
      <w:pPr>
        <w:pStyle w:val="Heading2"/>
        <w:keepNext/>
        <w:spacing w:after="0" w:before="0" w:line="480"/>
      </w:pPr>
      <w:r>
        <w:rPr>
          <w:rFonts w:ascii="Times New Roman" w:cs="Times New Roman" w:eastAsia="Times New Roman" w:hAnsi="Times New Roman"/>
          <w:b/>
          <w:bCs/>
          <w:color w:val="000000"/>
          <w:sz w:val="24"/>
          <w:szCs w:val="24"/>
        </w:rPr>
        <w:t xml:space="preserve">Tools and Technologies</w:t>
      </w:r>
    </w:p>
    <w:p>
      <w:pPr>
        <w:keepNext w:val="false"/>
        <w:spacing w:after="0" w:before="0" w:line="480"/>
        <w:ind w:firstLine="720"/>
        <w:jc w:val="left"/>
      </w:pPr>
      <w:r>
        <w:rPr>
          <w:rFonts w:ascii="Times New Roman" w:cs="Times New Roman" w:eastAsia="Times New Roman" w:hAnsi="Times New Roman"/>
        </w:rPr>
        <w:t xml:space="preserve">Analysis used Python in Google Colab with pandas 2.2.2, NumPy, SciPy, statsmodels 0.14.6, scikit-learn 1.6.1, and matplotlib. The linear models needed no specialized hardware, and deep learning or agentic methods were not used because the questions required interpretable coefficients.</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Results</w:t>
      </w:r>
    </w:p>
    <w:p>
      <w:pPr>
        <w:keepNext w:val="false"/>
        <w:spacing w:after="0" w:before="0" w:line="480"/>
        <w:ind w:firstLine="720"/>
        <w:jc w:val="left"/>
      </w:pPr>
      <w:r>
        <w:rPr>
          <w:rFonts w:ascii="Times New Roman" w:cs="Times New Roman" w:eastAsia="Times New Roman" w:hAnsi="Times New Roman"/>
        </w:rPr>
        <w:t xml:space="preserve">RQ1 to RQ3 used development data, and RQ4 used the sealed holdout for its single evaluation. Very small </w:t>
      </w:r>
      <w:r>
        <w:rPr>
          <w:rFonts w:ascii="Times New Roman" w:cs="Times New Roman" w:eastAsia="Times New Roman" w:hAnsi="Times New Roman"/>
          <w:i/>
          <w:iCs/>
        </w:rPr>
        <w:t xml:space="preserve">p</w:t>
      </w:r>
      <w:r>
        <w:rPr>
          <w:rFonts w:ascii="Times New Roman" w:cs="Times New Roman" w:eastAsia="Times New Roman" w:hAnsi="Times New Roman"/>
        </w:rPr>
        <w:t xml:space="preserve"> values are reported as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.001.</w:t>
      </w:r>
    </w:p>
    <w:p>
      <w:pPr>
        <w:pStyle w:val="Heading2"/>
        <w:keepNext/>
        <w:spacing w:after="0" w:before="0" w:line="480"/>
      </w:pPr>
      <w:r>
        <w:rPr>
          <w:rFonts w:ascii="Times New Roman" w:cs="Times New Roman" w:eastAsia="Times New Roman" w:hAnsi="Times New Roman"/>
          <w:b/>
          <w:bCs/>
          <w:color w:val="000000"/>
          <w:sz w:val="24"/>
          <w:szCs w:val="24"/>
        </w:rPr>
        <w:t xml:space="preserve">Model Performance</w:t>
      </w:r>
    </w:p>
    <w:p>
      <w:pPr>
        <w:keepNext w:val="false"/>
        <w:spacing w:after="0" w:before="0" w:line="480"/>
        <w:ind w:firstLine="720"/>
        <w:jc w:val="left"/>
      </w:pPr>
      <w:hyperlink w:history="1" w:anchor="tbl_5">
        <w:r>
          <w:rPr>
            <w:rFonts w:ascii="Times New Roman" w:cs="Times New Roman" w:eastAsia="Times New Roman" w:hAnsi="Times New Roman"/>
            <w:color w:val="0563C1"/>
          </w:rPr>
          <w:t xml:space="preserve">Table 5</w:t>
        </w:r>
      </w:hyperlink>
      <w:r>
        <w:rPr>
          <w:rFonts w:ascii="Times New Roman" w:cs="Times New Roman" w:eastAsia="Times New Roman" w:hAnsi="Times New Roman"/>
        </w:rPr>
        <w:t xml:space="preserve"> shows that the elastic-net model outperformed the baseline in cross-validation (AUC .530 versus .522) and on the holdout (.523 versus .502). The holdout AUC interval, [.515, .532], lies above .50, and the paired difference of .021, 95% CI [.014, .027], excludes zero. Brier scores were nearly identical (.2176 and .2180), so the gain lies in ranking rather than in sharper probabilities.</w:t>
      </w:r>
    </w:p>
    <w:p>
      <w:pPr>
        <w:keepNext/>
        <w:spacing w:before="240" w:line="480"/>
      </w:pPr>
      <w:bookmarkStart w:name="tbl_5" w:id="107"/>
      <w:r>
        <w:rPr>
          <w:rFonts w:ascii="Times New Roman" w:cs="Times New Roman" w:eastAsia="Times New Roman" w:hAnsi="Times New Roman"/>
          <w:b/>
          <w:bCs/>
        </w:rPr>
        <w:t xml:space="preserve">Table 5</w:t>
      </w:r>
      <w:bookmarkEnd w:id="107"/>
    </w:p>
    <w:p>
      <w:pPr>
        <w:keepNext/>
        <w:spacing w:line="480"/>
      </w:pPr>
      <w:r>
        <w:rPr>
          <w:rFonts w:ascii="Times New Roman" w:cs="Times New Roman" w:eastAsia="Times New Roman" w:hAnsi="Times New Roman"/>
          <w:i/>
          <w:iCs/>
        </w:rPr>
        <w:t xml:space="preserve">Predictive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50"/>
        <w:gridCol w:w="1350"/>
        <w:gridCol w:w="1150"/>
        <w:gridCol w:w="800"/>
        <w:gridCol w:w="1500"/>
        <w:gridCol w:w="800"/>
        <w:gridCol w:w="510"/>
      </w:tblGrid>
      <w:tr>
        <w:trPr>
          <w:cantSplit/>
          <w:tblHeader/>
        </w:trPr>
        <w:tc>
          <w:tcPr>
            <w:tcW w:type="dxa" w:w="16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Model</w:t>
            </w:r>
          </w:p>
        </w:tc>
        <w:tc>
          <w:tcPr>
            <w:tcW w:type="dxa" w:w="16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Features Used</w:t>
            </w:r>
          </w:p>
        </w:tc>
        <w:tc>
          <w:tcPr>
            <w:tcW w:type="dxa" w:w="13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Validation Method</w:t>
            </w:r>
          </w:p>
        </w:tc>
        <w:tc>
          <w:tcPr>
            <w:tcW w:type="dxa" w:w="1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CV AUC (Worst Fold)</w:t>
            </w:r>
          </w:p>
        </w:tc>
        <w:tc>
          <w:tcPr>
            <w:tcW w:type="dxa" w:w="8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CV Brier</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Holdout AUC [95% CI]</w:t>
            </w:r>
          </w:p>
        </w:tc>
        <w:tc>
          <w:tcPr>
            <w:tcW w:type="dxa" w:w="8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Holdout Brier</w:t>
            </w:r>
          </w:p>
        </w:tc>
        <w:tc>
          <w:tcPr>
            <w:tcW w:type="dxa" w:w="51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Best</w:t>
            </w:r>
          </w:p>
        </w:tc>
      </w:tr>
      <w:tr>
        <w:trPr>
          <w:cantSplit/>
        </w:trPr>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Baseline: unpenalized logistic regression</w:t>
            </w:r>
          </w:p>
        </w:tc>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Any reported action; log current release (2 predictors)</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Leave-one-transition-out CV; single sealed holdout</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.5222 (.5125)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.2173</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.5023</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.2180</w:t>
            </w:r>
          </w:p>
        </w:tc>
        <w:tc>
          <w:tcPr>
            <w:tcW w:type="dxa" w:w="5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p>
        </w:tc>
      </w:tr>
      <w:tr>
        <w:trPr>
          <w:cantSplit/>
        </w:trPr>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Elastic-net logistic regression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 0.01, L1 ratio = .1)</w:t>
            </w:r>
          </w:p>
        </w:tc>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13 action-year predictors (</w:t>
            </w:r>
            <w:hyperlink w:history="1" w:anchor="tbl_3">
              <w:r>
                <w:rPr>
                  <w:rFonts w:ascii="Times New Roman" w:cs="Times New Roman" w:eastAsia="Times New Roman" w:hAnsi="Times New Roman"/>
                  <w:color w:val="0563C1"/>
                  <w:sz w:val="16"/>
                  <w:szCs w:val="16"/>
                </w:rPr>
                <w:t xml:space="preserve">Table 3</w:t>
              </w:r>
            </w:hyperlink>
            <w:r>
              <w:rPr>
                <w:rFonts w:ascii="Times New Roman" w:cs="Times New Roman" w:eastAsia="Times New Roman" w:hAnsi="Times New Roman"/>
                <w:sz w:val="16"/>
                <w:szCs w:val="16"/>
              </w:rPr>
              <w:t xml:space="preserve">)</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Leave-one-transition-out CV; single sealed holdout</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.5302 (.5234)</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.2169</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.5231 [.5149, .5316]</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.2176</w:t>
            </w:r>
          </w:p>
        </w:tc>
        <w:tc>
          <w:tcPr>
            <w:tcW w:type="dxa" w:w="5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Yes</w:t>
            </w:r>
          </w:p>
        </w:tc>
      </w:tr>
      <w:tr>
        <w:trPr>
          <w:cantSplit/>
        </w:trPr>
        <w:tc>
          <w:tcPr>
            <w:tcW w:type="dxa" w:w="16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Difference (elastic net minus baseline)</w:t>
            </w:r>
          </w:p>
        </w:tc>
        <w:tc>
          <w:tcPr>
            <w:tcW w:type="dxa" w:w="16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p>
        </w:tc>
        <w:tc>
          <w:tcPr>
            <w:tcW w:type="dxa" w:w="13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Paired facility bootstrap on holdout</w:t>
            </w:r>
          </w:p>
        </w:tc>
        <w:tc>
          <w:tcPr>
            <w:tcW w:type="dxa" w:w="1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.0080</w:t>
            </w:r>
          </w:p>
        </w:tc>
        <w:tc>
          <w:tcPr>
            <w:tcW w:type="dxa" w:w="8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−.0004</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.0208 [.0140, .0268]</w:t>
            </w:r>
          </w:p>
        </w:tc>
        <w:tc>
          <w:tcPr>
            <w:tcW w:type="dxa" w:w="8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−.0004</w:t>
            </w:r>
          </w:p>
        </w:tc>
        <w:tc>
          <w:tcPr>
            <w:tcW w:type="dxa" w:w="51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The positive class was non-reduction. Development cross-validation (CV) used 122,017 pound-reported records in three folds grouped by transition. The holdout contained 39,500 pound-reported records, of which 67.95% did not reduce. Confidence intervals for holdout AUC come from 500 facility-level bootstrap resamples. At the F1-maximizing threshold chosen on development data (.520), both models flagged nearly every record (elastic net: precision = .679, recall = .9999, F1 = .809), so accuracy-type metrics at that threshold are uninformative. AUC = area under the receiver operating characteristic curve.</w:t>
      </w:r>
    </w:p>
    <w:p>
      <w:pPr>
        <w:pStyle w:val="Heading2"/>
        <w:keepNext/>
        <w:spacing w:after="0" w:before="0" w:line="480"/>
      </w:pPr>
      <w:r>
        <w:rPr>
          <w:rFonts w:ascii="Times New Roman" w:cs="Times New Roman" w:eastAsia="Times New Roman" w:hAnsi="Times New Roman"/>
          <w:b/>
          <w:bCs/>
          <w:color w:val="000000"/>
          <w:sz w:val="24"/>
          <w:szCs w:val="24"/>
        </w:rPr>
        <w:t xml:space="preserve">Visual Evidence</w:t>
      </w:r>
    </w:p>
    <w:p>
      <w:pPr>
        <w:keepNext w:val="false"/>
        <w:spacing w:after="0" w:before="0" w:line="480"/>
        <w:ind w:firstLine="720"/>
        <w:jc w:val="left"/>
      </w:pPr>
      <w:r>
        <w:rPr>
          <w:rFonts w:ascii="Times New Roman" w:cs="Times New Roman" w:eastAsia="Times New Roman" w:hAnsi="Times New Roman"/>
        </w:rPr>
        <w:t xml:space="preserve">In </w:t>
      </w:r>
      <w:hyperlink w:history="1" w:anchor="fig_3">
        <w:r>
          <w:rPr>
            <w:rFonts w:ascii="Times New Roman" w:cs="Times New Roman" w:eastAsia="Times New Roman" w:hAnsi="Times New Roman"/>
            <w:color w:val="0563C1"/>
          </w:rPr>
          <w:t xml:space="preserve">Figure 3</w:t>
        </w:r>
      </w:hyperlink>
      <w:r>
        <w:rPr>
          <w:rFonts w:ascii="Times New Roman" w:cs="Times New Roman" w:eastAsia="Times New Roman" w:hAnsi="Times New Roman"/>
        </w:rPr>
        <w:t xml:space="preserve">, the calibration plot showed no large departures from the diagonal within the narrow range of predicted probabilities (about .63 to .73), although no formal calibration slope was estimated. The receiver operating characteristic (ROC) curve for the elastic net lies only slightly above the baseline and chance lines.</w:t>
      </w:r>
    </w:p>
    <w:p>
      <w:pPr>
        <w:keepNext/>
        <w:spacing w:before="240" w:line="480"/>
      </w:pPr>
      <w:bookmarkStart w:name="fig_3" w:id="108"/>
      <w:r>
        <w:rPr>
          <w:rFonts w:ascii="Times New Roman" w:cs="Times New Roman" w:eastAsia="Times New Roman" w:hAnsi="Times New Roman"/>
          <w:b/>
          <w:bCs/>
        </w:rPr>
        <w:t xml:space="preserve">Figure 3</w:t>
      </w:r>
      <w:bookmarkEnd w:id="108"/>
    </w:p>
    <w:p>
      <w:pPr>
        <w:keepNext/>
        <w:spacing w:line="480"/>
      </w:pPr>
      <w:r>
        <w:rPr>
          <w:rFonts w:ascii="Times New Roman" w:cs="Times New Roman" w:eastAsia="Times New Roman" w:hAnsi="Times New Roman"/>
          <w:i/>
          <w:iCs/>
        </w:rPr>
        <w:t xml:space="preserve">Holdout Calibration and Receiver Operating Characteristic Curves</w:t>
      </w:r>
    </w:p>
    <w:p>
      <w:pPr>
        <w:keepNext/>
        <w:spacing w:after="60" w:before="60" w:line="240" w:lineRule="auto"/>
        <w:jc w:val="center"/>
      </w:pPr>
      <w:r>
        <w:drawing>
          <wp:inline distT="0" distB="0" distL="0" distR="0">
            <wp:extent cx="5762625" cy="2066925"/>
            <wp:effectExtent t="0" r="0" b="0" l="0"/>
            <wp:docPr id="1" name="Figure 3" descr="Holdout Calibration and Receiver Operating Characteristic Curv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669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Left panel: observed non-reduction frequency against mean predicted probability in 10 quantile bins for the elastic-net model; the dashed line marks perfect calibration. Right panel: ROC curves for the elastic-net model (AUC = .523) and the baseline (AUC = .502) on 39,500 pound-reported 2023-to-2024 holdout records; the dashed line marks chance. AUC = area under the ROC curve.</w:t>
      </w:r>
    </w:p>
    <w:p>
      <w:pPr>
        <w:keepNext w:val="false"/>
        <w:spacing w:after="0" w:before="0" w:line="480"/>
        <w:ind w:firstLine="720"/>
        <w:jc w:val="left"/>
      </w:pPr>
      <w:hyperlink w:history="1" w:anchor="fig_4">
        <w:r>
          <w:rPr>
            <w:rFonts w:ascii="Times New Roman" w:cs="Times New Roman" w:eastAsia="Times New Roman" w:hAnsi="Times New Roman"/>
            <w:color w:val="0563C1"/>
          </w:rPr>
          <w:t xml:space="preserve">Figure 4</w:t>
        </w:r>
      </w:hyperlink>
      <w:r>
        <w:rPr>
          <w:rFonts w:ascii="Times New Roman" w:cs="Times New Roman" w:eastAsia="Times New Roman" w:hAnsi="Times New Roman"/>
        </w:rPr>
        <w:t xml:space="preserve"> shows that reporting any action, PBT status, log release, metal status, and material modification lowered predicted risk most. Even the largest coefficient was about −0.14 on the log-odds scale, consistent with modest discrimination (</w:t>
      </w:r>
      <w:hyperlink w:history="1" w:anchor="app_F">
        <w:r>
          <w:rPr>
            <w:rFonts w:ascii="Times New Roman" w:cs="Times New Roman" w:eastAsia="Times New Roman" w:hAnsi="Times New Roman"/>
            <w:color w:val="0563C1"/>
          </w:rPr>
          <w:t xml:space="preserve">Appendix F</w:t>
        </w:r>
      </w:hyperlink>
      <w:r>
        <w:rPr>
          <w:rFonts w:ascii="Times New Roman" w:cs="Times New Roman" w:eastAsia="Times New Roman" w:hAnsi="Times New Roman"/>
        </w:rPr>
        <w:t xml:space="preserve">, </w:t>
      </w:r>
      <w:hyperlink w:history="1" w:anchor="tbl_F3">
        <w:r>
          <w:rPr>
            <w:rFonts w:ascii="Times New Roman" w:cs="Times New Roman" w:eastAsia="Times New Roman" w:hAnsi="Times New Roman"/>
            <w:color w:val="0563C1"/>
          </w:rPr>
          <w:t xml:space="preserve">Table F3</w:t>
        </w:r>
      </w:hyperlink>
      <w:r>
        <w:rPr>
          <w:rFonts w:ascii="Times New Roman" w:cs="Times New Roman" w:eastAsia="Times New Roman" w:hAnsi="Times New Roman"/>
        </w:rPr>
        <w:t xml:space="preserve">).</w:t>
      </w:r>
    </w:p>
    <w:p>
      <w:pPr>
        <w:keepNext/>
        <w:spacing w:before="240" w:line="480"/>
      </w:pPr>
      <w:bookmarkStart w:name="fig_4" w:id="109"/>
      <w:r>
        <w:rPr>
          <w:rFonts w:ascii="Times New Roman" w:cs="Times New Roman" w:eastAsia="Times New Roman" w:hAnsi="Times New Roman"/>
          <w:b/>
          <w:bCs/>
        </w:rPr>
        <w:t xml:space="preserve">Figure 4</w:t>
      </w:r>
      <w:bookmarkEnd w:id="109"/>
    </w:p>
    <w:p>
      <w:pPr>
        <w:keepNext/>
        <w:spacing w:line="480"/>
      </w:pPr>
      <w:r>
        <w:rPr>
          <w:rFonts w:ascii="Times New Roman" w:cs="Times New Roman" w:eastAsia="Times New Roman" w:hAnsi="Times New Roman"/>
          <w:i/>
          <w:iCs/>
        </w:rPr>
        <w:t xml:space="preserve">Elastic-Net Standardized Coefficients for Predicting Non-Reduction</w:t>
      </w:r>
    </w:p>
    <w:p>
      <w:pPr>
        <w:keepNext/>
        <w:spacing w:after="60" w:before="60" w:line="240" w:lineRule="auto"/>
        <w:jc w:val="center"/>
      </w:pPr>
      <w:r>
        <w:drawing>
          <wp:inline distT="0" distB="0" distL="0" distR="0">
            <wp:extent cx="5391150" cy="3000375"/>
            <wp:effectExtent t="0" r="0" b="0" l="0"/>
            <wp:docPr id="1" name="Figure 4" descr="Elastic-Net Standardized Coefficients for Predicting Non-Reduc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0003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Coefficients are on the log-odds scale of non-reduction. Continuous features were standardized, so coefficients for those features represent a one-standard-deviation change; binary features represent a change from 0 to 1. PBT = persistent, bioaccumulative, and toxic.</w:t>
      </w:r>
    </w:p>
    <w:p>
      <w:pPr>
        <w:pStyle w:val="Heading2"/>
        <w:keepNext/>
        <w:spacing w:after="0" w:before="0" w:line="480"/>
      </w:pPr>
      <w:r>
        <w:rPr>
          <w:rFonts w:ascii="Times New Roman" w:cs="Times New Roman" w:eastAsia="Times New Roman" w:hAnsi="Times New Roman"/>
          <w:b/>
          <w:bCs/>
          <w:color w:val="000000"/>
          <w:sz w:val="24"/>
          <w:szCs w:val="24"/>
        </w:rPr>
        <w:t xml:space="preserve">Results by Research Question</w:t>
      </w:r>
    </w:p>
    <w:p>
      <w:pPr>
        <w:pStyle w:val="Heading3"/>
        <w:keepNext/>
        <w:spacing w:after="0" w:before="0" w:line="480"/>
      </w:pPr>
      <w:r>
        <w:rPr>
          <w:rFonts w:ascii="Times New Roman" w:cs="Times New Roman" w:eastAsia="Times New Roman" w:hAnsi="Times New Roman"/>
          <w:b/>
          <w:bCs/>
          <w:i/>
          <w:iCs/>
          <w:color w:val="000000"/>
          <w:sz w:val="24"/>
          <w:szCs w:val="24"/>
        </w:rPr>
        <w:t xml:space="preserve">Research Question 1: Differences by Transition and Subsector</w:t>
      </w:r>
    </w:p>
    <w:p>
      <w:pPr>
        <w:spacing w:line="480"/>
        <w:ind w:firstLine="720"/>
      </w:pPr>
      <w:r>
        <w:rPr>
          <w:rFonts w:ascii="Times New Roman" w:cs="Times New Roman" w:eastAsia="Times New Roman" w:hAnsi="Times New Roman"/>
          <w:b/>
          <w:bCs/>
        </w:rPr>
        <w:t xml:space="preserve">Hypotheses and Method.</w:t>
      </w:r>
      <w:r>
        <w:rPr>
          <w:rFonts w:ascii="Times New Roman" w:cs="Times New Roman" w:eastAsia="Times New Roman" w:hAnsi="Times New Roman"/>
        </w:rPr>
        <w:t xml:space="preserve"> H</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reduction is independent of transition, and of subsector. H</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rates differ. Two chi-square tests with Cramér’s </w:t>
      </w:r>
      <w:r>
        <w:rPr>
          <w:rFonts w:ascii="Times New Roman" w:cs="Times New Roman" w:eastAsia="Times New Roman" w:hAnsi="Times New Roman"/>
          <w:i/>
          <w:iCs/>
        </w:rPr>
        <w:t xml:space="preserve">V</w:t>
      </w:r>
      <w:r>
        <w:rPr>
          <w:rFonts w:ascii="Times New Roman" w:cs="Times New Roman" w:eastAsia="Times New Roman" w:hAnsi="Times New Roman"/>
        </w:rPr>
        <w:t xml:space="preserve"> and facility-clustered checks were used.</w:t>
      </w:r>
    </w:p>
    <w:p>
      <w:pPr>
        <w:spacing w:line="480"/>
        <w:ind w:firstLine="720"/>
      </w:pPr>
      <w:r>
        <w:rPr>
          <w:rFonts w:ascii="Times New Roman" w:cs="Times New Roman" w:eastAsia="Times New Roman" w:hAnsi="Times New Roman"/>
          <w:b/>
          <w:bCs/>
        </w:rPr>
        <w:t xml:space="preserve">Result and Decision.</w:t>
      </w:r>
      <w:r>
        <w:rPr>
          <w:rFonts w:ascii="Times New Roman" w:cs="Times New Roman" w:eastAsia="Times New Roman" w:hAnsi="Times New Roman"/>
        </w:rPr>
        <w:t xml:space="preserve"> Rates rose from 27.5% to 31.1% to 35.9% across transitions, χ</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(2) = 663.72,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.001, and ranged from 25.9% (paper) to 41.3% (furniture) across subsectors, χ</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(14) = 280.04,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.001 (</w:t>
      </w:r>
      <w:hyperlink w:history="1" w:anchor="tbl_6">
        <w:r>
          <w:rPr>
            <w:rFonts w:ascii="Times New Roman" w:cs="Times New Roman" w:eastAsia="Times New Roman" w:hAnsi="Times New Roman"/>
            <w:color w:val="0563C1"/>
          </w:rPr>
          <w:t xml:space="preserve">Table 6</w:t>
        </w:r>
      </w:hyperlink>
      <w:r>
        <w:rPr>
          <w:rFonts w:ascii="Times New Roman" w:cs="Times New Roman" w:eastAsia="Times New Roman" w:hAnsi="Times New Roman"/>
        </w:rPr>
        <w:t xml:space="preserve"> and </w:t>
      </w:r>
      <w:hyperlink w:history="1" w:anchor="app_F">
        <w:r>
          <w:rPr>
            <w:rFonts w:ascii="Times New Roman" w:cs="Times New Roman" w:eastAsia="Times New Roman" w:hAnsi="Times New Roman"/>
            <w:color w:val="0563C1"/>
          </w:rPr>
          <w:t xml:space="preserve">Appendix F</w:t>
        </w:r>
      </w:hyperlink>
      <w:r>
        <w:rPr>
          <w:rFonts w:ascii="Times New Roman" w:cs="Times New Roman" w:eastAsia="Times New Roman" w:hAnsi="Times New Roman"/>
        </w:rPr>
        <w:t xml:space="preserve">, </w:t>
      </w:r>
      <w:hyperlink w:history="1" w:anchor="fig_F1">
        <w:r>
          <w:rPr>
            <w:rFonts w:ascii="Times New Roman" w:cs="Times New Roman" w:eastAsia="Times New Roman" w:hAnsi="Times New Roman"/>
            <w:color w:val="0563C1"/>
          </w:rPr>
          <w:t xml:space="preserve">Figures F1</w:t>
        </w:r>
      </w:hyperlink>
      <w:r>
        <w:rPr>
          <w:rFonts w:ascii="Times New Roman" w:cs="Times New Roman" w:eastAsia="Times New Roman" w:hAnsi="Times New Roman"/>
        </w:rPr>
        <w:t xml:space="preserve"> and F2). Both null hypotheses were rejected, and both effects held under facility clustering.</w:t>
      </w:r>
    </w:p>
    <w:p>
      <w:pPr>
        <w:spacing w:line="480"/>
        <w:ind w:firstLine="720"/>
      </w:pPr>
      <w:r>
        <w:rPr>
          <w:rFonts w:ascii="Times New Roman" w:cs="Times New Roman" w:eastAsia="Times New Roman" w:hAnsi="Times New Roman"/>
          <w:b/>
          <w:bCs/>
        </w:rPr>
        <w:t xml:space="preserve">Practical Meaning.</w:t>
      </w:r>
      <w:r>
        <w:rPr>
          <w:rFonts w:ascii="Times New Roman" w:cs="Times New Roman" w:eastAsia="Times New Roman" w:hAnsi="Times New Roman"/>
        </w:rPr>
        <w:t xml:space="preserve"> The effects were statistically significant but small (Cramér’s </w:t>
      </w:r>
      <w:r>
        <w:rPr>
          <w:rFonts w:ascii="Times New Roman" w:cs="Times New Roman" w:eastAsia="Times New Roman" w:hAnsi="Times New Roman"/>
          <w:i/>
          <w:iCs/>
        </w:rPr>
        <w:t xml:space="preserve">V</w:t>
      </w:r>
      <w:r>
        <w:rPr>
          <w:rFonts w:ascii="Times New Roman" w:cs="Times New Roman" w:eastAsia="Times New Roman" w:hAnsi="Times New Roman"/>
        </w:rPr>
        <w:t xml:space="preserve"> = .073 and .048). Time and industry shift the chance of reduction modestly, so they are controls rather than screening levers.</w:t>
      </w:r>
    </w:p>
    <w:p>
      <w:pPr>
        <w:keepNext/>
        <w:spacing w:before="240" w:line="480"/>
      </w:pPr>
      <w:bookmarkStart w:name="tbl_6" w:id="110"/>
      <w:r>
        <w:rPr>
          <w:rFonts w:ascii="Times New Roman" w:cs="Times New Roman" w:eastAsia="Times New Roman" w:hAnsi="Times New Roman"/>
          <w:b/>
          <w:bCs/>
        </w:rPr>
        <w:t xml:space="preserve">Table 6</w:t>
      </w:r>
      <w:bookmarkEnd w:id="110"/>
    </w:p>
    <w:p>
      <w:pPr>
        <w:keepNext/>
        <w:spacing w:line="480"/>
      </w:pPr>
      <w:r>
        <w:rPr>
          <w:rFonts w:ascii="Times New Roman" w:cs="Times New Roman" w:eastAsia="Times New Roman" w:hAnsi="Times New Roman"/>
          <w:i/>
          <w:iCs/>
        </w:rPr>
        <w:t xml:space="preserve">RQ1 Reduction Rates by Transition and Subsector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060"/>
        <w:gridCol w:w="1150"/>
        <w:gridCol w:w="850"/>
        <w:gridCol w:w="1000"/>
        <w:gridCol w:w="1950"/>
      </w:tblGrid>
      <w:tr>
        <w:trPr>
          <w:cantSplit/>
          <w:tblHeader/>
        </w:trPr>
        <w:tc>
          <w:tcPr>
            <w:tcW w:type="dxa" w:w="13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Factor</w:t>
            </w:r>
          </w:p>
        </w:tc>
        <w:tc>
          <w:tcPr>
            <w:tcW w:type="dxa" w:w="30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Reduction Rate, % [95% CI]</w:t>
            </w:r>
          </w:p>
        </w:tc>
        <w:tc>
          <w:tcPr>
            <w:tcW w:type="dxa" w:w="1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χ</w:t>
            </w:r>
            <w:r>
              <w:rPr>
                <w:rFonts w:ascii="Times New Roman" w:cs="Times New Roman" w:eastAsia="Times New Roman" w:hAnsi="Times New Roman"/>
                <w:b/>
                <w:bCs/>
                <w:sz w:val="17"/>
                <w:szCs w:val="17"/>
                <w:vertAlign w:val="superscript"/>
              </w:rPr>
              <w:t xml:space="preserve">2</w:t>
            </w:r>
            <w:r>
              <w:rPr>
                <w:rFonts w:ascii="Times New Roman" w:cs="Times New Roman" w:eastAsia="Times New Roman" w:hAnsi="Times New Roman"/>
                <w:b/>
                <w:bCs/>
                <w:sz w:val="17"/>
                <w:szCs w:val="17"/>
              </w:rPr>
              <w:t xml:space="preserve"> (</w:t>
            </w:r>
            <w:r>
              <w:rPr>
                <w:rFonts w:ascii="Times New Roman" w:cs="Times New Roman" w:eastAsia="Times New Roman" w:hAnsi="Times New Roman"/>
                <w:b/>
                <w:bCs/>
                <w:i/>
                <w:iCs/>
                <w:sz w:val="17"/>
                <w:szCs w:val="17"/>
              </w:rPr>
              <w:t xml:space="preserve">df</w:t>
            </w:r>
            <w:r>
              <w:rPr>
                <w:rFonts w:ascii="Times New Roman" w:cs="Times New Roman" w:eastAsia="Times New Roman" w:hAnsi="Times New Roman"/>
                <w:b/>
                <w:bCs/>
                <w:sz w:val="17"/>
                <w:szCs w:val="17"/>
              </w:rPr>
              <w:t xml:space="preserve">)</w:t>
            </w:r>
          </w:p>
        </w:tc>
        <w:tc>
          <w:tcPr>
            <w:tcW w:type="dxa" w:w="8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i/>
                <w:iCs/>
                <w:sz w:val="17"/>
                <w:szCs w:val="17"/>
              </w:rPr>
              <w:t xml:space="preserve">p</w:t>
            </w:r>
          </w:p>
        </w:tc>
        <w:tc>
          <w:tcPr>
            <w:tcW w:type="dxa" w:w="1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Cramér’s </w:t>
            </w:r>
            <w:r>
              <w:rPr>
                <w:rFonts w:ascii="Times New Roman" w:cs="Times New Roman" w:eastAsia="Times New Roman" w:hAnsi="Times New Roman"/>
                <w:b/>
                <w:bCs/>
                <w:i/>
                <w:iCs/>
                <w:sz w:val="17"/>
                <w:szCs w:val="17"/>
              </w:rPr>
              <w:t xml:space="preserve">V</w:t>
            </w:r>
          </w:p>
        </w:tc>
        <w:tc>
          <w:tcPr>
            <w:tcW w:type="dxa" w:w="19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Facility-Clustered Check</w:t>
            </w:r>
          </w:p>
        </w:tc>
      </w:tr>
      <w:tr>
        <w:trPr>
          <w:cantSplit/>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Action-year transition</w:t>
            </w:r>
          </w:p>
        </w:tc>
        <w:tc>
          <w:tcPr>
            <w:tcW w:type="dxa" w:w="30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2020 to 2021: 27.54 [27.11, 27.97],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 41,280</w:t>
            </w:r>
          </w:p>
          <w:p>
            <w:pPr>
              <w:spacing w:after="0" w:before="0" w:line="240"/>
              <w:jc w:val="left"/>
            </w:pPr>
            <w:r>
              <w:rPr>
                <w:rFonts w:ascii="Times New Roman" w:cs="Times New Roman" w:eastAsia="Times New Roman" w:hAnsi="Times New Roman"/>
                <w:sz w:val="17"/>
                <w:szCs w:val="17"/>
              </w:rPr>
              <w:t xml:space="preserve">2021 to 2022: 31.09 [30.65, 31.54],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 41,356</w:t>
            </w:r>
          </w:p>
          <w:p>
            <w:pPr>
              <w:spacing w:after="0" w:before="0" w:line="240"/>
              <w:jc w:val="left"/>
            </w:pPr>
            <w:r>
              <w:rPr>
                <w:rFonts w:ascii="Times New Roman" w:cs="Times New Roman" w:eastAsia="Times New Roman" w:hAnsi="Times New Roman"/>
                <w:sz w:val="17"/>
                <w:szCs w:val="17"/>
              </w:rPr>
              <w:t xml:space="preserve">2022 to 2023: 35.86 [35.39, 36.32],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 40,899</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663.72 (2)</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&lt; .001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.073</w:t>
            </w:r>
          </w:p>
        </w:tc>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 = 1.19 and 1.47 versus 2020 to 2021; both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.001</w:t>
            </w:r>
          </w:p>
        </w:tc>
      </w:tr>
      <w:tr>
        <w:trPr>
          <w:cantSplit/>
        </w:trPr>
        <w:tc>
          <w:tcPr>
            <w:tcW w:type="dxa" w:w="13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Manufacturing subsector (15 qualifying)</w:t>
            </w:r>
          </w:p>
        </w:tc>
        <w:tc>
          <w:tcPr>
            <w:tcW w:type="dxa" w:w="30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Lowest: 322 Paper, 25.89 [24.82, 27.00]</w:t>
            </w:r>
          </w:p>
          <w:p>
            <w:pPr>
              <w:spacing w:after="0" w:before="0" w:line="240"/>
              <w:jc w:val="left"/>
            </w:pPr>
            <w:r>
              <w:rPr>
                <w:rFonts w:ascii="Times New Roman" w:cs="Times New Roman" w:eastAsia="Times New Roman" w:hAnsi="Times New Roman"/>
                <w:sz w:val="17"/>
                <w:szCs w:val="17"/>
              </w:rPr>
              <w:t xml:space="preserve">Highest: 337 Furniture, 41.26 [37.92, 44.68]</w:t>
            </w:r>
          </w:p>
          <w:p>
            <w:pPr>
              <w:spacing w:after="0" w:before="0" w:line="240"/>
              <w:jc w:val="left"/>
            </w:pPr>
            <w:r>
              <w:rPr>
                <w:rFonts w:ascii="Times New Roman" w:cs="Times New Roman" w:eastAsia="Times New Roman" w:hAnsi="Times New Roman"/>
                <w:sz w:val="17"/>
                <w:szCs w:val="17"/>
              </w:rPr>
              <w:t xml:space="preserve">Spread: 15.4 percentage points</w:t>
            </w:r>
          </w:p>
        </w:tc>
        <w:tc>
          <w:tcPr>
            <w:tcW w:type="dxa" w:w="1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280.04 (14)</w:t>
            </w:r>
          </w:p>
        </w:tc>
        <w:tc>
          <w:tcPr>
            <w:tcW w:type="dxa" w:w="8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&lt; .001</w:t>
            </w:r>
          </w:p>
        </w:tc>
        <w:tc>
          <w:tcPr>
            <w:tcW w:type="dxa" w:w="1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.048</w:t>
            </w:r>
          </w:p>
        </w:tc>
        <w:tc>
          <w:tcPr>
            <w:tcW w:type="dxa" w:w="19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9 of 14 contrasts with NAICS 325 significant at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.05</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Development set,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123,535 for transitions and 122,429 for the 15 qualifying subsectors. Rates for all subsectors appear in </w:t>
      </w:r>
      <w:hyperlink w:history="1" w:anchor="app_F">
        <w:r>
          <w:rPr>
            <w:rFonts w:ascii="Times New Roman" w:cs="Times New Roman" w:eastAsia="Times New Roman" w:hAnsi="Times New Roman"/>
            <w:color w:val="0563C1"/>
            <w:sz w:val="24"/>
            <w:szCs w:val="24"/>
          </w:rPr>
          <w:t xml:space="preserve">Appendix F</w:t>
        </w:r>
      </w:hyperlink>
      <w:r>
        <w:rPr>
          <w:rFonts w:ascii="Times New Roman" w:cs="Times New Roman" w:eastAsia="Times New Roman" w:hAnsi="Times New Roman"/>
          <w:sz w:val="24"/>
          <w:szCs w:val="24"/>
        </w:rPr>
        <w:t xml:space="preserve">, </w:t>
      </w:r>
      <w:hyperlink w:history="1" w:anchor="fig_F2">
        <w:r>
          <w:rPr>
            <w:rFonts w:ascii="Times New Roman" w:cs="Times New Roman" w:eastAsia="Times New Roman" w:hAnsi="Times New Roman"/>
            <w:color w:val="0563C1"/>
            <w:sz w:val="24"/>
            <w:szCs w:val="24"/>
          </w:rPr>
          <w:t xml:space="preserve">Figure F2</w:t>
        </w:r>
      </w:hyperlink>
      <w:r>
        <w:rPr>
          <w:rFonts w:ascii="Times New Roman" w:cs="Times New Roman" w:eastAsia="Times New Roman" w:hAnsi="Times New Roman"/>
          <w:sz w:val="24"/>
          <w:szCs w:val="24"/>
        </w:rPr>
        <w:t xml:space="preserve"> and </w:t>
      </w:r>
      <w:hyperlink w:history="1" w:anchor="tbl_F4">
        <w:r>
          <w:rPr>
            <w:rFonts w:ascii="Times New Roman" w:cs="Times New Roman" w:eastAsia="Times New Roman" w:hAnsi="Times New Roman"/>
            <w:color w:val="0563C1"/>
            <w:sz w:val="24"/>
            <w:szCs w:val="24"/>
          </w:rPr>
          <w:t xml:space="preserve">Table F4</w:t>
        </w:r>
      </w:hyperlink>
      <w:r>
        <w:rPr>
          <w:rFonts w:ascii="Times New Roman" w:cs="Times New Roman" w:eastAsia="Times New Roman" w:hAnsi="Times New Roman"/>
          <w:sz w:val="24"/>
          <w:szCs w:val="24"/>
        </w:rPr>
        <w:t xml:space="preserve">. CI = confidence interval; NAICS = North American Industry Classification System;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w:t>
      </w:r>
    </w:p>
    <w:p>
      <w:pPr>
        <w:pStyle w:val="Heading3"/>
        <w:keepNext/>
        <w:spacing w:after="0" w:before="0" w:line="480"/>
      </w:pPr>
      <w:r>
        <w:rPr>
          <w:rFonts w:ascii="Times New Roman" w:cs="Times New Roman" w:eastAsia="Times New Roman" w:hAnsi="Times New Roman"/>
          <w:b/>
          <w:bCs/>
          <w:i/>
          <w:iCs/>
          <w:color w:val="000000"/>
          <w:sz w:val="24"/>
          <w:szCs w:val="24"/>
        </w:rPr>
        <w:t xml:space="preserve">Research Question 2: Adjusted Association With Any Reported Action</w:t>
      </w:r>
    </w:p>
    <w:p>
      <w:pPr>
        <w:spacing w:line="480"/>
        <w:ind w:firstLine="720"/>
      </w:pPr>
      <w:r>
        <w:rPr>
          <w:rFonts w:ascii="Times New Roman" w:cs="Times New Roman" w:eastAsia="Times New Roman" w:hAnsi="Times New Roman"/>
          <w:b/>
          <w:bCs/>
        </w:rPr>
        <w:t xml:space="preserve">Hypotheses and Method.</w:t>
      </w:r>
      <w:r>
        <w:rPr>
          <w:rFonts w:ascii="Times New Roman" w:cs="Times New Roman" w:eastAsia="Times New Roman" w:hAnsi="Times New Roman"/>
        </w:rPr>
        <w:t xml:space="preserve"> H</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the adjusted OR for any reported action equals 1. H</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it differs from 1. A facility-clustered logistic regression was fitted to 122,017 records from 14,836 facilities.</w:t>
      </w:r>
    </w:p>
    <w:p>
      <w:pPr>
        <w:spacing w:line="480"/>
        <w:ind w:firstLine="720"/>
      </w:pPr>
      <w:r>
        <w:rPr>
          <w:rFonts w:ascii="Times New Roman" w:cs="Times New Roman" w:eastAsia="Times New Roman" w:hAnsi="Times New Roman"/>
          <w:b/>
          <w:bCs/>
        </w:rPr>
        <w:t xml:space="preserve">Result and Decision.</w:t>
      </w:r>
      <w:r>
        <w:rPr>
          <w:rFonts w:ascii="Times New Roman" w:cs="Times New Roman" w:eastAsia="Times New Roman" w:hAnsi="Times New Roman"/>
        </w:rPr>
        <w:t xml:space="preserve"> Reporting any action was associated with higher adjusted odds of meaningful reduction, OR = 1.14, 95% CI [1.06, 1.23],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.001, so H</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was rejected (</w:t>
      </w:r>
      <w:hyperlink w:history="1" w:anchor="tbl_7">
        <w:r>
          <w:rPr>
            <w:rFonts w:ascii="Times New Roman" w:cs="Times New Roman" w:eastAsia="Times New Roman" w:hAnsi="Times New Roman"/>
            <w:color w:val="0563C1"/>
          </w:rPr>
          <w:t xml:space="preserve">Table 7</w:t>
        </w:r>
      </w:hyperlink>
      <w:r>
        <w:rPr>
          <w:rFonts w:ascii="Times New Roman" w:cs="Times New Roman" w:eastAsia="Times New Roman" w:hAnsi="Times New Roman"/>
        </w:rPr>
        <w:t xml:space="preserve">). The diagnostics did not indicate serious multicollinearity (maximum VIF = 1.98, condition number = 81.0), and the AIC comparison supported the quadratic production-ratio specification (150,795.0 versus 150,817.3).</w:t>
      </w:r>
    </w:p>
    <w:p>
      <w:pPr>
        <w:spacing w:line="480"/>
        <w:ind w:firstLine="720"/>
      </w:pPr>
      <w:r>
        <w:rPr>
          <w:rFonts w:ascii="Times New Roman" w:cs="Times New Roman" w:eastAsia="Times New Roman" w:hAnsi="Times New Roman"/>
          <w:b/>
          <w:bCs/>
        </w:rPr>
        <w:t xml:space="preserve">Practical Meaning.</w:t>
      </w:r>
      <w:r>
        <w:rPr>
          <w:rFonts w:ascii="Times New Roman" w:cs="Times New Roman" w:eastAsia="Times New Roman" w:hAnsi="Times New Roman"/>
        </w:rPr>
        <w:t xml:space="preserve"> Records reporting an action had about 14% higher </w:t>
      </w:r>
      <w:r>
        <w:rPr>
          <w:rFonts w:ascii="Times New Roman" w:cs="Times New Roman" w:eastAsia="Times New Roman" w:hAnsi="Times New Roman"/>
          <w:i/>
          <w:iCs/>
        </w:rPr>
        <w:t xml:space="preserve">odds</w:t>
      </w:r>
      <w:r>
        <w:rPr>
          <w:rFonts w:ascii="Times New Roman" w:cs="Times New Roman" w:eastAsia="Times New Roman" w:hAnsi="Times New Roman"/>
        </w:rPr>
        <w:t xml:space="preserve">, not 14% higher probability, of reaching the threshold, roughly 3 percentage points at the base rate. This is a modest marker, and because facilities choose whether to act and report, it does not show that the action caused the reduction.</w:t>
      </w:r>
    </w:p>
    <w:p>
      <w:pPr>
        <w:keepNext/>
        <w:spacing w:before="240" w:line="480"/>
      </w:pPr>
      <w:bookmarkStart w:name="tbl_7" w:id="111"/>
      <w:r>
        <w:rPr>
          <w:rFonts w:ascii="Times New Roman" w:cs="Times New Roman" w:eastAsia="Times New Roman" w:hAnsi="Times New Roman"/>
          <w:b/>
          <w:bCs/>
        </w:rPr>
        <w:t xml:space="preserve">Table 7</w:t>
      </w:r>
      <w:bookmarkEnd w:id="111"/>
    </w:p>
    <w:p>
      <w:pPr>
        <w:keepNext/>
        <w:spacing w:line="480"/>
      </w:pPr>
      <w:r>
        <w:rPr>
          <w:rFonts w:ascii="Times New Roman" w:cs="Times New Roman" w:eastAsia="Times New Roman" w:hAnsi="Times New Roman"/>
          <w:i/>
          <w:iCs/>
        </w:rPr>
        <w:t xml:space="preserve">RQ2 Adjusted Odds Ratios From the Facility-Clustered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1500"/>
        <w:gridCol w:w="2300"/>
        <w:gridCol w:w="1700"/>
      </w:tblGrid>
      <w:tr>
        <w:trPr>
          <w:cantSplit/>
          <w:tblHeader/>
        </w:trPr>
        <w:tc>
          <w:tcPr>
            <w:tcW w:type="dxa" w:w="38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Term</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i/>
                <w:iCs/>
                <w:sz w:val="18"/>
                <w:szCs w:val="18"/>
              </w:rPr>
              <w:t xml:space="preserve">OR</w:t>
            </w:r>
          </w:p>
        </w:tc>
        <w:tc>
          <w:tcPr>
            <w:tcW w:type="dxa" w:w="2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95% CI</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i/>
                <w:iCs/>
                <w:sz w:val="18"/>
                <w:szCs w:val="18"/>
              </w:rPr>
              <w:t xml:space="preserve">p</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Any reported action (exposure)</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1.143</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[1.058, 1.234]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Log(1 + current release)</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1.042</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[1.036, 1.047]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centered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1.047</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[0.977, 1.122]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.197</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squared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1.085</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[1.038, 1.135]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missing</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1.108</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[0.977, 1.256]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.110</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EPA carcinogen</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1.020</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[0.993, 1.048]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.140</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PBT chemical</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1.230</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[1.167, 1.297]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Subsector indicators (15 plus Other; reference NAICS 325)</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See </w:t>
            </w:r>
            <w:hyperlink w:history="1" w:anchor="tbl_F2">
              <w:r>
                <w:rPr>
                  <w:rFonts w:ascii="Times New Roman" w:cs="Times New Roman" w:eastAsia="Times New Roman" w:hAnsi="Times New Roman"/>
                  <w:color w:val="0563C1"/>
                  <w:sz w:val="18"/>
                  <w:szCs w:val="18"/>
                </w:rPr>
                <w:t xml:space="preserve">Table F2</w:t>
              </w:r>
            </w:hyperlink>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p>
        </w:tc>
      </w:tr>
      <w:tr>
        <w:trPr>
          <w:cantSplit/>
        </w:trPr>
        <w:tc>
          <w:tcPr>
            <w:tcW w:type="dxa" w:w="38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Transition indicators (reference 2020 to 2021)</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See </w:t>
            </w:r>
            <w:hyperlink w:history="1" w:anchor="tbl_F2">
              <w:r>
                <w:rPr>
                  <w:rFonts w:ascii="Times New Roman" w:cs="Times New Roman" w:eastAsia="Times New Roman" w:hAnsi="Times New Roman"/>
                  <w:color w:val="0563C1"/>
                  <w:sz w:val="18"/>
                  <w:szCs w:val="18"/>
                </w:rPr>
                <w:t xml:space="preserve">Table F2</w:t>
              </w:r>
            </w:hyperlink>
          </w:p>
        </w:tc>
        <w:tc>
          <w:tcPr>
            <w:tcW w:type="dxa" w:w="2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122,017 pound-reported records from 14,836 facilities; 38,513 met the reduction threshold. Standard errors were clustered by facility. Diagnostics: maximum variance inflation factor = 1.98; condition number = 81.0; AIC = 150,795.0 for the quadratic form versus 150,817.3 for the linear form. The complete coefficient table appears in </w:t>
      </w:r>
      <w:hyperlink w:history="1" w:anchor="app_F">
        <w:r>
          <w:rPr>
            <w:rFonts w:ascii="Times New Roman" w:cs="Times New Roman" w:eastAsia="Times New Roman" w:hAnsi="Times New Roman"/>
            <w:color w:val="0563C1"/>
            <w:sz w:val="24"/>
            <w:szCs w:val="24"/>
          </w:rPr>
          <w:t xml:space="preserve">Appendix F</w:t>
        </w:r>
      </w:hyperlink>
      <w:r>
        <w:rPr>
          <w:rFonts w:ascii="Times New Roman" w:cs="Times New Roman" w:eastAsia="Times New Roman" w:hAnsi="Times New Roman"/>
          <w:sz w:val="24"/>
          <w:szCs w:val="24"/>
        </w:rPr>
        <w:t xml:space="preserve">, </w:t>
      </w:r>
      <w:hyperlink w:history="1" w:anchor="tbl_F2">
        <w:r>
          <w:rPr>
            <w:rFonts w:ascii="Times New Roman" w:cs="Times New Roman" w:eastAsia="Times New Roman" w:hAnsi="Times New Roman"/>
            <w:color w:val="0563C1"/>
            <w:sz w:val="24"/>
            <w:szCs w:val="24"/>
          </w:rPr>
          <w:t xml:space="preserve">Table F2</w:t>
        </w:r>
      </w:hyperlink>
      <w:r>
        <w:rPr>
          <w:rFonts w:ascii="Times New Roman" w:cs="Times New Roman" w:eastAsia="Times New Roman" w:hAnsi="Times New Roman"/>
          <w:sz w:val="24"/>
          <w:szCs w:val="24"/>
        </w:rPr>
        <w:t xml:space="preserve">. AIC = Akaike information criterion; CI = confidence interval; NAICS = North American Industry Classification System;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PBT = persistent, bioaccumulative, and toxic.</w:t>
      </w:r>
    </w:p>
    <w:p>
      <w:pPr>
        <w:pStyle w:val="Heading3"/>
        <w:keepNext/>
        <w:spacing w:after="0" w:before="0" w:line="480"/>
      </w:pPr>
      <w:r>
        <w:rPr>
          <w:rFonts w:ascii="Times New Roman" w:cs="Times New Roman" w:eastAsia="Times New Roman" w:hAnsi="Times New Roman"/>
          <w:b/>
          <w:bCs/>
          <w:i/>
          <w:iCs/>
          <w:color w:val="000000"/>
          <w:sz w:val="24"/>
          <w:szCs w:val="24"/>
        </w:rPr>
        <w:t xml:space="preserve">Research Question 3: Action Types Compared With No Reported Action</w:t>
      </w:r>
    </w:p>
    <w:p>
      <w:pPr>
        <w:spacing w:line="480"/>
        <w:ind w:firstLine="720"/>
      </w:pPr>
      <w:r>
        <w:rPr>
          <w:rFonts w:ascii="Times New Roman" w:cs="Times New Roman" w:eastAsia="Times New Roman" w:hAnsi="Times New Roman"/>
          <w:b/>
          <w:bCs/>
        </w:rPr>
        <w:t xml:space="preserve">Hypotheses and Method.</w:t>
      </w:r>
      <w:r>
        <w:rPr>
          <w:rFonts w:ascii="Times New Roman" w:cs="Times New Roman" w:eastAsia="Times New Roman" w:hAnsi="Times New Roman"/>
        </w:rPr>
        <w:t xml:space="preserve"> For each action type, H</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its reduction rate equals the no-action rate (31.31%). H</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the rates differ. Five chi-square comparisons used Holm correction and facility-clustered checks.</w:t>
      </w:r>
    </w:p>
    <w:p>
      <w:pPr>
        <w:spacing w:line="480"/>
        <w:ind w:firstLine="720"/>
      </w:pPr>
      <w:r>
        <w:rPr>
          <w:rFonts w:ascii="Times New Roman" w:cs="Times New Roman" w:eastAsia="Times New Roman" w:hAnsi="Times New Roman"/>
          <w:b/>
          <w:bCs/>
        </w:rPr>
        <w:t xml:space="preserve">Result and Decision.</w:t>
      </w:r>
      <w:r>
        <w:rPr>
          <w:rFonts w:ascii="Times New Roman" w:cs="Times New Roman" w:eastAsia="Times New Roman" w:hAnsi="Times New Roman"/>
        </w:rPr>
        <w:t xml:space="preserve"> Two null hypotheses were rejected (</w:t>
      </w:r>
      <w:hyperlink w:history="1" w:anchor="tbl_8">
        <w:r>
          <w:rPr>
            <w:rFonts w:ascii="Times New Roman" w:cs="Times New Roman" w:eastAsia="Times New Roman" w:hAnsi="Times New Roman"/>
            <w:color w:val="0563C1"/>
          </w:rPr>
          <w:t xml:space="preserve">Table 8</w:t>
        </w:r>
      </w:hyperlink>
      <w:r>
        <w:rPr>
          <w:rFonts w:ascii="Times New Roman" w:cs="Times New Roman" w:eastAsia="Times New Roman" w:hAnsi="Times New Roman"/>
        </w:rPr>
        <w:t xml:space="preserve"> and </w:t>
      </w:r>
      <w:hyperlink w:history="1" w:anchor="fig_5">
        <w:r>
          <w:rPr>
            <w:rFonts w:ascii="Times New Roman" w:cs="Times New Roman" w:eastAsia="Times New Roman" w:hAnsi="Times New Roman"/>
            <w:color w:val="0563C1"/>
          </w:rPr>
          <w:t xml:space="preserve">Figure 5</w:t>
        </w:r>
      </w:hyperlink>
      <w:r>
        <w:rPr>
          <w:rFonts w:ascii="Times New Roman" w:cs="Times New Roman" w:eastAsia="Times New Roman" w:hAnsi="Times New Roman"/>
        </w:rPr>
        <w:t xml:space="preserve">). Material modification reduced at 38.95%, 7.64 points above no action, and operating practice or training at 35.53%, 4.23 points above, both with Holm-adjusted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.001 and both robust to clustering. The other three types did not survive correction.</w:t>
      </w:r>
    </w:p>
    <w:p>
      <w:pPr>
        <w:spacing w:line="480"/>
        <w:ind w:firstLine="720"/>
      </w:pPr>
      <w:r>
        <w:rPr>
          <w:rFonts w:ascii="Times New Roman" w:cs="Times New Roman" w:eastAsia="Times New Roman" w:hAnsi="Times New Roman"/>
          <w:b/>
          <w:bCs/>
        </w:rPr>
        <w:t xml:space="preserve">Practical Meaning.</w:t>
      </w:r>
      <w:r>
        <w:rPr>
          <w:rFonts w:ascii="Times New Roman" w:cs="Times New Roman" w:eastAsia="Times New Roman" w:hAnsi="Times New Roman"/>
        </w:rPr>
        <w:t xml:space="preserve"> These comparisons are observational and unadjusted, so they show where the clearest signals lie, not what causes reductions. For the other three types, “not statistically demonstrated” does not mean “ineffective,” because their intervals remain compatible with small positive or null differences.</w:t>
      </w:r>
    </w:p>
    <w:p>
      <w:pPr>
        <w:keepNext/>
        <w:spacing w:before="240" w:line="480"/>
      </w:pPr>
      <w:bookmarkStart w:name="tbl_8" w:id="112"/>
      <w:r>
        <w:rPr>
          <w:rFonts w:ascii="Times New Roman" w:cs="Times New Roman" w:eastAsia="Times New Roman" w:hAnsi="Times New Roman"/>
          <w:b/>
          <w:bCs/>
        </w:rPr>
        <w:t xml:space="preserve">Table 8</w:t>
      </w:r>
      <w:bookmarkEnd w:id="112"/>
    </w:p>
    <w:p>
      <w:pPr>
        <w:keepNext/>
        <w:spacing w:line="480"/>
      </w:pPr>
      <w:r>
        <w:rPr>
          <w:rFonts w:ascii="Times New Roman" w:cs="Times New Roman" w:eastAsia="Times New Roman" w:hAnsi="Times New Roman"/>
          <w:i/>
          <w:iCs/>
        </w:rPr>
        <w:t xml:space="preserve">RQ3 Reduction Rates by Action Type Compared With No Reported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700"/>
        <w:gridCol w:w="1400"/>
        <w:gridCol w:w="1400"/>
        <w:gridCol w:w="1350"/>
        <w:gridCol w:w="750"/>
        <w:gridCol w:w="1400"/>
        <w:gridCol w:w="710"/>
      </w:tblGrid>
      <w:tr>
        <w:trPr>
          <w:cantSplit/>
          <w:tblHeader/>
        </w:trPr>
        <w:tc>
          <w:tcPr>
            <w:tcW w:type="dxa" w:w="16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Action Type</w:t>
            </w:r>
          </w:p>
        </w:tc>
        <w:tc>
          <w:tcPr>
            <w:tcW w:type="dxa" w:w="7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i/>
                <w:iCs/>
                <w:sz w:val="16"/>
                <w:szCs w:val="16"/>
              </w:rPr>
              <w:t xml:space="preserve">n</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Rate, % [95% CI]</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Difference, pp [95% CI]</w:t>
            </w:r>
          </w:p>
        </w:tc>
        <w:tc>
          <w:tcPr>
            <w:tcW w:type="dxa" w:w="13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i/>
                <w:iCs/>
                <w:sz w:val="16"/>
                <w:szCs w:val="16"/>
              </w:rPr>
              <w:t xml:space="preserve">RR</w:t>
            </w:r>
            <w:r>
              <w:rPr>
                <w:rFonts w:ascii="Times New Roman" w:cs="Times New Roman" w:eastAsia="Times New Roman" w:hAnsi="Times New Roman"/>
                <w:b/>
                <w:bCs/>
                <w:sz w:val="16"/>
                <w:szCs w:val="16"/>
              </w:rPr>
              <w:t xml:space="preserve"> [95% CI]</w:t>
            </w:r>
          </w:p>
        </w:tc>
        <w:tc>
          <w:tcPr>
            <w:tcW w:type="dxa" w:w="7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Holm </w:t>
            </w:r>
            <w:r>
              <w:rPr>
                <w:rFonts w:ascii="Times New Roman" w:cs="Times New Roman" w:eastAsia="Times New Roman" w:hAnsi="Times New Roman"/>
                <w:b/>
                <w:bCs/>
                <w:i/>
                <w:iCs/>
                <w:sz w:val="16"/>
                <w:szCs w:val="16"/>
              </w:rPr>
              <w:t xml:space="preserve">p</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Clustered </w:t>
            </w:r>
            <w:r>
              <w:rPr>
                <w:rFonts w:ascii="Times New Roman" w:cs="Times New Roman" w:eastAsia="Times New Roman" w:hAnsi="Times New Roman"/>
                <w:b/>
                <w:bCs/>
                <w:i/>
                <w:iCs/>
                <w:sz w:val="16"/>
                <w:szCs w:val="16"/>
              </w:rPr>
              <w:t xml:space="preserve">OR</w:t>
            </w:r>
            <w:r>
              <w:rPr>
                <w:rFonts w:ascii="Times New Roman" w:cs="Times New Roman" w:eastAsia="Times New Roman" w:hAnsi="Times New Roman"/>
                <w:b/>
                <w:bCs/>
                <w:sz w:val="16"/>
                <w:szCs w:val="16"/>
              </w:rPr>
              <w:t xml:space="preserve"> [95% CI]</w:t>
            </w:r>
          </w:p>
        </w:tc>
        <w:tc>
          <w:tcPr>
            <w:tcW w:type="dxa" w:w="71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bscript"/>
              </w:rPr>
              <w:t xml:space="preserve">0</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Material modification</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6"/>
                <w:szCs w:val="16"/>
              </w:rPr>
              <w:t xml:space="preserve">778</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38.95 [35.58, 42.42]</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7.64 [4.20, 11.08]</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1.244 [1.139, 1.359]</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&lt; .001</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1.400 [1.170, 1.674]</w:t>
            </w:r>
          </w:p>
        </w:tc>
        <w:tc>
          <w:tcPr>
            <w:tcW w:type="dxa" w:w="7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Reject</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Operating practice or training</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6"/>
                <w:szCs w:val="16"/>
              </w:rPr>
              <w:t xml:space="preserve">2,015</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35.53 [33.47, 37.65]</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4.23 [2.12, 6.33]</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1.135 [1.070, 1.205]</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&lt; .001</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1.210 [1.060, 1.379]</w:t>
            </w:r>
          </w:p>
        </w:tc>
        <w:tc>
          <w:tcPr>
            <w:tcW w:type="dxa" w:w="7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Reject</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Inventory or material management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6"/>
                <w:szCs w:val="16"/>
              </w:rPr>
              <w:t xml:space="preserve">1,038</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33.53 [30.72, 36.45]</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2.22 [−0.66, 5.10]</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1.071 [0.983, 1.167]</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.27</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1.107 [0.930, 1.316]</w:t>
            </w:r>
          </w:p>
        </w:tc>
        <w:tc>
          <w:tcPr>
            <w:tcW w:type="dxa" w:w="7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Retain</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Process or equipment modification</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6"/>
                <w:szCs w:val="16"/>
              </w:rPr>
              <w:t xml:space="preserve">2,230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33.18 [31.26, 35.17]</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1.88 [−0.09, 3.85]</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1.060 [0.999, 1.125]</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.18</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1.090 [0.968, 1.226]</w:t>
            </w:r>
          </w:p>
        </w:tc>
        <w:tc>
          <w:tcPr>
            <w:tcW w:type="dxa" w:w="7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Retain</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Product modification</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6"/>
                <w:szCs w:val="16"/>
              </w:rPr>
              <w:t xml:space="preserve">361</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32.41 [27.79, 37.40]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1.10 [−3.73, 5.94]</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1.035 [0.892, 1.202]</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.69</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1.052 [0.812, 1.363]</w:t>
            </w:r>
          </w:p>
        </w:tc>
        <w:tc>
          <w:tcPr>
            <w:tcW w:type="dxa" w:w="7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Retain</w:t>
            </w:r>
          </w:p>
        </w:tc>
      </w:tr>
      <w:tr>
        <w:trPr>
          <w:cantSplit/>
        </w:trPr>
        <w:tc>
          <w:tcPr>
            <w:tcW w:type="dxa" w:w="16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 reported action (reference)</w:t>
            </w:r>
          </w:p>
        </w:tc>
        <w:tc>
          <w:tcPr>
            <w:tcW w:type="dxa" w:w="7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6"/>
                <w:szCs w:val="16"/>
              </w:rPr>
              <w:t xml:space="preserve">117,523</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6"/>
                <w:szCs w:val="16"/>
              </w:rPr>
              <w:t xml:space="preserve">31.31</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c>
          <w:tcPr>
            <w:tcW w:type="dxa" w:w="13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c>
          <w:tcPr>
            <w:tcW w:type="dxa" w:w="7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c>
          <w:tcPr>
            <w:tcW w:type="dxa" w:w="71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Action types are not mutually exclusive, so a record reporting more than one type appears in more than one comparison. The reference group contains only records with no valid action code. The smallest expected cell count was 113, so Pearson chi-square tests were valid. Clustered odds ratios come from facility-clustered logistic models of each type against the reference group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for material modification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.005 for operating practice or training). CI = confidence interval;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pp = percentage points; </w:t>
      </w:r>
      <w:r>
        <w:rPr>
          <w:rFonts w:ascii="Times New Roman" w:cs="Times New Roman" w:eastAsia="Times New Roman" w:hAnsi="Times New Roman"/>
          <w:i/>
          <w:iCs/>
          <w:sz w:val="24"/>
          <w:szCs w:val="24"/>
        </w:rPr>
        <w:t xml:space="preserve">RR</w:t>
      </w:r>
      <w:r>
        <w:rPr>
          <w:rFonts w:ascii="Times New Roman" w:cs="Times New Roman" w:eastAsia="Times New Roman" w:hAnsi="Times New Roman"/>
          <w:sz w:val="24"/>
          <w:szCs w:val="24"/>
        </w:rPr>
        <w:t xml:space="preserve"> = relative risk.</w:t>
      </w:r>
    </w:p>
    <w:p>
      <w:pPr>
        <w:keepNext/>
        <w:spacing w:before="240" w:line="480"/>
      </w:pPr>
      <w:bookmarkStart w:name="fig_5" w:id="113"/>
      <w:r>
        <w:rPr>
          <w:rFonts w:ascii="Times New Roman" w:cs="Times New Roman" w:eastAsia="Times New Roman" w:hAnsi="Times New Roman"/>
          <w:b/>
          <w:bCs/>
        </w:rPr>
        <w:t xml:space="preserve">Figure 5</w:t>
      </w:r>
      <w:bookmarkEnd w:id="113"/>
    </w:p>
    <w:p>
      <w:pPr>
        <w:keepNext/>
        <w:spacing w:line="480"/>
      </w:pPr>
      <w:r>
        <w:rPr>
          <w:rFonts w:ascii="Times New Roman" w:cs="Times New Roman" w:eastAsia="Times New Roman" w:hAnsi="Times New Roman"/>
          <w:i/>
          <w:iCs/>
        </w:rPr>
        <w:t xml:space="preserve">Difference in Reduction Rate by Action Type Relative to No Reported Action</w:t>
      </w:r>
    </w:p>
    <w:p>
      <w:pPr>
        <w:keepNext/>
        <w:spacing w:after="60" w:before="60" w:line="240" w:lineRule="auto"/>
        <w:jc w:val="center"/>
      </w:pPr>
      <w:r>
        <w:drawing>
          <wp:inline distT="0" distB="0" distL="0" distR="0">
            <wp:extent cx="5486400" cy="2219325"/>
            <wp:effectExtent t="0" r="0" b="0" l="0"/>
            <wp:docPr id="1" name="Figure 5" descr="Difference in Reduction Rate by Action Type Relative to No Reported Ac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2193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Points show the percentage-point (pp) difference from the no-action rate of 31.31%, with 95% confidence intervals. Teal marks the two action types that remained significant after Holm correction; gray marks the three that did not.</w:t>
      </w:r>
    </w:p>
    <w:p>
      <w:pPr>
        <w:pStyle w:val="Heading3"/>
        <w:keepNext/>
        <w:spacing w:after="0" w:before="0" w:line="480"/>
      </w:pPr>
      <w:r>
        <w:rPr>
          <w:rFonts w:ascii="Times New Roman" w:cs="Times New Roman" w:eastAsia="Times New Roman" w:hAnsi="Times New Roman"/>
          <w:b/>
          <w:bCs/>
          <w:i/>
          <w:iCs/>
          <w:color w:val="000000"/>
          <w:sz w:val="24"/>
          <w:szCs w:val="24"/>
        </w:rPr>
        <w:t xml:space="preserve">Research Question 4: Predicting Non-Reduction on the Sealed Holdout</w:t>
      </w:r>
    </w:p>
    <w:p>
      <w:pPr>
        <w:spacing w:line="480"/>
        <w:ind w:firstLine="720"/>
      </w:pPr>
      <w:r>
        <w:rPr>
          <w:rFonts w:ascii="Times New Roman" w:cs="Times New Roman" w:eastAsia="Times New Roman" w:hAnsi="Times New Roman"/>
          <w:b/>
          <w:bCs/>
        </w:rPr>
        <w:t xml:space="preserve">Hypotheses and Method.</w:t>
      </w:r>
      <w:r>
        <w:rPr>
          <w:rFonts w:ascii="Times New Roman" w:cs="Times New Roman" w:eastAsia="Times New Roman" w:hAnsi="Times New Roman"/>
        </w:rPr>
        <w:t xml:space="preserve"> For RQ4a, H</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holdout AUC equals .50. For RQ4b, H</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the elastic-net AUC does not exceed the baseline AUC. Each H</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states the reverse. The locked models were scored once on 39,500 holdout records.</w:t>
      </w:r>
    </w:p>
    <w:p>
      <w:pPr>
        <w:spacing w:line="480"/>
        <w:ind w:firstLine="720"/>
      </w:pPr>
      <w:r>
        <w:rPr>
          <w:rFonts w:ascii="Times New Roman" w:cs="Times New Roman" w:eastAsia="Times New Roman" w:hAnsi="Times New Roman"/>
          <w:b/>
          <w:bCs/>
        </w:rPr>
        <w:t xml:space="preserve">Result and Decision.</w:t>
      </w:r>
      <w:r>
        <w:rPr>
          <w:rFonts w:ascii="Times New Roman" w:cs="Times New Roman" w:eastAsia="Times New Roman" w:hAnsi="Times New Roman"/>
        </w:rPr>
        <w:t xml:space="preserve"> The elastic-net AUC was .523, 95% CI [.515, .532], and it exceeded the baseline by .021, 95% CI [.014, .027], so both null hypotheses were rejected (</w:t>
      </w:r>
      <w:hyperlink w:history="1" w:anchor="tbl_5">
        <w:r>
          <w:rPr>
            <w:rFonts w:ascii="Times New Roman" w:cs="Times New Roman" w:eastAsia="Times New Roman" w:hAnsi="Times New Roman"/>
            <w:color w:val="0563C1"/>
          </w:rPr>
          <w:t xml:space="preserve">Table 5</w:t>
        </w:r>
      </w:hyperlink>
      <w:r>
        <w:rPr>
          <w:rFonts w:ascii="Times New Roman" w:cs="Times New Roman" w:eastAsia="Times New Roman" w:hAnsi="Times New Roman"/>
        </w:rPr>
        <w:t xml:space="preserve">).</w:t>
      </w:r>
    </w:p>
    <w:p>
      <w:pPr>
        <w:spacing w:line="480"/>
        <w:ind w:firstLine="720"/>
      </w:pPr>
      <w:r>
        <w:rPr>
          <w:rFonts w:ascii="Times New Roman" w:cs="Times New Roman" w:eastAsia="Times New Roman" w:hAnsi="Times New Roman"/>
          <w:b/>
          <w:bCs/>
        </w:rPr>
        <w:t xml:space="preserve">Practical Meaning.</w:t>
      </w:r>
      <w:r>
        <w:rPr>
          <w:rFonts w:ascii="Times New Roman" w:cs="Times New Roman" w:eastAsia="Times New Roman" w:hAnsi="Times New Roman"/>
        </w:rPr>
        <w:t xml:space="preserve"> The gain is reliable but modest. An AUC of .523 ranks a non-reducer above a reducer only slightly more often than chance, so the model suits ordering a review queue, not automated classification. A real association (RQ2) can coexist with weak prediction, because an odds ratio describes an average group difference, while prediction must separate individual records.</w:t>
      </w:r>
    </w:p>
    <w:p>
      <w:pPr>
        <w:pStyle w:val="Heading2"/>
        <w:keepNext/>
        <w:spacing w:after="0" w:before="0" w:line="480"/>
      </w:pPr>
      <w:r>
        <w:rPr>
          <w:rFonts w:ascii="Times New Roman" w:cs="Times New Roman" w:eastAsia="Times New Roman" w:hAnsi="Times New Roman"/>
          <w:b/>
          <w:bCs/>
          <w:color w:val="000000"/>
          <w:sz w:val="24"/>
          <w:szCs w:val="24"/>
        </w:rPr>
        <w:t xml:space="preserve">Sensitivity Analyses</w:t>
      </w:r>
    </w:p>
    <w:p>
      <w:pPr>
        <w:keepNext w:val="false"/>
        <w:spacing w:after="0" w:before="0" w:line="480"/>
        <w:ind w:firstLine="720"/>
        <w:jc w:val="left"/>
      </w:pPr>
      <w:r>
        <w:rPr>
          <w:rFonts w:ascii="Times New Roman" w:cs="Times New Roman" w:eastAsia="Times New Roman" w:hAnsi="Times New Roman"/>
        </w:rPr>
        <w:t xml:space="preserve">All six sensitivity checks supported the main conclusions (</w:t>
      </w:r>
      <w:hyperlink w:history="1" w:anchor="app_F">
        <w:r>
          <w:rPr>
            <w:rFonts w:ascii="Times New Roman" w:cs="Times New Roman" w:eastAsia="Times New Roman" w:hAnsi="Times New Roman"/>
            <w:color w:val="0563C1"/>
          </w:rPr>
          <w:t xml:space="preserve">Appendix F</w:t>
        </w:r>
      </w:hyperlink>
      <w:r>
        <w:rPr>
          <w:rFonts w:ascii="Times New Roman" w:cs="Times New Roman" w:eastAsia="Times New Roman" w:hAnsi="Times New Roman"/>
        </w:rPr>
        <w:t xml:space="preserve">, </w:t>
      </w:r>
      <w:hyperlink w:history="1" w:anchor="tbl_F1">
        <w:r>
          <w:rPr>
            <w:rFonts w:ascii="Times New Roman" w:cs="Times New Roman" w:eastAsia="Times New Roman" w:hAnsi="Times New Roman"/>
            <w:color w:val="0563C1"/>
          </w:rPr>
          <w:t xml:space="preserve">Table F1</w:t>
        </w:r>
      </w:hyperlink>
      <w:r>
        <w:rPr>
          <w:rFonts w:ascii="Times New Roman" w:cs="Times New Roman" w:eastAsia="Times New Roman" w:hAnsi="Times New Roman"/>
        </w:rPr>
        <w:t xml:space="preserve">). Without the 2020-to-2021 transition, the adjusted odds ratio was 1.12, 95% CI [1.03, 1.22], and on complete cases it was 1.14. Clustered versions of RQ1 and RQ3 agreed with the main tests, and dioxins were kept out of the pound-reported models.</w:t>
      </w:r>
    </w:p>
    <w:p>
      <w:pPr>
        <w:pStyle w:val="Heading2"/>
        <w:keepNext/>
        <w:spacing w:after="0" w:before="0" w:line="480"/>
      </w:pPr>
      <w:r>
        <w:rPr>
          <w:rFonts w:ascii="Times New Roman" w:cs="Times New Roman" w:eastAsia="Times New Roman" w:hAnsi="Times New Roman"/>
          <w:b/>
          <w:bCs/>
          <w:color w:val="000000"/>
          <w:sz w:val="24"/>
          <w:szCs w:val="24"/>
        </w:rPr>
        <w:t xml:space="preserve">Screening and Ranking Results</w:t>
      </w:r>
    </w:p>
    <w:p>
      <w:pPr>
        <w:keepNext w:val="false"/>
        <w:spacing w:after="0" w:before="0" w:line="480"/>
        <w:ind w:firstLine="720"/>
        <w:jc w:val="left"/>
      </w:pPr>
      <w:r>
        <w:rPr>
          <w:rFonts w:ascii="Times New Roman" w:cs="Times New Roman" w:eastAsia="Times New Roman" w:hAnsi="Times New Roman"/>
        </w:rPr>
        <w:t xml:space="preserve">Because no single cutoff separated the classes well, holdout records were ranked by predicted risk (</w:t>
      </w:r>
      <w:hyperlink w:history="1" w:anchor="tbl_9">
        <w:r>
          <w:rPr>
            <w:rFonts w:ascii="Times New Roman" w:cs="Times New Roman" w:eastAsia="Times New Roman" w:hAnsi="Times New Roman"/>
            <w:color w:val="0563C1"/>
          </w:rPr>
          <w:t xml:space="preserve">Table 9</w:t>
        </w:r>
      </w:hyperlink>
      <w:r>
        <w:rPr>
          <w:rFonts w:ascii="Times New Roman" w:cs="Times New Roman" w:eastAsia="Times New Roman" w:hAnsi="Times New Roman"/>
        </w:rPr>
        <w:t xml:space="preserve"> and </w:t>
      </w:r>
      <w:hyperlink w:history="1" w:anchor="fig_6">
        <w:r>
          <w:rPr>
            <w:rFonts w:ascii="Times New Roman" w:cs="Times New Roman" w:eastAsia="Times New Roman" w:hAnsi="Times New Roman"/>
            <w:color w:val="0563C1"/>
          </w:rPr>
          <w:t xml:space="preserve">Figure 6</w:t>
        </w:r>
      </w:hyperlink>
      <w:r>
        <w:rPr>
          <w:rFonts w:ascii="Times New Roman" w:cs="Times New Roman" w:eastAsia="Times New Roman" w:hAnsi="Times New Roman"/>
        </w:rPr>
        <w:t xml:space="preserve">). Among the top 5%, 73.9% did not reduce, compared with a base rate of about 68%, and the rate faded to 70.7% in the top 30%.</w:t>
      </w:r>
    </w:p>
    <w:p>
      <w:pPr>
        <w:keepNext w:val="false"/>
        <w:spacing w:after="0" w:before="0" w:line="480"/>
        <w:ind w:firstLine="720"/>
        <w:jc w:val="left"/>
      </w:pPr>
      <w:r>
        <w:rPr>
          <w:rFonts w:ascii="Times New Roman" w:cs="Times New Roman" w:eastAsia="Times New Roman" w:hAnsi="Times New Roman"/>
        </w:rPr>
        <w:t xml:space="preserve">In business terms, a team reviewing about 2,000 of roughly 40,000 records from the top of the list would find about 117 more genuine non-reducers than an unranked review of the same size. This is an approximate operational estimate, not a guaranteed saving.</w:t>
      </w:r>
    </w:p>
    <w:p>
      <w:pPr>
        <w:keepNext/>
        <w:spacing w:before="240" w:line="480"/>
      </w:pPr>
      <w:bookmarkStart w:name="tbl_9" w:id="114"/>
      <w:r>
        <w:rPr>
          <w:rFonts w:ascii="Times New Roman" w:cs="Times New Roman" w:eastAsia="Times New Roman" w:hAnsi="Times New Roman"/>
          <w:b/>
          <w:bCs/>
        </w:rPr>
        <w:t xml:space="preserve">Table 9</w:t>
      </w:r>
      <w:bookmarkEnd w:id="114"/>
    </w:p>
    <w:p>
      <w:pPr>
        <w:keepNext/>
        <w:spacing w:line="480"/>
      </w:pPr>
      <w:r>
        <w:rPr>
          <w:rFonts w:ascii="Times New Roman" w:cs="Times New Roman" w:eastAsia="Times New Roman" w:hAnsi="Times New Roman"/>
          <w:i/>
          <w:iCs/>
        </w:rPr>
        <w:t xml:space="preserve">Screening Lift on the Sealed Holdout When Reviewing the Highest-Risk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1500"/>
        <w:gridCol w:w="1000"/>
        <w:gridCol w:w="1360"/>
        <w:gridCol w:w="1400"/>
      </w:tblGrid>
      <w:tr>
        <w:trPr>
          <w:cantSplit/>
          <w:tblHeader/>
        </w:trPr>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Review Depth</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7"/>
                <w:szCs w:val="17"/>
              </w:rPr>
              <w:t xml:space="preserve">Records Reviewed</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7"/>
                <w:szCs w:val="17"/>
              </w:rPr>
              <w:t xml:space="preserve">Non-Reducers Found</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Non-Reduction Rate (Precision)</w:t>
            </w:r>
          </w:p>
        </w:tc>
        <w:tc>
          <w:tcPr>
            <w:tcW w:type="dxa" w:w="1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Lift</w:t>
            </w:r>
          </w:p>
        </w:tc>
        <w:tc>
          <w:tcPr>
            <w:tcW w:type="dxa" w:w="13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Share of All Non-Reducers (Recall)</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7"/>
                <w:szCs w:val="17"/>
              </w:rPr>
              <w:t xml:space="preserve">Additional vs. Unranked Review</w:t>
            </w:r>
          </w:p>
        </w:tc>
      </w:tr>
      <w:tr>
        <w:trPr>
          <w:cantSplit/>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Top 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1,975</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1,459</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73.87%</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1.087</w:t>
            </w:r>
          </w:p>
        </w:tc>
        <w:tc>
          <w:tcPr>
            <w:tcW w:type="dxa" w:w="1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5.4%</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About 117</w:t>
            </w:r>
          </w:p>
        </w:tc>
      </w:tr>
      <w:tr>
        <w:trPr>
          <w:cantSplit/>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Top 10%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3,950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2,865</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72.53%</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1.067</w:t>
            </w:r>
          </w:p>
        </w:tc>
        <w:tc>
          <w:tcPr>
            <w:tcW w:type="dxa" w:w="1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10.7%</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About 181</w:t>
            </w:r>
          </w:p>
        </w:tc>
      </w:tr>
      <w:tr>
        <w:trPr>
          <w:cantSplit/>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Top 20%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7,900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5,640</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71.39%</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1.051</w:t>
            </w:r>
          </w:p>
        </w:tc>
        <w:tc>
          <w:tcPr>
            <w:tcW w:type="dxa" w:w="1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21.0%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About 272</w:t>
            </w:r>
          </w:p>
        </w:tc>
      </w:tr>
      <w:tr>
        <w:trPr>
          <w:cantSplit/>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Top 30%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11,850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8,376</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70.68%</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1.040</w:t>
            </w:r>
          </w:p>
        </w:tc>
        <w:tc>
          <w:tcPr>
            <w:tcW w:type="dxa" w:w="1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31.2%</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About 324</w:t>
            </w:r>
          </w:p>
        </w:tc>
      </w:tr>
      <w:tr>
        <w:trPr>
          <w:cantSplit/>
        </w:trPr>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All records (base rate)</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39,500</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26,839</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67.95%</w:t>
            </w:r>
          </w:p>
        </w:tc>
        <w:tc>
          <w:tcPr>
            <w:tcW w:type="dxa" w:w="1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1.000</w:t>
            </w:r>
          </w:p>
        </w:tc>
        <w:tc>
          <w:tcPr>
            <w:tcW w:type="dxa" w:w="13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100.0%</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Lift is the non-reduction rate in the reviewed slice divided by the base rate. The last column compares each ranked slice with the expected yield of an unranked review of the same size at the base rate; counts were derived from the reported rates and review sizes and are approximate.</w:t>
      </w:r>
    </w:p>
    <w:p>
      <w:pPr>
        <w:keepNext/>
        <w:spacing w:before="240" w:line="480"/>
      </w:pPr>
      <w:bookmarkStart w:name="fig_6" w:id="115"/>
      <w:r>
        <w:rPr>
          <w:rFonts w:ascii="Times New Roman" w:cs="Times New Roman" w:eastAsia="Times New Roman" w:hAnsi="Times New Roman"/>
          <w:b/>
          <w:bCs/>
        </w:rPr>
        <w:t xml:space="preserve">Figure 6</w:t>
      </w:r>
      <w:bookmarkEnd w:id="115"/>
    </w:p>
    <w:p>
      <w:pPr>
        <w:keepNext/>
        <w:spacing w:line="480"/>
      </w:pPr>
      <w:r>
        <w:rPr>
          <w:rFonts w:ascii="Times New Roman" w:cs="Times New Roman" w:eastAsia="Times New Roman" w:hAnsi="Times New Roman"/>
          <w:i/>
          <w:iCs/>
        </w:rPr>
        <w:t xml:space="preserve">Observed Non-Reduction Rate Among the Highest-Ranked Holdout Records</w:t>
      </w:r>
    </w:p>
    <w:p>
      <w:pPr>
        <w:keepNext/>
        <w:spacing w:after="60" w:before="60" w:line="240" w:lineRule="auto"/>
        <w:jc w:val="center"/>
      </w:pPr>
      <w:r>
        <w:drawing>
          <wp:inline distT="0" distB="0" distL="0" distR="0">
            <wp:extent cx="4848225" cy="2695575"/>
            <wp:effectExtent t="0" r="0" b="0" l="0"/>
            <wp:docPr id="1" name="Figure 6" descr="Observed Non-Reduction Rate Among the Highest-Ranked Holdout Record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6955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Records were ranked by the locked elastic-net model’s predicted risk of non-reduction. The dashed line marks the base rate across all 39,500 pound-reported holdout records.</w:t>
      </w:r>
    </w:p>
    <w:p>
      <w:pPr>
        <w:pStyle w:val="Heading2"/>
        <w:keepNext/>
        <w:spacing w:after="0" w:before="0" w:line="480"/>
      </w:pPr>
      <w:r>
        <w:rPr>
          <w:rFonts w:ascii="Times New Roman" w:cs="Times New Roman" w:eastAsia="Times New Roman" w:hAnsi="Times New Roman"/>
          <w:b/>
          <w:bCs/>
          <w:color w:val="000000"/>
          <w:sz w:val="24"/>
          <w:szCs w:val="24"/>
        </w:rPr>
        <w:t xml:space="preserve">Overall Interpretation</w:t>
      </w:r>
    </w:p>
    <w:p>
      <w:pPr>
        <w:keepNext w:val="false"/>
        <w:spacing w:after="0" w:before="0" w:line="480"/>
        <w:ind w:firstLine="720"/>
        <w:jc w:val="left"/>
      </w:pPr>
      <w:hyperlink w:history="1" w:anchor="tbl_10">
        <w:r>
          <w:rPr>
            <w:rFonts w:ascii="Times New Roman" w:cs="Times New Roman" w:eastAsia="Times New Roman" w:hAnsi="Times New Roman"/>
            <w:color w:val="0563C1"/>
          </w:rPr>
          <w:t xml:space="preserve">Table 10</w:t>
        </w:r>
      </w:hyperlink>
      <w:r>
        <w:rPr>
          <w:rFonts w:ascii="Times New Roman" w:cs="Times New Roman" w:eastAsia="Times New Roman" w:hAnsi="Times New Roman"/>
        </w:rPr>
        <w:t xml:space="preserve"> summarizes the decisions. Time and industry shift reduction rates, reported actions carry a real but modest adjusted association, two action types show the clearest signals, and the screening model ranks records only slightly better than chance and the baseline.</w:t>
      </w:r>
    </w:p>
    <w:p>
      <w:pPr>
        <w:keepNext w:val="false"/>
        <w:spacing w:after="0" w:before="0" w:line="480"/>
        <w:ind w:firstLine="720"/>
        <w:jc w:val="left"/>
      </w:pPr>
      <w:r>
        <w:rPr>
          <w:rFonts w:ascii="Times New Roman" w:cs="Times New Roman" w:eastAsia="Times New Roman" w:hAnsi="Times New Roman"/>
        </w:rPr>
        <w:t xml:space="preserve">The main constraint was information content. Actions appear on fewer than 5% of records and record only that a box was checked, not cost, timing, or completion. The heavy penalty selected in tuning and the ample events per parameter point to the same conclusion.</w:t>
      </w:r>
    </w:p>
    <w:p>
      <w:pPr>
        <w:keepNext/>
        <w:spacing w:before="240" w:line="480"/>
      </w:pPr>
      <w:bookmarkStart w:name="tbl_10" w:id="116"/>
      <w:r>
        <w:rPr>
          <w:rFonts w:ascii="Times New Roman" w:cs="Times New Roman" w:eastAsia="Times New Roman" w:hAnsi="Times New Roman"/>
          <w:b/>
          <w:bCs/>
        </w:rPr>
        <w:t xml:space="preserve">Table 10</w:t>
      </w:r>
      <w:bookmarkEnd w:id="116"/>
    </w:p>
    <w:p>
      <w:pPr>
        <w:keepNext/>
        <w:spacing w:line="480"/>
      </w:pPr>
      <w:r>
        <w:rPr>
          <w:rFonts w:ascii="Times New Roman" w:cs="Times New Roman" w:eastAsia="Times New Roman" w:hAnsi="Times New Roman"/>
          <w:i/>
          <w:iCs/>
        </w:rPr>
        <w:t xml:space="preserve">Summary of Hypothesis Decisions and Practical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400"/>
        <w:gridCol w:w="1000"/>
        <w:gridCol w:w="2760"/>
      </w:tblGrid>
      <w:tr>
        <w:trPr>
          <w:cantSplit/>
          <w:tblHeader/>
        </w:trPr>
        <w:tc>
          <w:tcPr>
            <w:tcW w:type="dxa" w:w="7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RQ</w:t>
            </w:r>
          </w:p>
        </w:tc>
        <w:tc>
          <w:tcPr>
            <w:tcW w:type="dxa" w:w="2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Test</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Key Statistic</w:t>
            </w:r>
          </w:p>
        </w:tc>
        <w:tc>
          <w:tcPr>
            <w:tcW w:type="dxa" w:w="1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Decision</w:t>
            </w:r>
          </w:p>
        </w:tc>
        <w:tc>
          <w:tcPr>
            <w:tcW w:type="dxa" w:w="27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Size and Practical Meaning</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RQ1</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Chi-square tests by transition and subsector</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χ</w:t>
            </w:r>
            <w:r>
              <w:rPr>
                <w:rFonts w:ascii="Times New Roman" w:cs="Times New Roman" w:eastAsia="Times New Roman" w:hAnsi="Times New Roman"/>
                <w:sz w:val="17"/>
                <w:szCs w:val="17"/>
                <w:vertAlign w:val="superscript"/>
              </w:rPr>
              <w:t xml:space="preserve">2</w:t>
            </w:r>
            <w:r>
              <w:rPr>
                <w:rFonts w:ascii="Times New Roman" w:cs="Times New Roman" w:eastAsia="Times New Roman" w:hAnsi="Times New Roman"/>
                <w:sz w:val="17"/>
                <w:szCs w:val="17"/>
              </w:rPr>
              <w:t xml:space="preserve">(2) = 663.72; χ</w:t>
            </w:r>
            <w:r>
              <w:rPr>
                <w:rFonts w:ascii="Times New Roman" w:cs="Times New Roman" w:eastAsia="Times New Roman" w:hAnsi="Times New Roman"/>
                <w:sz w:val="17"/>
                <w:szCs w:val="17"/>
                <w:vertAlign w:val="superscript"/>
              </w:rPr>
              <w:t xml:space="preserve">2</w:t>
            </w:r>
            <w:r>
              <w:rPr>
                <w:rFonts w:ascii="Times New Roman" w:cs="Times New Roman" w:eastAsia="Times New Roman" w:hAnsi="Times New Roman"/>
                <w:sz w:val="17"/>
                <w:szCs w:val="17"/>
              </w:rPr>
              <w:t xml:space="preserve">(14) = 280.04; both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.001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Reject</w:t>
            </w:r>
          </w:p>
        </w:tc>
        <w:tc>
          <w:tcPr>
            <w:tcW w:type="dxa" w:w="2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Small effects (</w:t>
            </w:r>
            <w:r>
              <w:rPr>
                <w:rFonts w:ascii="Times New Roman" w:cs="Times New Roman" w:eastAsia="Times New Roman" w:hAnsi="Times New Roman"/>
                <w:i/>
                <w:iCs/>
                <w:sz w:val="17"/>
                <w:szCs w:val="17"/>
              </w:rPr>
              <w:t xml:space="preserve">V</w:t>
            </w:r>
            <w:r>
              <w:rPr>
                <w:rFonts w:ascii="Times New Roman" w:cs="Times New Roman" w:eastAsia="Times New Roman" w:hAnsi="Times New Roman"/>
                <w:sz w:val="17"/>
                <w:szCs w:val="17"/>
              </w:rPr>
              <w:t xml:space="preserve"> = .073 and .048); control for time and industry</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Facility-clustered logistic regression</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 = 1.14 [1.06, 1.23],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.001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Reject</w:t>
            </w:r>
          </w:p>
        </w:tc>
        <w:tc>
          <w:tcPr>
            <w:tcW w:type="dxa" w:w="2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About 14% higher odds; modest marker, not proof of cause</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RQ3</w:t>
            </w:r>
          </w:p>
        </w:tc>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Five Holm-corrected comparisons</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Material +7.64 pp; operating practice +4.23 pp; both Holm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.001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Reject for 2 of 5</w:t>
            </w:r>
          </w:p>
        </w:tc>
        <w:tc>
          <w:tcPr>
            <w:tcW w:type="dxa" w:w="2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Clearest signals for further evaluation; other three not demonstrated</w:t>
            </w:r>
          </w:p>
        </w:tc>
      </w:tr>
      <w:tr>
        <w:trPr>
          <w:cantSplit/>
        </w:trPr>
        <w:tc>
          <w:tcPr>
            <w:tcW w:type="dxa" w:w="7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RQ4</w:t>
            </w:r>
          </w:p>
        </w:tc>
        <w:tc>
          <w:tcPr>
            <w:tcW w:type="dxa" w:w="2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Elastic net versus chance and baseline on sealed holdout</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AUC = .523 [.515, .532] versus .502; difference .021 [.014, .027]</w:t>
            </w:r>
          </w:p>
        </w:tc>
        <w:tc>
          <w:tcPr>
            <w:tcW w:type="dxa" w:w="1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7"/>
                <w:szCs w:val="17"/>
              </w:rPr>
              <w:t xml:space="preserve">Reject</w:t>
            </w:r>
          </w:p>
        </w:tc>
        <w:tc>
          <w:tcPr>
            <w:tcW w:type="dxa" w:w="27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Reliable but modest gain; suitable for triage, not automation</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Brackets show 95% confidence intervals. AUC = area under the receiver operating characteristic curve;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pp = percentage points;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p>
    <w:p>
      <w:pPr>
        <w:pStyle w:val="Heading2"/>
        <w:keepNext/>
        <w:spacing w:after="0" w:before="0" w:line="480"/>
      </w:pPr>
      <w:r>
        <w:rPr>
          <w:rFonts w:ascii="Times New Roman" w:cs="Times New Roman" w:eastAsia="Times New Roman" w:hAnsi="Times New Roman"/>
          <w:b/>
          <w:bCs/>
          <w:color w:val="000000"/>
          <w:sz w:val="24"/>
          <w:szCs w:val="24"/>
        </w:rPr>
        <w:t xml:space="preserve">Practical Significance</w:t>
      </w:r>
    </w:p>
    <w:p>
      <w:pPr>
        <w:keepNext w:val="false"/>
        <w:spacing w:after="0" w:before="0" w:line="480"/>
        <w:ind w:firstLine="720"/>
        <w:jc w:val="left"/>
      </w:pPr>
      <w:r>
        <w:rPr>
          <w:rFonts w:ascii="Times New Roman" w:cs="Times New Roman" w:eastAsia="Times New Roman" w:hAnsi="Times New Roman"/>
        </w:rPr>
        <w:t xml:space="preserve">The results support comparing facilities with peers rather than with raw before-and-after changes, treating a reported action as a modest positive marker, prioritizing the two strongest action types for further evaluation, and ordering fixed review capacity with the ranked list. The model tells a team where to look first, not what to conclude.</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Implementation and User Benefit</w:t>
      </w:r>
    </w:p>
    <w:p>
      <w:pPr>
        <w:keepNext w:val="false"/>
        <w:spacing w:after="0" w:before="0" w:line="480"/>
        <w:ind w:firstLine="720"/>
        <w:jc w:val="left"/>
      </w:pPr>
      <w:r>
        <w:rPr>
          <w:rFonts w:ascii="Times New Roman" w:cs="Times New Roman" w:eastAsia="Times New Roman" w:hAnsi="Times New Roman"/>
        </w:rPr>
        <w:t xml:space="preserve">The results translate into four practical benefits for an EHS team: </w:t>
      </w:r>
      <w:r>
        <w:rPr>
          <w:rFonts w:ascii="Times New Roman" w:cs="Times New Roman" w:eastAsia="Times New Roman" w:hAnsi="Times New Roman"/>
          <w:b/>
          <w:bCs/>
        </w:rPr>
        <w:t xml:space="preserve">(a) triage with the model, (b) prioritized evaluation of the strongest action types, (c) weighting by pounds at risk, and (d) benchmarking against peers and trend.</w:t>
      </w:r>
      <w:r>
        <w:rPr>
          <w:rFonts w:ascii="Times New Roman" w:cs="Times New Roman" w:eastAsia="Times New Roman" w:hAnsi="Times New Roman"/>
        </w:rPr>
        <w:t xml:space="preserve"> All four use existing TRI data, need no new data collection, systems, or authority, and leave every decision with a person. This section describes how the model would be deployed and used and then sets out each benefit with its evidence, its value to users, and its main caution.</w:t>
      </w:r>
    </w:p>
    <w:p>
      <w:pPr>
        <w:pStyle w:val="Heading2"/>
        <w:keepNext/>
        <w:spacing w:after="0" w:before="0" w:line="480"/>
      </w:pPr>
      <w:r>
        <w:rPr>
          <w:rFonts w:ascii="Times New Roman" w:cs="Times New Roman" w:eastAsia="Times New Roman" w:hAnsi="Times New Roman"/>
          <w:b/>
          <w:bCs/>
          <w:color w:val="000000"/>
          <w:sz w:val="24"/>
          <w:szCs w:val="24"/>
        </w:rPr>
        <w:t xml:space="preserve">Deployment Approach</w:t>
      </w:r>
    </w:p>
    <w:p>
      <w:pPr>
        <w:keepNext w:val="false"/>
        <w:spacing w:after="0" w:before="0" w:line="480"/>
        <w:ind w:firstLine="720"/>
        <w:jc w:val="left"/>
      </w:pPr>
      <w:r>
        <w:rPr>
          <w:rFonts w:ascii="Times New Roman" w:cs="Times New Roman" w:eastAsia="Times New Roman" w:hAnsi="Times New Roman"/>
        </w:rPr>
        <w:t xml:space="preserve">No production application was built. A realistic deployment is an annual batch process: after each EPA data release, the team runs the existing pipeline, applies the locked feature recipe, scores each record, and publishes a ranked spreadsheet or dashboard. The model should be re-validated on the latest completed transition before each cycle.</w:t>
      </w:r>
    </w:p>
    <w:p>
      <w:pPr>
        <w:pStyle w:val="Heading2"/>
        <w:keepNext/>
        <w:spacing w:after="0" w:before="0" w:line="480"/>
      </w:pPr>
      <w:r>
        <w:rPr>
          <w:rFonts w:ascii="Times New Roman" w:cs="Times New Roman" w:eastAsia="Times New Roman" w:hAnsi="Times New Roman"/>
          <w:b/>
          <w:bCs/>
          <w:color w:val="000000"/>
          <w:sz w:val="24"/>
          <w:szCs w:val="24"/>
        </w:rPr>
        <w:t xml:space="preserve">System Integration</w:t>
      </w:r>
    </w:p>
    <w:p>
      <w:pPr>
        <w:keepNext w:val="false"/>
        <w:spacing w:after="0" w:before="0" w:line="480"/>
        <w:ind w:firstLine="720"/>
        <w:jc w:val="left"/>
      </w:pPr>
      <w:r>
        <w:rPr>
          <w:rFonts w:ascii="Times New Roman" w:cs="Times New Roman" w:eastAsia="Times New Roman" w:hAnsi="Times New Roman"/>
        </w:rPr>
        <w:t xml:space="preserve">The list can join internal systems through TRI facility and chemical identifiers and feed existing review calendars or environmental management systems. A named owner should reassess performance and calibration each reporting cycle and update the model if needed. It should not be used punitively, which could change reporting behavior and weaken the signal.</w:t>
      </w:r>
    </w:p>
    <w:p>
      <w:pPr>
        <w:pStyle w:val="Heading2"/>
        <w:keepNext/>
        <w:spacing w:after="0" w:before="0" w:line="480"/>
      </w:pPr>
      <w:r>
        <w:rPr>
          <w:rFonts w:ascii="Times New Roman" w:cs="Times New Roman" w:eastAsia="Times New Roman" w:hAnsi="Times New Roman"/>
          <w:b/>
          <w:bCs/>
          <w:color w:val="000000"/>
          <w:sz w:val="24"/>
          <w:szCs w:val="24"/>
        </w:rPr>
        <w:t xml:space="preserve">User Interaction</w:t>
      </w:r>
    </w:p>
    <w:p>
      <w:pPr>
        <w:keepNext w:val="false"/>
        <w:spacing w:after="0" w:before="0" w:line="480"/>
        <w:ind w:firstLine="720"/>
        <w:jc w:val="left"/>
      </w:pPr>
      <w:r>
        <w:rPr>
          <w:rFonts w:ascii="Times New Roman" w:cs="Times New Roman" w:eastAsia="Times New Roman" w:hAnsi="Times New Roman"/>
        </w:rPr>
        <w:t xml:space="preserve">Reviewers receive one row per record with predicted risk, rank, release quantity, an optional pounds-at-risk score, the subsector benchmark, and the main features behind the score. They examine top-ranked records with site knowledge and record their own decisions.</w:t>
      </w:r>
    </w:p>
    <w:p>
      <w:pPr>
        <w:pStyle w:val="Heading2"/>
        <w:keepNext/>
        <w:spacing w:after="0" w:before="0" w:line="480"/>
      </w:pPr>
      <w:r>
        <w:rPr>
          <w:rFonts w:ascii="Times New Roman" w:cs="Times New Roman" w:eastAsia="Times New Roman" w:hAnsi="Times New Roman"/>
          <w:b/>
          <w:bCs/>
          <w:color w:val="000000"/>
          <w:sz w:val="24"/>
          <w:szCs w:val="24"/>
        </w:rPr>
        <w:t xml:space="preserve">Benefits to Users</w:t>
      </w:r>
    </w:p>
    <w:p>
      <w:pPr>
        <w:keepNext w:val="false"/>
        <w:spacing w:after="0" w:before="0" w:line="480"/>
        <w:ind w:firstLine="720"/>
        <w:jc w:val="left"/>
      </w:pPr>
      <w:hyperlink w:history="1" w:anchor="tbl_11">
        <w:r>
          <w:rPr>
            <w:rFonts w:ascii="Times New Roman" w:cs="Times New Roman" w:eastAsia="Times New Roman" w:hAnsi="Times New Roman"/>
            <w:color w:val="0563C1"/>
          </w:rPr>
          <w:t xml:space="preserve">Table 11</w:t>
        </w:r>
      </w:hyperlink>
      <w:r>
        <w:rPr>
          <w:rFonts w:ascii="Times New Roman" w:cs="Times New Roman" w:eastAsia="Times New Roman" w:hAnsi="Times New Roman"/>
        </w:rPr>
        <w:t xml:space="preserve"> summarizes the four benefits. It separates what the data demonstrated from what an organization could do with it and states what the user gains and the main caution for each.</w:t>
      </w:r>
    </w:p>
    <w:p>
      <w:pPr>
        <w:keepNext/>
        <w:spacing w:before="240" w:line="480"/>
      </w:pPr>
      <w:bookmarkStart w:name="tbl_11" w:id="117"/>
      <w:r>
        <w:rPr>
          <w:rFonts w:ascii="Times New Roman" w:cs="Times New Roman" w:eastAsia="Times New Roman" w:hAnsi="Times New Roman"/>
          <w:b/>
          <w:bCs/>
        </w:rPr>
        <w:t xml:space="preserve">Table 11</w:t>
      </w:r>
      <w:bookmarkEnd w:id="117"/>
    </w:p>
    <w:p>
      <w:pPr>
        <w:keepNext/>
        <w:spacing w:line="480"/>
      </w:pPr>
      <w:r>
        <w:rPr>
          <w:rFonts w:ascii="Times New Roman" w:cs="Times New Roman" w:eastAsia="Times New Roman" w:hAnsi="Times New Roman"/>
          <w:i/>
          <w:iCs/>
        </w:rPr>
        <w:t xml:space="preserve">Four User Benefits: Evidence, Organizational Use, Value, and 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2050"/>
        <w:gridCol w:w="1860"/>
        <w:gridCol w:w="1850"/>
      </w:tblGrid>
      <w:tr>
        <w:trPr>
          <w:cantSplit/>
          <w:tblHeader/>
        </w:trPr>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Benefit</w:t>
            </w:r>
          </w:p>
        </w:tc>
        <w:tc>
          <w:tcPr>
            <w:tcW w:type="dxa" w:w="2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What the Data Demonstrated</w:t>
            </w:r>
          </w:p>
        </w:tc>
        <w:tc>
          <w:tcPr>
            <w:tcW w:type="dxa" w:w="20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What an Organization Could Do</w:t>
            </w:r>
          </w:p>
        </w:tc>
        <w:tc>
          <w:tcPr>
            <w:tcW w:type="dxa" w:w="18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What the User Gains</w:t>
            </w:r>
          </w:p>
        </w:tc>
        <w:tc>
          <w:tcPr>
            <w:tcW w:type="dxa" w:w="18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Caution</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1. Triage with the model</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Top 5% of ranked holdout records: 73.87% non-reduction versus a 67.95% base rate; AUC = .523</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Hold review capacity fixed and work through the ranked list from the top each reporting cycle</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About 117 more non-reducers found in 1,975 reviews for the same effort</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Gain is small and concentrated at the top; not for automated or enforcement decisions</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2. Prioritize further evaluation of the strongest action types</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Material modification (+7.64 pp) and operating practice or training (+4.23 pp) survived Holm correction and facility clustering</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Prioritize these types for further evaluation, small pilots, and knowledge sharing across sites</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An evidence-based shortlist for limited prevention and pilot budgets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Comparisons are observational and unadjusted; other types are not proven ineffective</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3. Weight by pounds at risk</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Every scored record carries a predicted risk and its current release quantity</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Order reviews by predicted risk multiplied by release volume</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Review effort follows likely environmental impact, not likelihood alone</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An operational option; not validated as a performance metric in the study</w:t>
            </w:r>
          </w:p>
        </w:tc>
      </w:tr>
      <w:tr>
        <w:trPr>
          <w:cantSplit/>
        </w:trPr>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4. Benchmark against peers and trend</w:t>
            </w:r>
          </w:p>
        </w:tc>
        <w:tc>
          <w:tcPr>
            <w:tcW w:type="dxa" w:w="2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Rates spanned 15.4 pp across subsectors and rose from 27.54% to 35.86% across transitions</w:t>
            </w:r>
          </w:p>
        </w:tc>
        <w:tc>
          <w:tcPr>
            <w:tcW w:type="dxa" w:w="20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Compare each facility with its subsector peers and recent trend rather than a single universal target</w:t>
            </w:r>
          </w:p>
        </w:tc>
        <w:tc>
          <w:tcPr>
            <w:tcW w:type="dxa" w:w="18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Fairer, like-for-like performance assessment</w:t>
            </w:r>
          </w:p>
        </w:tc>
        <w:tc>
          <w:tcPr>
            <w:tcW w:type="dxa" w:w="18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Effect sizes are small; small subsectors have wide intervals</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Counts for Benefit 1 come from </w:t>
      </w:r>
      <w:hyperlink w:history="1" w:anchor="tbl_9">
        <w:r>
          <w:rPr>
            <w:rFonts w:ascii="Times New Roman" w:cs="Times New Roman" w:eastAsia="Times New Roman" w:hAnsi="Times New Roman"/>
            <w:color w:val="0563C1"/>
            <w:sz w:val="24"/>
            <w:szCs w:val="24"/>
          </w:rPr>
          <w:t xml:space="preserve">Table 9</w:t>
        </w:r>
      </w:hyperlink>
      <w:r>
        <w:rPr>
          <w:rFonts w:ascii="Times New Roman" w:cs="Times New Roman" w:eastAsia="Times New Roman" w:hAnsi="Times New Roman"/>
          <w:sz w:val="24"/>
          <w:szCs w:val="24"/>
        </w:rPr>
        <w:t xml:space="preserve">. AUC = area under the receiver operating characteristic curve; pp = percentage points.</w:t>
      </w:r>
    </w:p>
    <w:p>
      <w:pPr>
        <w:pStyle w:val="Heading3"/>
        <w:keepNext/>
        <w:spacing w:after="0" w:before="0" w:line="480"/>
      </w:pPr>
      <w:r>
        <w:rPr>
          <w:rFonts w:ascii="Times New Roman" w:cs="Times New Roman" w:eastAsia="Times New Roman" w:hAnsi="Times New Roman"/>
          <w:b/>
          <w:bCs/>
          <w:i/>
          <w:iCs/>
          <w:color w:val="000000"/>
          <w:sz w:val="24"/>
          <w:szCs w:val="24"/>
        </w:rPr>
        <w:t xml:space="preserve">Benefit 1: Triage With the Model</w:t>
      </w:r>
    </w:p>
    <w:p>
      <w:pPr>
        <w:spacing w:line="480"/>
        <w:ind w:firstLine="720"/>
      </w:pPr>
      <w:r>
        <w:rPr>
          <w:rFonts w:ascii="Times New Roman" w:cs="Times New Roman" w:eastAsia="Times New Roman" w:hAnsi="Times New Roman"/>
          <w:b/>
          <w:bCs/>
        </w:rPr>
        <w:t xml:space="preserve">Evidence.</w:t>
      </w:r>
      <w:r>
        <w:rPr>
          <w:rFonts w:ascii="Times New Roman" w:cs="Times New Roman" w:eastAsia="Times New Roman" w:hAnsi="Times New Roman"/>
        </w:rPr>
        <w:t xml:space="preserve"> The locked elastic-net model ranked the 39,500 pound-reported holdout records by predicted risk of non-reduction. Among the top 5% (1,975 records), 73.87% did not reduce, against a base rate of 67.95%, a lift of 1.087. The top 10% reached 72.53%, and the rate moved back toward the base rate with depth (</w:t>
      </w:r>
      <w:hyperlink w:history="1" w:anchor="tbl_9">
        <w:r>
          <w:rPr>
            <w:rFonts w:ascii="Times New Roman" w:cs="Times New Roman" w:eastAsia="Times New Roman" w:hAnsi="Times New Roman"/>
            <w:color w:val="0563C1"/>
          </w:rPr>
          <w:t xml:space="preserve">Table 9</w:t>
        </w:r>
      </w:hyperlink>
      <w:r>
        <w:rPr>
          <w:rFonts w:ascii="Times New Roman" w:cs="Times New Roman" w:eastAsia="Times New Roman" w:hAnsi="Times New Roman"/>
        </w:rPr>
        <w:t xml:space="preserve">, </w:t>
      </w:r>
      <w:hyperlink w:history="1" w:anchor="fig_6">
        <w:r>
          <w:rPr>
            <w:rFonts w:ascii="Times New Roman" w:cs="Times New Roman" w:eastAsia="Times New Roman" w:hAnsi="Times New Roman"/>
            <w:color w:val="0563C1"/>
          </w:rPr>
          <w:t xml:space="preserve">Figure 6</w:t>
        </w:r>
      </w:hyperlink>
      <w:r>
        <w:rPr>
          <w:rFonts w:ascii="Times New Roman" w:cs="Times New Roman" w:eastAsia="Times New Roman" w:hAnsi="Times New Roman"/>
        </w:rPr>
        <w:t xml:space="preserve">).</w:t>
      </w:r>
    </w:p>
    <w:p>
      <w:pPr>
        <w:spacing w:line="480"/>
        <w:ind w:firstLine="720"/>
      </w:pPr>
      <w:r>
        <w:rPr>
          <w:rFonts w:ascii="Times New Roman" w:cs="Times New Roman" w:eastAsia="Times New Roman" w:hAnsi="Times New Roman"/>
          <w:b/>
          <w:bCs/>
        </w:rPr>
        <w:t xml:space="preserve">Value to Users.</w:t>
      </w:r>
      <w:r>
        <w:rPr>
          <w:rFonts w:ascii="Times New Roman" w:cs="Times New Roman" w:eastAsia="Times New Roman" w:hAnsi="Times New Roman"/>
        </w:rPr>
        <w:t xml:space="preserve"> Review capacity is usually fixed. Working through the ranked list from the top, rather than in an unranked order, would find about 1,459 non-reducers in 1,975 reviews instead of about 1,342, roughly 117 more for the same hours. At the top 10%, the gain is about 181. The benefit is operational efficiency: the same staff time reaches more records that need attention.</w:t>
      </w:r>
    </w:p>
    <w:p>
      <w:pPr>
        <w:spacing w:line="480"/>
        <w:ind w:firstLine="720"/>
      </w:pPr>
      <w:r>
        <w:rPr>
          <w:rFonts w:ascii="Times New Roman" w:cs="Times New Roman" w:eastAsia="Times New Roman" w:hAnsi="Times New Roman"/>
          <w:b/>
          <w:bCs/>
        </w:rPr>
        <w:t xml:space="preserve">Caution.</w:t>
      </w:r>
      <w:r>
        <w:rPr>
          <w:rFonts w:ascii="Times New Roman" w:cs="Times New Roman" w:eastAsia="Times New Roman" w:hAnsi="Times New Roman"/>
        </w:rPr>
        <w:t xml:space="preserve"> An AUC of .523 is weak discrimination. The gain is small and concentrated at the top of the list, so the ranking should order a queue, not judge individual records or trigger enforcement.</w:t>
      </w:r>
    </w:p>
    <w:p>
      <w:pPr>
        <w:pStyle w:val="Heading3"/>
        <w:keepNext/>
        <w:spacing w:after="0" w:before="0" w:line="480"/>
      </w:pPr>
      <w:r>
        <w:rPr>
          <w:rFonts w:ascii="Times New Roman" w:cs="Times New Roman" w:eastAsia="Times New Roman" w:hAnsi="Times New Roman"/>
          <w:b/>
          <w:bCs/>
          <w:i/>
          <w:iCs/>
          <w:color w:val="000000"/>
          <w:sz w:val="24"/>
          <w:szCs w:val="24"/>
        </w:rPr>
        <w:t xml:space="preserve">Benefit 2: Prioritize Further Evaluation of the Strongest Action Types</w:t>
      </w:r>
    </w:p>
    <w:p>
      <w:pPr>
        <w:spacing w:line="480"/>
        <w:ind w:firstLine="720"/>
      </w:pPr>
      <w:r>
        <w:rPr>
          <w:rFonts w:ascii="Times New Roman" w:cs="Times New Roman" w:eastAsia="Times New Roman" w:hAnsi="Times New Roman"/>
          <w:b/>
          <w:bCs/>
        </w:rPr>
        <w:t xml:space="preserve">Evidence.</w:t>
      </w:r>
      <w:r>
        <w:rPr>
          <w:rFonts w:ascii="Times New Roman" w:cs="Times New Roman" w:eastAsia="Times New Roman" w:hAnsi="Times New Roman"/>
        </w:rPr>
        <w:t xml:space="preserve"> Of the five action types, only two remained significant after Holm correction and facility clustering (</w:t>
      </w:r>
      <w:hyperlink w:history="1" w:anchor="tbl_8">
        <w:r>
          <w:rPr>
            <w:rFonts w:ascii="Times New Roman" w:cs="Times New Roman" w:eastAsia="Times New Roman" w:hAnsi="Times New Roman"/>
            <w:color w:val="0563C1"/>
          </w:rPr>
          <w:t xml:space="preserve">Table 8</w:t>
        </w:r>
      </w:hyperlink>
      <w:r>
        <w:rPr>
          <w:rFonts w:ascii="Times New Roman" w:cs="Times New Roman" w:eastAsia="Times New Roman" w:hAnsi="Times New Roman"/>
        </w:rPr>
        <w:t xml:space="preserve">). Records reporting material modification reduced at 38.95%, 7.64 points above the 31.31% no-action rate, clustered </w:t>
      </w:r>
      <w:r>
        <w:rPr>
          <w:rFonts w:ascii="Times New Roman" w:cs="Times New Roman" w:eastAsia="Times New Roman" w:hAnsi="Times New Roman"/>
          <w:i/>
          <w:iCs/>
        </w:rPr>
        <w:t xml:space="preserve">OR</w:t>
      </w:r>
      <w:r>
        <w:rPr>
          <w:rFonts w:ascii="Times New Roman" w:cs="Times New Roman" w:eastAsia="Times New Roman" w:hAnsi="Times New Roman"/>
        </w:rPr>
        <w:t xml:space="preserve"> = 1.40, 95% CI [1.17, 1.67]. Records reporting operating practice or training reduced at 35.53%, 4.23 points higher, clustered </w:t>
      </w:r>
      <w:r>
        <w:rPr>
          <w:rFonts w:ascii="Times New Roman" w:cs="Times New Roman" w:eastAsia="Times New Roman" w:hAnsi="Times New Roman"/>
          <w:i/>
          <w:iCs/>
        </w:rPr>
        <w:t xml:space="preserve">OR</w:t>
      </w:r>
      <w:r>
        <w:rPr>
          <w:rFonts w:ascii="Times New Roman" w:cs="Times New Roman" w:eastAsia="Times New Roman" w:hAnsi="Times New Roman"/>
        </w:rPr>
        <w:t xml:space="preserve"> = 1.21, 95% CI [1.06, 1.38].</w:t>
      </w:r>
    </w:p>
    <w:p>
      <w:pPr>
        <w:spacing w:line="480"/>
        <w:ind w:firstLine="720"/>
      </w:pPr>
      <w:r>
        <w:rPr>
          <w:rFonts w:ascii="Times New Roman" w:cs="Times New Roman" w:eastAsia="Times New Roman" w:hAnsi="Times New Roman"/>
          <w:b/>
          <w:bCs/>
        </w:rPr>
        <w:t xml:space="preserve">Value to Users.</w:t>
      </w:r>
      <w:r>
        <w:rPr>
          <w:rFonts w:ascii="Times New Roman" w:cs="Times New Roman" w:eastAsia="Times New Roman" w:hAnsi="Times New Roman"/>
        </w:rPr>
        <w:t xml:space="preserve"> Prevention is not a single intervention. An organization deciding where to direct limited prevention budgets, pilot slots, or cross-site knowledge sharing gains an evidence-based shortlist instead of treating all action types alike. The benefit is strategic: further evaluation starts where the observed signal is clearest.</w:t>
      </w:r>
    </w:p>
    <w:p>
      <w:pPr>
        <w:spacing w:line="480"/>
        <w:ind w:firstLine="720"/>
      </w:pPr>
      <w:r>
        <w:rPr>
          <w:rFonts w:ascii="Times New Roman" w:cs="Times New Roman" w:eastAsia="Times New Roman" w:hAnsi="Times New Roman"/>
          <w:b/>
          <w:bCs/>
        </w:rPr>
        <w:t xml:space="preserve">Caution.</w:t>
      </w:r>
      <w:r>
        <w:rPr>
          <w:rFonts w:ascii="Times New Roman" w:cs="Times New Roman" w:eastAsia="Times New Roman" w:hAnsi="Times New Roman"/>
        </w:rPr>
        <w:t xml:space="preserve"> These comparisons were observational and unadjusted, so they do not show that either action caused reductions, and the other three types were not shown to be ineffective. Pilots should be evaluated before any wider rollout.</w:t>
      </w:r>
    </w:p>
    <w:p>
      <w:pPr>
        <w:pStyle w:val="Heading3"/>
        <w:keepNext/>
        <w:spacing w:after="0" w:before="0" w:line="480"/>
      </w:pPr>
      <w:r>
        <w:rPr>
          <w:rFonts w:ascii="Times New Roman" w:cs="Times New Roman" w:eastAsia="Times New Roman" w:hAnsi="Times New Roman"/>
          <w:b/>
          <w:bCs/>
          <w:i/>
          <w:iCs/>
          <w:color w:val="000000"/>
          <w:sz w:val="24"/>
          <w:szCs w:val="24"/>
        </w:rPr>
        <w:t xml:space="preserve">Benefit 3: Weight Reviews by Pounds at Risk</w:t>
      </w:r>
    </w:p>
    <w:p>
      <w:pPr>
        <w:spacing w:line="480"/>
        <w:ind w:firstLine="720"/>
      </w:pPr>
      <w:r>
        <w:rPr>
          <w:rFonts w:ascii="Times New Roman" w:cs="Times New Roman" w:eastAsia="Times New Roman" w:hAnsi="Times New Roman"/>
          <w:b/>
          <w:bCs/>
        </w:rPr>
        <w:t xml:space="preserve">Evidence.</w:t>
      </w:r>
      <w:r>
        <w:rPr>
          <w:rFonts w:ascii="Times New Roman" w:cs="Times New Roman" w:eastAsia="Times New Roman" w:hAnsi="Times New Roman"/>
        </w:rPr>
        <w:t xml:space="preserve"> Every scored record carried a predicted risk of non-reduction and its current release quantity. Releases were highly skewed, with a mean of 24,737 lb and a median of 217 lb in the development set (</w:t>
      </w:r>
      <w:hyperlink w:history="1" w:anchor="tbl_2">
        <w:r>
          <w:rPr>
            <w:rFonts w:ascii="Times New Roman" w:cs="Times New Roman" w:eastAsia="Times New Roman" w:hAnsi="Times New Roman"/>
            <w:color w:val="0563C1"/>
          </w:rPr>
          <w:t xml:space="preserve">Table 2</w:t>
        </w:r>
      </w:hyperlink>
      <w:r>
        <w:rPr>
          <w:rFonts w:ascii="Times New Roman" w:cs="Times New Roman" w:eastAsia="Times New Roman" w:hAnsi="Times New Roman"/>
        </w:rPr>
        <w:t xml:space="preserve">).</w:t>
      </w:r>
    </w:p>
    <w:p>
      <w:pPr>
        <w:spacing w:line="480"/>
        <w:ind w:firstLine="720"/>
      </w:pPr>
      <w:r>
        <w:rPr>
          <w:rFonts w:ascii="Times New Roman" w:cs="Times New Roman" w:eastAsia="Times New Roman" w:hAnsi="Times New Roman"/>
          <w:b/>
          <w:bCs/>
        </w:rPr>
        <w:t xml:space="preserve">Value to Users.</w:t>
      </w:r>
      <w:r>
        <w:rPr>
          <w:rFonts w:ascii="Times New Roman" w:cs="Times New Roman" w:eastAsia="Times New Roman" w:hAnsi="Times New Roman"/>
        </w:rPr>
        <w:t xml:space="preserve"> Multiplying predicted risk by current release gives a pounds-at-risk score that turns a statistical ranking into an environmental one. As an illustration, a record with a predicted risk of .65 and 50,000 lb released scores 32,500, whereas a record with a predicted risk of .72 and 100 lb released scores 72. The larger release would be reviewed first even though its predicted risk is lower. The benefit is environmental: review hours follow the likely quantity of pollution involved, not likelihood alone.</w:t>
      </w:r>
    </w:p>
    <w:p>
      <w:pPr>
        <w:spacing w:line="480"/>
        <w:ind w:firstLine="720"/>
      </w:pPr>
      <w:r>
        <w:rPr>
          <w:rFonts w:ascii="Times New Roman" w:cs="Times New Roman" w:eastAsia="Times New Roman" w:hAnsi="Times New Roman"/>
          <w:b/>
          <w:bCs/>
        </w:rPr>
        <w:t xml:space="preserve">Caution.</w:t>
      </w:r>
      <w:r>
        <w:rPr>
          <w:rFonts w:ascii="Times New Roman" w:cs="Times New Roman" w:eastAsia="Times New Roman" w:hAnsi="Times New Roman"/>
        </w:rPr>
        <w:t xml:space="preserve"> This weighting is an operational option that was not validated as a performance metric in this study, and unweighted pounds do not reflect differences in chemical hazard.</w:t>
      </w:r>
    </w:p>
    <w:p>
      <w:pPr>
        <w:pStyle w:val="Heading3"/>
        <w:keepNext/>
        <w:spacing w:after="0" w:before="0" w:line="480"/>
      </w:pPr>
      <w:r>
        <w:rPr>
          <w:rFonts w:ascii="Times New Roman" w:cs="Times New Roman" w:eastAsia="Times New Roman" w:hAnsi="Times New Roman"/>
          <w:b/>
          <w:bCs/>
          <w:i/>
          <w:iCs/>
          <w:color w:val="000000"/>
          <w:sz w:val="24"/>
          <w:szCs w:val="24"/>
        </w:rPr>
        <w:t xml:space="preserve">Benefit 4: Benchmark Against Peers and Trend</w:t>
      </w:r>
    </w:p>
    <w:p>
      <w:pPr>
        <w:spacing w:line="480"/>
        <w:ind w:firstLine="720"/>
      </w:pPr>
      <w:r>
        <w:rPr>
          <w:rFonts w:ascii="Times New Roman" w:cs="Times New Roman" w:eastAsia="Times New Roman" w:hAnsi="Times New Roman"/>
          <w:b/>
          <w:bCs/>
        </w:rPr>
        <w:t xml:space="preserve">Evidence.</w:t>
      </w:r>
      <w:r>
        <w:rPr>
          <w:rFonts w:ascii="Times New Roman" w:cs="Times New Roman" w:eastAsia="Times New Roman" w:hAnsi="Times New Roman"/>
        </w:rPr>
        <w:t xml:space="preserve"> Reduction rates ranged from 25.89% in paper to 41.26% in furniture and related products, a spread of 15.4 points, and rose from 27.54% to 35.86% across transitions (</w:t>
      </w:r>
      <w:hyperlink w:history="1" w:anchor="app_F">
        <w:r>
          <w:rPr>
            <w:rFonts w:ascii="Times New Roman" w:cs="Times New Roman" w:eastAsia="Times New Roman" w:hAnsi="Times New Roman"/>
            <w:color w:val="0563C1"/>
          </w:rPr>
          <w:t xml:space="preserve">Appendix F</w:t>
        </w:r>
      </w:hyperlink>
      <w:r>
        <w:rPr>
          <w:rFonts w:ascii="Times New Roman" w:cs="Times New Roman" w:eastAsia="Times New Roman" w:hAnsi="Times New Roman"/>
        </w:rPr>
        <w:t xml:space="preserve">, </w:t>
      </w:r>
      <w:hyperlink w:history="1" w:anchor="tbl_F4">
        <w:r>
          <w:rPr>
            <w:rFonts w:ascii="Times New Roman" w:cs="Times New Roman" w:eastAsia="Times New Roman" w:hAnsi="Times New Roman"/>
            <w:color w:val="0563C1"/>
          </w:rPr>
          <w:t xml:space="preserve">Table F4</w:t>
        </w:r>
      </w:hyperlink>
      <w:r>
        <w:rPr>
          <w:rFonts w:ascii="Times New Roman" w:cs="Times New Roman" w:eastAsia="Times New Roman" w:hAnsi="Times New Roman"/>
        </w:rPr>
        <w:t xml:space="preserve">). Both differences were statistically significant but small (Cramér’s </w:t>
      </w:r>
      <w:r>
        <w:rPr>
          <w:rFonts w:ascii="Times New Roman" w:cs="Times New Roman" w:eastAsia="Times New Roman" w:hAnsi="Times New Roman"/>
          <w:i/>
          <w:iCs/>
        </w:rPr>
        <w:t xml:space="preserve">V</w:t>
      </w:r>
      <w:r>
        <w:rPr>
          <w:rFonts w:ascii="Times New Roman" w:cs="Times New Roman" w:eastAsia="Times New Roman" w:hAnsi="Times New Roman"/>
        </w:rPr>
        <w:t xml:space="preserve"> = .048 for subsector and .073 for transition).</w:t>
      </w:r>
    </w:p>
    <w:p>
      <w:pPr>
        <w:spacing w:line="480"/>
        <w:ind w:firstLine="720"/>
      </w:pPr>
      <w:r>
        <w:rPr>
          <w:rFonts w:ascii="Times New Roman" w:cs="Times New Roman" w:eastAsia="Times New Roman" w:hAnsi="Times New Roman"/>
          <w:b/>
          <w:bCs/>
        </w:rPr>
        <w:t xml:space="preserve">Value to Users.</w:t>
      </w:r>
      <w:r>
        <w:rPr>
          <w:rFonts w:ascii="Times New Roman" w:cs="Times New Roman" w:eastAsia="Times New Roman" w:hAnsi="Times New Roman"/>
        </w:rPr>
        <w:t xml:space="preserve"> A single universal target, or a comparison with last year alone, would judge facilities partly by their industry and reporting period. Comparing each facility with its subsector peers and recent trend gives a fairer, like-for-like assessment and reduces the risk of flagging facilities whose rates simply reflect their industry. The benefit is managerial: targets and follow-up rest on credible comparisons.</w:t>
      </w:r>
    </w:p>
    <w:p>
      <w:pPr>
        <w:spacing w:line="480"/>
        <w:ind w:firstLine="720"/>
      </w:pPr>
      <w:r>
        <w:rPr>
          <w:rFonts w:ascii="Times New Roman" w:cs="Times New Roman" w:eastAsia="Times New Roman" w:hAnsi="Times New Roman"/>
          <w:b/>
          <w:bCs/>
        </w:rPr>
        <w:t xml:space="preserve">Caution.</w:t>
      </w:r>
      <w:r>
        <w:rPr>
          <w:rFonts w:ascii="Times New Roman" w:cs="Times New Roman" w:eastAsia="Times New Roman" w:hAnsi="Times New Roman"/>
        </w:rPr>
        <w:t xml:space="preserve"> Effect sizes were small, and smaller subsectors had wide intervals, such as furniture and related products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812, 95% CI [37.92, 44.68]).</w:t>
      </w:r>
    </w:p>
    <w:p>
      <w:pPr>
        <w:pStyle w:val="Heading3"/>
        <w:keepNext/>
        <w:spacing w:after="0" w:before="0" w:line="480"/>
      </w:pPr>
      <w:r>
        <w:rPr>
          <w:rFonts w:ascii="Times New Roman" w:cs="Times New Roman" w:eastAsia="Times New Roman" w:hAnsi="Times New Roman"/>
          <w:b/>
          <w:bCs/>
          <w:i/>
          <w:iCs/>
          <w:color w:val="000000"/>
          <w:sz w:val="24"/>
          <w:szCs w:val="24"/>
        </w:rPr>
        <w:t xml:space="preserve">Operational, Financial, and Strategic Value</w:t>
      </w:r>
    </w:p>
    <w:p>
      <w:pPr>
        <w:spacing w:line="480"/>
        <w:ind w:firstLine="720"/>
      </w:pPr>
      <w:r>
        <w:rPr>
          <w:rFonts w:ascii="Times New Roman" w:cs="Times New Roman" w:eastAsia="Times New Roman" w:hAnsi="Times New Roman"/>
          <w:b/>
          <w:bCs/>
        </w:rPr>
        <w:t xml:space="preserve">Operational Efficiency.</w:t>
      </w:r>
      <w:r>
        <w:rPr>
          <w:rFonts w:ascii="Times New Roman" w:cs="Times New Roman" w:eastAsia="Times New Roman" w:hAnsi="Times New Roman"/>
        </w:rPr>
        <w:t xml:space="preserve"> The ranked list lets the same review hours reach about 117 more non-reducers per 1,975 reviews, and peer benchmarks focus follow-up on facilities that lag their own peers.</w:t>
      </w:r>
    </w:p>
    <w:p>
      <w:pPr>
        <w:spacing w:line="480"/>
        <w:ind w:firstLine="720"/>
      </w:pPr>
      <w:r>
        <w:rPr>
          <w:rFonts w:ascii="Times New Roman" w:cs="Times New Roman" w:eastAsia="Times New Roman" w:hAnsi="Times New Roman"/>
          <w:b/>
          <w:bCs/>
        </w:rPr>
        <w:t xml:space="preserve">Financial Impact.</w:t>
      </w:r>
      <w:r>
        <w:rPr>
          <w:rFonts w:ascii="Times New Roman" w:cs="Times New Roman" w:eastAsia="Times New Roman" w:hAnsi="Times New Roman"/>
        </w:rPr>
        <w:t xml:space="preserve"> No cost, savings, or return on investment was estimated, because TRI does not record the cost of reviews or actions. The financial benefit is indirect: a fixed review budget is directed toward more records that need attention and, with pounds-at-risk weighting, toward larger releases. Quantifying it would require internal cost data.</w:t>
      </w:r>
    </w:p>
    <w:p>
      <w:pPr>
        <w:spacing w:line="480"/>
        <w:ind w:firstLine="720"/>
      </w:pPr>
      <w:r>
        <w:rPr>
          <w:rFonts w:ascii="Times New Roman" w:cs="Times New Roman" w:eastAsia="Times New Roman" w:hAnsi="Times New Roman"/>
          <w:b/>
          <w:bCs/>
        </w:rPr>
        <w:t xml:space="preserve">Strategic Value.</w:t>
      </w:r>
      <w:r>
        <w:rPr>
          <w:rFonts w:ascii="Times New Roman" w:cs="Times New Roman" w:eastAsia="Times New Roman" w:hAnsi="Times New Roman"/>
        </w:rPr>
        <w:t xml:space="preserve"> Human experts stay in control, because the model tells the team where to look first, not what to conclude. The ranked worklist, the shortlist of action types, and pounds-at-risk scores can also feed green-investment planning, incentive tracking, and sustainability reporting. These are possible uses, not tested results.</w:t>
      </w:r>
    </w:p>
    <w:p>
      <w:pPr>
        <w:pStyle w:val="Heading2"/>
        <w:keepNext/>
        <w:spacing w:after="0" w:before="0" w:line="480"/>
      </w:pPr>
      <w:r>
        <w:rPr>
          <w:rFonts w:ascii="Times New Roman" w:cs="Times New Roman" w:eastAsia="Times New Roman" w:hAnsi="Times New Roman"/>
          <w:b/>
          <w:bCs/>
          <w:color w:val="000000"/>
          <w:sz w:val="24"/>
          <w:szCs w:val="24"/>
        </w:rPr>
        <w:t xml:space="preserve">Example Use Case</w:t>
      </w:r>
    </w:p>
    <w:p>
      <w:pPr>
        <w:keepNext w:val="false"/>
        <w:spacing w:after="0" w:before="0" w:line="480"/>
        <w:ind w:firstLine="720"/>
        <w:jc w:val="left"/>
      </w:pPr>
      <w:r>
        <w:rPr>
          <w:rFonts w:ascii="Times New Roman" w:cs="Times New Roman" w:eastAsia="Times New Roman" w:hAnsi="Times New Roman"/>
        </w:rPr>
        <w:t xml:space="preserve">Consider an EHS team with about 40,000 records and capacity for about 2,000 reviews. Using Benefit 1, the team reviews the top 1,975 ranked records and can expect about 1,459 non-reducers rather than about 1,342 from an unranked review. Using Benefit 3, it orders that slice by pounds at risk so the largest releases are examined first. Using Benefit 4, it compares each flagged facility with its subsector trend. Using Benefit 2, where no action was reported, reviewers discuss material modification or operating practice and training as candidates for evaluation. A person makes and records each decision.</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Limitations and Further Improvements</w:t>
      </w:r>
    </w:p>
    <w:p>
      <w:pPr>
        <w:keepNext w:val="false"/>
        <w:spacing w:after="0" w:before="0" w:line="480"/>
        <w:ind w:firstLine="720"/>
        <w:jc w:val="left"/>
      </w:pPr>
      <w:r>
        <w:rPr>
          <w:rFonts w:ascii="Times New Roman" w:cs="Times New Roman" w:eastAsia="Times New Roman" w:hAnsi="Times New Roman"/>
        </w:rPr>
        <w:t xml:space="preserve">The main limitations concern the design, the data, and model performance.</w:t>
      </w:r>
    </w:p>
    <w:p>
      <w:pPr>
        <w:pStyle w:val="Heading2"/>
        <w:keepNext/>
        <w:spacing w:after="0" w:before="0" w:line="480"/>
      </w:pPr>
      <w:r>
        <w:rPr>
          <w:rFonts w:ascii="Times New Roman" w:cs="Times New Roman" w:eastAsia="Times New Roman" w:hAnsi="Times New Roman"/>
          <w:b/>
          <w:bCs/>
          <w:color w:val="000000"/>
          <w:sz w:val="24"/>
          <w:szCs w:val="24"/>
        </w:rPr>
        <w:t xml:space="preserve">Limitations</w:t>
      </w:r>
    </w:p>
    <w:p>
      <w:pPr>
        <w:spacing w:line="480"/>
        <w:ind w:firstLine="720"/>
      </w:pPr>
      <w:r>
        <w:rPr>
          <w:rFonts w:ascii="Times New Roman" w:cs="Times New Roman" w:eastAsia="Times New Roman" w:hAnsi="Times New Roman"/>
          <w:b/>
          <w:bCs/>
        </w:rPr>
        <w:t xml:space="preserve">Observational Design and Self-Selection.</w:t>
      </w:r>
      <w:r>
        <w:rPr>
          <w:rFonts w:ascii="Times New Roman" w:cs="Times New Roman" w:eastAsia="Times New Roman" w:hAnsi="Times New Roman"/>
        </w:rPr>
        <w:t xml:space="preserve"> Actions were not assigned, and facilities choose whether to act and to report, so the results are associations and may partly reflect better-managed facilities.</w:t>
      </w:r>
    </w:p>
    <w:p>
      <w:pPr>
        <w:spacing w:line="480"/>
        <w:ind w:firstLine="720"/>
      </w:pPr>
      <w:r>
        <w:rPr>
          <w:rFonts w:ascii="Times New Roman" w:cs="Times New Roman" w:eastAsia="Times New Roman" w:hAnsi="Times New Roman"/>
          <w:b/>
          <w:bCs/>
        </w:rPr>
        <w:t xml:space="preserve">Sparse and Coarse Action Data.</w:t>
      </w:r>
      <w:r>
        <w:rPr>
          <w:rFonts w:ascii="Times New Roman" w:cs="Times New Roman" w:eastAsia="Times New Roman" w:hAnsi="Times New Roman"/>
        </w:rPr>
        <w:t xml:space="preserve"> Only 4.87% of records reported an action, and TRI does not record cost, timing, completion, capital investment, or process detail. A value of 0 means no code was observed.</w:t>
      </w:r>
    </w:p>
    <w:p>
      <w:pPr>
        <w:spacing w:line="480"/>
        <w:ind w:firstLine="720"/>
      </w:pPr>
      <w:r>
        <w:rPr>
          <w:rFonts w:ascii="Times New Roman" w:cs="Times New Roman" w:eastAsia="Times New Roman" w:hAnsi="Times New Roman"/>
          <w:b/>
          <w:bCs/>
        </w:rPr>
        <w:t xml:space="preserve">Modest Discrimination.</w:t>
      </w:r>
      <w:r>
        <w:rPr>
          <w:rFonts w:ascii="Times New Roman" w:cs="Times New Roman" w:eastAsia="Times New Roman" w:hAnsi="Times New Roman"/>
        </w:rPr>
        <w:t xml:space="preserve"> A holdout AUC of .523 is only slightly better than chance and is not strong predictive accuracy.</w:t>
      </w:r>
    </w:p>
    <w:p>
      <w:pPr>
        <w:spacing w:line="480"/>
        <w:ind w:firstLine="720"/>
      </w:pPr>
      <w:r>
        <w:rPr>
          <w:rFonts w:ascii="Times New Roman" w:cs="Times New Roman" w:eastAsia="Times New Roman" w:hAnsi="Times New Roman"/>
          <w:b/>
          <w:bCs/>
        </w:rPr>
        <w:t xml:space="preserve">Outcome and Exclusions.</w:t>
      </w:r>
      <w:r>
        <w:rPr>
          <w:rFonts w:ascii="Times New Roman" w:cs="Times New Roman" w:eastAsia="Times New Roman" w:hAnsi="Times New Roman"/>
        </w:rPr>
        <w:t xml:space="preserve"> REDUCTION_10 cannot separate prevention from production cuts or regression to the mean. Zero-release records and pairs missing the next year were excluded. Attrition was higher among action-reporting records in every transition, ranging from 9.26% to 14.13% versus 7.47% to 9.25% for other records (</w:t>
      </w:r>
      <w:hyperlink w:history="1" w:anchor="fig_A13">
        <w:r>
          <w:rPr>
            <w:rFonts w:ascii="Times New Roman" w:cs="Times New Roman" w:eastAsia="Times New Roman" w:hAnsi="Times New Roman"/>
            <w:color w:val="0563C1"/>
          </w:rPr>
          <w:t xml:space="preserve">Figure A13</w:t>
        </w:r>
      </w:hyperlink>
      <w:r>
        <w:rPr>
          <w:rFonts w:ascii="Times New Roman" w:cs="Times New Roman" w:eastAsia="Times New Roman" w:hAnsi="Times New Roman"/>
        </w:rPr>
        <w:t xml:space="preserve">). Because attrition differed by action status, the matched action-reporting sample may be selectively biased, and the direction of that bias cannot be determined.</w:t>
      </w:r>
    </w:p>
    <w:p>
      <w:pPr>
        <w:spacing w:line="480"/>
        <w:ind w:firstLine="720"/>
      </w:pPr>
      <w:r>
        <w:rPr>
          <w:rFonts w:ascii="Times New Roman" w:cs="Times New Roman" w:eastAsia="Times New Roman" w:hAnsi="Times New Roman"/>
          <w:b/>
          <w:bCs/>
        </w:rPr>
        <w:t xml:space="preserve">Low Prevalence and Power.</w:t>
      </w:r>
      <w:r>
        <w:rPr>
          <w:rFonts w:ascii="Times New Roman" w:cs="Times New Roman" w:eastAsia="Times New Roman" w:hAnsi="Times New Roman"/>
        </w:rPr>
        <w:t xml:space="preserve"> Product and material modification were uncommon, and RQ3 was powered for 10-point rather than smaller differences.</w:t>
      </w:r>
    </w:p>
    <w:p>
      <w:pPr>
        <w:spacing w:line="480"/>
        <w:ind w:firstLine="720"/>
      </w:pPr>
      <w:r>
        <w:rPr>
          <w:rFonts w:ascii="Times New Roman" w:cs="Times New Roman" w:eastAsia="Times New Roman" w:hAnsi="Times New Roman"/>
          <w:b/>
          <w:bCs/>
        </w:rPr>
        <w:t xml:space="preserve">Generalizability and Period Effects.</w:t>
      </w:r>
      <w:r>
        <w:rPr>
          <w:rFonts w:ascii="Times New Roman" w:cs="Times New Roman" w:eastAsia="Times New Roman" w:hAnsi="Times New Roman"/>
        </w:rPr>
        <w:t xml:space="preserve"> Results apply to pound-reported U.S. manufacturing Form R records from 2020 to 2024, and the first transition combined the pandemic with a coding change.</w:t>
      </w:r>
    </w:p>
    <w:p>
      <w:pPr>
        <w:spacing w:line="480"/>
        <w:ind w:firstLine="720"/>
      </w:pPr>
      <w:r>
        <w:rPr>
          <w:rFonts w:ascii="Times New Roman" w:cs="Times New Roman" w:eastAsia="Times New Roman" w:hAnsi="Times New Roman"/>
          <w:b/>
          <w:bCs/>
        </w:rPr>
        <w:t xml:space="preserve">Design Details.</w:t>
      </w:r>
      <w:r>
        <w:rPr>
          <w:rFonts w:ascii="Times New Roman" w:cs="Times New Roman" w:eastAsia="Times New Roman" w:hAnsi="Times New Roman"/>
        </w:rPr>
        <w:t xml:space="preserve"> Preprocessing constants were not re-estimated within folds, subsector was not tested in RQ4, alternative reduction thresholds such as 5% or 20% were not examined, and calibration was assessed without a formal slope.</w:t>
      </w:r>
    </w:p>
    <w:p>
      <w:pPr>
        <w:pStyle w:val="Heading2"/>
        <w:keepNext/>
        <w:spacing w:after="0" w:before="0" w:line="480"/>
      </w:pPr>
      <w:r>
        <w:rPr>
          <w:rFonts w:ascii="Times New Roman" w:cs="Times New Roman" w:eastAsia="Times New Roman" w:hAnsi="Times New Roman"/>
          <w:b/>
          <w:bCs/>
          <w:color w:val="000000"/>
          <w:sz w:val="24"/>
          <w:szCs w:val="24"/>
        </w:rPr>
        <w:t xml:space="preserve">Impact of Limitations</w:t>
      </w:r>
    </w:p>
    <w:p>
      <w:pPr>
        <w:keepNext w:val="false"/>
        <w:spacing w:after="0" w:before="0" w:line="480"/>
        <w:ind w:firstLine="720"/>
        <w:jc w:val="left"/>
      </w:pPr>
      <w:r>
        <w:rPr>
          <w:rFonts w:ascii="Times New Roman" w:cs="Times New Roman" w:eastAsia="Times New Roman" w:hAnsi="Times New Roman"/>
        </w:rPr>
        <w:t xml:space="preserve">These limits mean the odds ratio and action-type differences should guide further evaluation and pilots rather than guarantee results, and the net direction of bias from self-selection and unreported actions is unknown. Sparse action data appear to limit prediction, so the tool is useful for ordering a queue but unreliable for judging a single record or triggering enforcement. The findings may not transfer to other sectors, dioxins, Form A filers, or other periods.</w:t>
      </w:r>
    </w:p>
    <w:p>
      <w:pPr>
        <w:pStyle w:val="Heading2"/>
        <w:keepNext/>
        <w:spacing w:after="0" w:before="0" w:line="480"/>
      </w:pPr>
      <w:r>
        <w:rPr>
          <w:rFonts w:ascii="Times New Roman" w:cs="Times New Roman" w:eastAsia="Times New Roman" w:hAnsi="Times New Roman"/>
          <w:b/>
          <w:bCs/>
          <w:color w:val="000000"/>
          <w:sz w:val="24"/>
          <w:szCs w:val="24"/>
        </w:rPr>
        <w:t xml:space="preserve">Future Improvements</w:t>
      </w:r>
    </w:p>
    <w:p>
      <w:pPr>
        <w:keepNext w:val="false"/>
        <w:spacing w:after="0" w:before="0" w:line="480"/>
        <w:ind w:firstLine="720"/>
        <w:jc w:val="left"/>
      </w:pPr>
      <w:r>
        <w:rPr>
          <w:rFonts w:ascii="Times New Roman" w:cs="Times New Roman" w:eastAsia="Times New Roman" w:hAnsi="Times New Roman"/>
        </w:rPr>
        <w:t xml:space="preserve">The main improvements concern data rather than algorithms. Priority additions are more precise production data, the cost, timing, and completion status of each action, plant and process characteristics, capital and sustainability investment, and multi-year action histories. With richer data, the model can be re-evaluated with fold-level preprocessing, subsector indicators, alternative reduction thresholds, and formal calibration and decision-curve analysis.</w:t>
      </w:r>
    </w:p>
    <w:p>
      <w:pPr>
        <w:pStyle w:val="Heading2"/>
        <w:keepNext/>
        <w:spacing w:after="0" w:before="0" w:line="480"/>
      </w:pPr>
      <w:r>
        <w:rPr>
          <w:rFonts w:ascii="Times New Roman" w:cs="Times New Roman" w:eastAsia="Times New Roman" w:hAnsi="Times New Roman"/>
          <w:b/>
          <w:bCs/>
          <w:color w:val="000000"/>
          <w:sz w:val="24"/>
          <w:szCs w:val="24"/>
        </w:rPr>
        <w:t xml:space="preserve">Future Scope</w:t>
      </w:r>
    </w:p>
    <w:p>
      <w:pPr>
        <w:keepNext w:val="false"/>
        <w:spacing w:after="0" w:before="0" w:line="480"/>
        <w:ind w:firstLine="720"/>
        <w:jc w:val="left"/>
      </w:pPr>
      <w:r>
        <w:rPr>
          <w:rFonts w:ascii="Times New Roman" w:cs="Times New Roman" w:eastAsia="Times New Roman" w:hAnsi="Times New Roman"/>
        </w:rPr>
        <w:t xml:space="preserve">New reporting years can be added to re-validate the model and monitor drift, a facility-level model could support site planning, and the approach could extend to other sectors. Causal questions would require data on action timing and assignment that TRI does not provide.</w:t>
      </w:r>
    </w:p>
    <w:p>
      <w:pPr>
        <w:pStyle w:val="Heading1"/>
        <w:keepNext/>
        <w:spacing w:after="0" w:before="0" w:line="480"/>
        <w:jc w:val="center"/>
      </w:pPr>
      <w:r>
        <w:rPr>
          <w:rFonts w:ascii="Times New Roman" w:cs="Times New Roman" w:eastAsia="Times New Roman" w:hAnsi="Times New Roman"/>
          <w:b/>
          <w:bCs/>
          <w:color w:val="000000"/>
          <w:sz w:val="24"/>
          <w:szCs w:val="24"/>
        </w:rPr>
        <w:t xml:space="preserve">Conclusion</w:t>
      </w:r>
    </w:p>
    <w:p>
      <w:pPr>
        <w:keepNext w:val="false"/>
        <w:spacing w:after="0" w:before="0" w:line="480"/>
        <w:ind w:firstLine="720"/>
        <w:jc w:val="left"/>
      </w:pPr>
      <w:r>
        <w:rPr>
          <w:rFonts w:ascii="Times New Roman" w:cs="Times New Roman" w:eastAsia="Times New Roman" w:hAnsi="Times New Roman"/>
        </w:rPr>
        <w:t xml:space="preserve">This study asked how far recent TRI action information can explain and predict meaningful next-year reductions in U.S. manufacturing. The answer is: to a limited but real degree.</w:t>
      </w:r>
    </w:p>
    <w:p>
      <w:pPr>
        <w:keepNext w:val="false"/>
        <w:spacing w:after="0" w:before="0" w:line="480"/>
        <w:ind w:firstLine="720"/>
        <w:jc w:val="left"/>
      </w:pPr>
      <w:r>
        <w:rPr>
          <w:rFonts w:ascii="Times New Roman" w:cs="Times New Roman" w:eastAsia="Times New Roman" w:hAnsi="Times New Roman"/>
        </w:rPr>
        <w:t xml:space="preserve">Reduction rates differed modestly by year and subsector (RQ1). After adjustment, reporting any action was associated with about 14% higher odds of reduction, OR = 1.14, 95% CI [1.06, 1.23] (RQ2), and material modification and operating practice or training showed the clearest signals (RQ3). The elastic-net model beat chance and a simple baseline on the sealed holdout (AUC = .523 versus .502), but only modestly (RQ4).</w:t>
      </w:r>
    </w:p>
    <w:p>
      <w:pPr>
        <w:keepNext w:val="false"/>
        <w:spacing w:after="0" w:before="0" w:line="480"/>
        <w:ind w:firstLine="720"/>
        <w:jc w:val="left"/>
      </w:pPr>
      <w:r>
        <w:rPr>
          <w:rFonts w:ascii="Times New Roman" w:cs="Times New Roman" w:eastAsia="Times New Roman" w:hAnsi="Times New Roman"/>
        </w:rPr>
        <w:t xml:space="preserve">Two lessons stand out. A real association can coexist with weak prediction, so explanation and prediction must be judged separately. The main constraint on performance appears to be the limited information content of TRI action fields. In practice, the results give EHS teams four benefits: triage of fixed review capacity, a shortlist of action types for further evaluation, pounds-at-risk weighting, and fair peer and trend benchmarks. Within these limits, the study offers a transparent decision-support tool for deciding where to look first, not a decision maker.</w:t>
      </w:r>
    </w:p>
    <w:p>
      <w:pPr>
        <w:pStyle w:val="Heading1"/>
        <w:keepNext/>
        <w:pageBreakBefore/>
        <w:spacing w:after="0" w:before="0" w:line="480"/>
        <w:jc w:val="center"/>
      </w:pPr>
      <w:r>
        <w:rPr>
          <w:rFonts w:ascii="Times New Roman" w:cs="Times New Roman" w:eastAsia="Times New Roman" w:hAnsi="Times New Roman"/>
          <w:b/>
          <w:bCs/>
          <w:color w:val="000000"/>
          <w:sz w:val="24"/>
          <w:szCs w:val="24"/>
        </w:rPr>
        <w:t xml:space="preserve">References</w:t>
      </w:r>
    </w:p>
    <w:p>
      <w:pPr>
        <w:spacing w:line="480"/>
        <w:ind w:left="720" w:hanging="720"/>
      </w:pPr>
      <w:bookmarkStart w:name="ref_agresti1998" w:id="118"/>
      <w:r>
        <w:rPr>
          <w:rFonts w:ascii="Times New Roman" w:cs="Times New Roman" w:eastAsia="Times New Roman" w:hAnsi="Times New Roman"/>
        </w:rPr>
        <w:t xml:space="preserve">Agresti, A., &amp; Coull, B. A. (1998). Approximate is better than “exact” for interval estimation of binomial proportions. </w:t>
      </w:r>
      <w:r>
        <w:rPr>
          <w:rFonts w:ascii="Times New Roman" w:cs="Times New Roman" w:eastAsia="Times New Roman" w:hAnsi="Times New Roman"/>
          <w:i/>
          <w:iCs/>
        </w:rPr>
        <w:t xml:space="preserve">The American Statistician, 52</w:t>
      </w:r>
      <w:r>
        <w:rPr>
          <w:rFonts w:ascii="Times New Roman" w:cs="Times New Roman" w:eastAsia="Times New Roman" w:hAnsi="Times New Roman"/>
        </w:rPr>
        <w:t xml:space="preserve">(2), 119–126. </w:t>
      </w:r>
      <w:hyperlink w:history="1" r:id="rIddsi5dtbis_7vtk0ahj6qi">
        <w:r>
          <w:rPr>
            <w:rStyle w:val="Hyperlink"/>
            <w:rFonts w:ascii="Times New Roman" w:cs="Times New Roman" w:eastAsia="Times New Roman" w:hAnsi="Times New Roman"/>
          </w:rPr>
          <w:t xml:space="preserve">https://doi.org/10.1080/00031305.1998.10480550</w:t>
        </w:r>
      </w:hyperlink>
      <w:bookmarkEnd w:id="118"/>
    </w:p>
    <w:p>
      <w:pPr>
        <w:spacing w:line="480"/>
        <w:ind w:left="720" w:hanging="720"/>
      </w:pPr>
      <w:bookmarkStart w:name="ref_aiken1991" w:id="119"/>
      <w:r>
        <w:rPr>
          <w:rFonts w:ascii="Times New Roman" w:cs="Times New Roman" w:eastAsia="Times New Roman" w:hAnsi="Times New Roman"/>
        </w:rPr>
        <w:t xml:space="preserve">Aiken, L. S., &amp; West, S. G. (1991). </w:t>
      </w:r>
      <w:r>
        <w:rPr>
          <w:rFonts w:ascii="Times New Roman" w:cs="Times New Roman" w:eastAsia="Times New Roman" w:hAnsi="Times New Roman"/>
          <w:i/>
          <w:iCs/>
        </w:rPr>
        <w:t xml:space="preserve">Multiple regression: Testing and interpreting interactions</w:t>
      </w:r>
      <w:r>
        <w:rPr>
          <w:rFonts w:ascii="Times New Roman" w:cs="Times New Roman" w:eastAsia="Times New Roman" w:hAnsi="Times New Roman"/>
        </w:rPr>
        <w:t xml:space="preserve">. Sage.</w:t>
      </w:r>
      <w:bookmarkEnd w:id="119"/>
    </w:p>
    <w:p>
      <w:pPr>
        <w:spacing w:line="480"/>
        <w:ind w:left="720" w:hanging="720"/>
      </w:pPr>
      <w:bookmarkStart w:name="ref_akaike1974" w:id="120"/>
      <w:r>
        <w:rPr>
          <w:rFonts w:ascii="Times New Roman" w:cs="Times New Roman" w:eastAsia="Times New Roman" w:hAnsi="Times New Roman"/>
        </w:rPr>
        <w:t xml:space="preserve">Akaike, H. (1974). A new look at the statistical model identification. </w:t>
      </w:r>
      <w:r>
        <w:rPr>
          <w:rFonts w:ascii="Times New Roman" w:cs="Times New Roman" w:eastAsia="Times New Roman" w:hAnsi="Times New Roman"/>
          <w:i/>
          <w:iCs/>
        </w:rPr>
        <w:t xml:space="preserve">IEEE Transactions on Automatic Control, 19</w:t>
      </w:r>
      <w:r>
        <w:rPr>
          <w:rFonts w:ascii="Times New Roman" w:cs="Times New Roman" w:eastAsia="Times New Roman" w:hAnsi="Times New Roman"/>
        </w:rPr>
        <w:t xml:space="preserve">(6), 716–723. </w:t>
      </w:r>
      <w:hyperlink w:history="1" r:id="rIdztbmy3mpx-iuyb8v4eyow">
        <w:r>
          <w:rPr>
            <w:rStyle w:val="Hyperlink"/>
            <w:rFonts w:ascii="Times New Roman" w:cs="Times New Roman" w:eastAsia="Times New Roman" w:hAnsi="Times New Roman"/>
          </w:rPr>
          <w:t xml:space="preserve">https://doi.org/10.1109/TAC.1974.1100705</w:t>
        </w:r>
      </w:hyperlink>
      <w:bookmarkEnd w:id="120"/>
    </w:p>
    <w:p>
      <w:pPr>
        <w:spacing w:line="480"/>
        <w:ind w:left="720" w:hanging="720"/>
      </w:pPr>
      <w:bookmarkStart w:name="ref_barnett2005" w:id="121"/>
      <w:r>
        <w:rPr>
          <w:rFonts w:ascii="Times New Roman" w:cs="Times New Roman" w:eastAsia="Times New Roman" w:hAnsi="Times New Roman"/>
        </w:rPr>
        <w:t xml:space="preserve">Barnett, A. G., van der Pols, J. C., &amp; Dobson, A. J. (2005). Regression to the mean: What it is and how to deal with it. </w:t>
      </w:r>
      <w:r>
        <w:rPr>
          <w:rFonts w:ascii="Times New Roman" w:cs="Times New Roman" w:eastAsia="Times New Roman" w:hAnsi="Times New Roman"/>
          <w:i/>
          <w:iCs/>
        </w:rPr>
        <w:t xml:space="preserve">International Journal of Epidemiology, 34</w:t>
      </w:r>
      <w:r>
        <w:rPr>
          <w:rFonts w:ascii="Times New Roman" w:cs="Times New Roman" w:eastAsia="Times New Roman" w:hAnsi="Times New Roman"/>
        </w:rPr>
        <w:t xml:space="preserve">(1), 215–220. </w:t>
      </w:r>
      <w:hyperlink w:history="1" r:id="rIdaeayzbv1wtnia8f9sarmk">
        <w:r>
          <w:rPr>
            <w:rStyle w:val="Hyperlink"/>
            <w:rFonts w:ascii="Times New Roman" w:cs="Times New Roman" w:eastAsia="Times New Roman" w:hAnsi="Times New Roman"/>
          </w:rPr>
          <w:t xml:space="preserve">https://doi.org/10.1093/ije/dyh299</w:t>
        </w:r>
      </w:hyperlink>
      <w:bookmarkEnd w:id="121"/>
    </w:p>
    <w:p>
      <w:pPr>
        <w:spacing w:line="480"/>
        <w:ind w:left="720" w:hanging="720"/>
      </w:pPr>
      <w:bookmarkStart w:name="ref_burnham2002" w:id="122"/>
      <w:r>
        <w:rPr>
          <w:rFonts w:ascii="Times New Roman" w:cs="Times New Roman" w:eastAsia="Times New Roman" w:hAnsi="Times New Roman"/>
        </w:rPr>
        <w:t xml:space="preserve">Burnham, K. P., &amp; Anderson, D. R. (2002). </w:t>
      </w:r>
      <w:r>
        <w:rPr>
          <w:rFonts w:ascii="Times New Roman" w:cs="Times New Roman" w:eastAsia="Times New Roman" w:hAnsi="Times New Roman"/>
          <w:i/>
          <w:iCs/>
        </w:rPr>
        <w:t xml:space="preserve">Model selection and multimodel inference: A practical information-theoretic approach</w:t>
      </w:r>
      <w:r>
        <w:rPr>
          <w:rFonts w:ascii="Times New Roman" w:cs="Times New Roman" w:eastAsia="Times New Roman" w:hAnsi="Times New Roman"/>
        </w:rPr>
        <w:t xml:space="preserve"> (2nd ed.). Springer.</w:t>
      </w:r>
      <w:bookmarkEnd w:id="122"/>
    </w:p>
    <w:p>
      <w:pPr>
        <w:spacing w:line="480"/>
        <w:ind w:left="720" w:hanging="720"/>
      </w:pPr>
      <w:bookmarkStart w:name="ref_cagno2005" w:id="123"/>
      <w:r>
        <w:rPr>
          <w:rFonts w:ascii="Times New Roman" w:cs="Times New Roman" w:eastAsia="Times New Roman" w:hAnsi="Times New Roman"/>
        </w:rPr>
        <w:t xml:space="preserve">Cagno, E., Trucco, P., &amp; Tardini, L. (2005). Cleaner production and profitability: Analysis of 134 industrial pollution prevention (P2) project reports. </w:t>
      </w:r>
      <w:r>
        <w:rPr>
          <w:rFonts w:ascii="Times New Roman" w:cs="Times New Roman" w:eastAsia="Times New Roman" w:hAnsi="Times New Roman"/>
          <w:i/>
          <w:iCs/>
        </w:rPr>
        <w:t xml:space="preserve">Journal of Cleaner Production, 13</w:t>
      </w:r>
      <w:r>
        <w:rPr>
          <w:rFonts w:ascii="Times New Roman" w:cs="Times New Roman" w:eastAsia="Times New Roman" w:hAnsi="Times New Roman"/>
        </w:rPr>
        <w:t xml:space="preserve">(6), 593–605. </w:t>
      </w:r>
      <w:hyperlink w:history="1" r:id="rIdv9n4g4l4sm48a8ynm3u1t">
        <w:r>
          <w:rPr>
            <w:rStyle w:val="Hyperlink"/>
            <w:rFonts w:ascii="Times New Roman" w:cs="Times New Roman" w:eastAsia="Times New Roman" w:hAnsi="Times New Roman"/>
          </w:rPr>
          <w:t xml:space="preserve">https://doi.org/10.1016/j.jclepro.2003.12.025</w:t>
        </w:r>
      </w:hyperlink>
      <w:bookmarkEnd w:id="123"/>
    </w:p>
    <w:p>
      <w:pPr>
        <w:spacing w:line="480"/>
        <w:ind w:left="720" w:hanging="720"/>
      </w:pPr>
      <w:bookmarkStart w:name="ref_cameron2015" w:id="124"/>
      <w:r>
        <w:rPr>
          <w:rFonts w:ascii="Times New Roman" w:cs="Times New Roman" w:eastAsia="Times New Roman" w:hAnsi="Times New Roman"/>
        </w:rPr>
        <w:t xml:space="preserve">Cameron, A. C., &amp; Miller, D. L. (2015). A practitioner’s guide to cluster-robust inference. </w:t>
      </w:r>
      <w:r>
        <w:rPr>
          <w:rFonts w:ascii="Times New Roman" w:cs="Times New Roman" w:eastAsia="Times New Roman" w:hAnsi="Times New Roman"/>
          <w:i/>
          <w:iCs/>
        </w:rPr>
        <w:t xml:space="preserve">Journal of Human Resources, 50</w:t>
      </w:r>
      <w:r>
        <w:rPr>
          <w:rFonts w:ascii="Times New Roman" w:cs="Times New Roman" w:eastAsia="Times New Roman" w:hAnsi="Times New Roman"/>
        </w:rPr>
        <w:t xml:space="preserve">(2), 317–372. </w:t>
      </w:r>
      <w:hyperlink w:history="1" r:id="rIdgktpzysm4h037dv09o086">
        <w:r>
          <w:rPr>
            <w:rStyle w:val="Hyperlink"/>
            <w:rFonts w:ascii="Times New Roman" w:cs="Times New Roman" w:eastAsia="Times New Roman" w:hAnsi="Times New Roman"/>
          </w:rPr>
          <w:t xml:space="preserve">https://doi.org/10.3368/jhr.50.2.317</w:t>
        </w:r>
      </w:hyperlink>
      <w:bookmarkEnd w:id="124"/>
    </w:p>
    <w:p>
      <w:pPr>
        <w:spacing w:line="480"/>
        <w:ind w:left="720" w:hanging="720"/>
      </w:pPr>
      <w:bookmarkStart w:name="ref_gamperrabindran2006" w:id="125"/>
      <w:r>
        <w:rPr>
          <w:rFonts w:ascii="Times New Roman" w:cs="Times New Roman" w:eastAsia="Times New Roman" w:hAnsi="Times New Roman"/>
        </w:rPr>
        <w:t xml:space="preserve">Gamper-Rabindran, S. (2006). Did the EPA’s voluntary industrial toxics program reduce emissions? A GIS analysis of distributional impacts and by-media analysis of substitution. </w:t>
      </w:r>
      <w:r>
        <w:rPr>
          <w:rFonts w:ascii="Times New Roman" w:cs="Times New Roman" w:eastAsia="Times New Roman" w:hAnsi="Times New Roman"/>
          <w:i/>
          <w:iCs/>
        </w:rPr>
        <w:t xml:space="preserve">Journal of Environmental Economics and Management, 52</w:t>
      </w:r>
      <w:r>
        <w:rPr>
          <w:rFonts w:ascii="Times New Roman" w:cs="Times New Roman" w:eastAsia="Times New Roman" w:hAnsi="Times New Roman"/>
        </w:rPr>
        <w:t xml:space="preserve">(1), 391–410.</w:t>
      </w:r>
      <w:bookmarkEnd w:id="125"/>
    </w:p>
    <w:p>
      <w:pPr>
        <w:spacing w:line="480"/>
        <w:ind w:left="720" w:hanging="720"/>
      </w:pPr>
      <w:bookmarkStart w:name="ref_hamilton1995" w:id="126"/>
      <w:r>
        <w:rPr>
          <w:rFonts w:ascii="Times New Roman" w:cs="Times New Roman" w:eastAsia="Times New Roman" w:hAnsi="Times New Roman"/>
        </w:rPr>
        <w:t xml:space="preserve">Hamilton, J. T. (1995). Pollution as news: Media and stock market reactions to the Toxics Release Inventory data. </w:t>
      </w:r>
      <w:r>
        <w:rPr>
          <w:rFonts w:ascii="Times New Roman" w:cs="Times New Roman" w:eastAsia="Times New Roman" w:hAnsi="Times New Roman"/>
          <w:i/>
          <w:iCs/>
        </w:rPr>
        <w:t xml:space="preserve">Journal of Environmental Economics and Management, 28</w:t>
      </w:r>
      <w:r>
        <w:rPr>
          <w:rFonts w:ascii="Times New Roman" w:cs="Times New Roman" w:eastAsia="Times New Roman" w:hAnsi="Times New Roman"/>
        </w:rPr>
        <w:t xml:space="preserve">(1), 98–113. </w:t>
      </w:r>
      <w:hyperlink w:history="1" r:id="rIdcd8esha7dy0lzgzkz0wgv">
        <w:r>
          <w:rPr>
            <w:rStyle w:val="Hyperlink"/>
            <w:rFonts w:ascii="Times New Roman" w:cs="Times New Roman" w:eastAsia="Times New Roman" w:hAnsi="Times New Roman"/>
          </w:rPr>
          <w:t xml:space="preserve">https://doi.org/10.1006/jeem.1995.1007</w:t>
        </w:r>
      </w:hyperlink>
      <w:bookmarkEnd w:id="126"/>
    </w:p>
    <w:p>
      <w:pPr>
        <w:spacing w:line="480"/>
        <w:ind w:left="720" w:hanging="720"/>
      </w:pPr>
      <w:bookmarkStart w:name="ref_holm1979" w:id="127"/>
      <w:r>
        <w:rPr>
          <w:rFonts w:ascii="Times New Roman" w:cs="Times New Roman" w:eastAsia="Times New Roman" w:hAnsi="Times New Roman"/>
        </w:rPr>
        <w:t xml:space="preserve">Holm, S. (1979). A simple sequentially rejective multiple test procedure. </w:t>
      </w:r>
      <w:r>
        <w:rPr>
          <w:rFonts w:ascii="Times New Roman" w:cs="Times New Roman" w:eastAsia="Times New Roman" w:hAnsi="Times New Roman"/>
          <w:i/>
          <w:iCs/>
        </w:rPr>
        <w:t xml:space="preserve">Scandinavian Journal of Statistics, 6</w:t>
      </w:r>
      <w:r>
        <w:rPr>
          <w:rFonts w:ascii="Times New Roman" w:cs="Times New Roman" w:eastAsia="Times New Roman" w:hAnsi="Times New Roman"/>
        </w:rPr>
        <w:t xml:space="preserve">(2), 65–70.</w:t>
      </w:r>
      <w:bookmarkEnd w:id="127"/>
    </w:p>
    <w:p>
      <w:pPr>
        <w:spacing w:line="480"/>
        <w:ind w:left="720" w:hanging="720"/>
      </w:pPr>
      <w:bookmarkStart w:name="ref_king2002" w:id="128"/>
      <w:r>
        <w:rPr>
          <w:rFonts w:ascii="Times New Roman" w:cs="Times New Roman" w:eastAsia="Times New Roman" w:hAnsi="Times New Roman"/>
        </w:rPr>
        <w:t xml:space="preserve">King, A. A., &amp; Lenox, M. J. (2002). Exploring the locus of profitable pollution reduction. </w:t>
      </w:r>
      <w:r>
        <w:rPr>
          <w:rFonts w:ascii="Times New Roman" w:cs="Times New Roman" w:eastAsia="Times New Roman" w:hAnsi="Times New Roman"/>
          <w:i/>
          <w:iCs/>
        </w:rPr>
        <w:t xml:space="preserve">Management Science, 48</w:t>
      </w:r>
      <w:r>
        <w:rPr>
          <w:rFonts w:ascii="Times New Roman" w:cs="Times New Roman" w:eastAsia="Times New Roman" w:hAnsi="Times New Roman"/>
        </w:rPr>
        <w:t xml:space="preserve">(2), 289–299. </w:t>
      </w:r>
      <w:hyperlink w:history="1" r:id="rId-mx0rtn7aiswmpyw_kcxg">
        <w:r>
          <w:rPr>
            <w:rStyle w:val="Hyperlink"/>
            <w:rFonts w:ascii="Times New Roman" w:cs="Times New Roman" w:eastAsia="Times New Roman" w:hAnsi="Times New Roman"/>
          </w:rPr>
          <w:t xml:space="preserve">https://doi.org/10.1287/mnsc.48.2.289.258</w:t>
        </w:r>
      </w:hyperlink>
      <w:bookmarkEnd w:id="128"/>
    </w:p>
    <w:p>
      <w:pPr>
        <w:spacing w:line="480"/>
        <w:ind w:left="720" w:hanging="720"/>
      </w:pPr>
      <w:bookmarkStart w:name="ref_konar1997" w:id="129"/>
      <w:r>
        <w:rPr>
          <w:rFonts w:ascii="Times New Roman" w:cs="Times New Roman" w:eastAsia="Times New Roman" w:hAnsi="Times New Roman"/>
        </w:rPr>
        <w:t xml:space="preserve">Konar, S., &amp; Cohen, M. A. (1997). Information as regulation: The effect of community right to know laws on toxic emissions. </w:t>
      </w:r>
      <w:r>
        <w:rPr>
          <w:rFonts w:ascii="Times New Roman" w:cs="Times New Roman" w:eastAsia="Times New Roman" w:hAnsi="Times New Roman"/>
          <w:i/>
          <w:iCs/>
        </w:rPr>
        <w:t xml:space="preserve">Journal of Environmental Economics and Management, 32</w:t>
      </w:r>
      <w:r>
        <w:rPr>
          <w:rFonts w:ascii="Times New Roman" w:cs="Times New Roman" w:eastAsia="Times New Roman" w:hAnsi="Times New Roman"/>
        </w:rPr>
        <w:t xml:space="preserve">(1), 109–124. </w:t>
      </w:r>
      <w:hyperlink w:history="1" r:id="rIdm0o5jxl5kww3znyj3i4ua">
        <w:r>
          <w:rPr>
            <w:rStyle w:val="Hyperlink"/>
            <w:rFonts w:ascii="Times New Roman" w:cs="Times New Roman" w:eastAsia="Times New Roman" w:hAnsi="Times New Roman"/>
          </w:rPr>
          <w:t xml:space="preserve">https://doi.org/10.1006/jeem.1996.0959</w:t>
        </w:r>
      </w:hyperlink>
      <w:bookmarkEnd w:id="129"/>
    </w:p>
    <w:p>
      <w:pPr>
        <w:spacing w:line="480"/>
        <w:ind w:left="720" w:hanging="720"/>
      </w:pPr>
      <w:bookmarkStart w:name="ref_lin2013" w:id="130"/>
      <w:r>
        <w:rPr>
          <w:rFonts w:ascii="Times New Roman" w:cs="Times New Roman" w:eastAsia="Times New Roman" w:hAnsi="Times New Roman"/>
        </w:rPr>
        <w:t xml:space="preserve">Lin, M., Lucas, H. C., Jr., &amp; Shmueli, G. (2013). Too big to fail: Large samples and the </w:t>
      </w:r>
      <w:r>
        <w:rPr>
          <w:rFonts w:ascii="Times New Roman" w:cs="Times New Roman" w:eastAsia="Times New Roman" w:hAnsi="Times New Roman"/>
          <w:i/>
          <w:iCs/>
        </w:rPr>
        <w:t xml:space="preserve">p</w:t>
      </w:r>
      <w:r>
        <w:rPr>
          <w:rFonts w:ascii="Times New Roman" w:cs="Times New Roman" w:eastAsia="Times New Roman" w:hAnsi="Times New Roman"/>
        </w:rPr>
        <w:t xml:space="preserve">-value problem. </w:t>
      </w:r>
      <w:r>
        <w:rPr>
          <w:rFonts w:ascii="Times New Roman" w:cs="Times New Roman" w:eastAsia="Times New Roman" w:hAnsi="Times New Roman"/>
          <w:i/>
          <w:iCs/>
        </w:rPr>
        <w:t xml:space="preserve">Information Systems Research, 24</w:t>
      </w:r>
      <w:r>
        <w:rPr>
          <w:rFonts w:ascii="Times New Roman" w:cs="Times New Roman" w:eastAsia="Times New Roman" w:hAnsi="Times New Roman"/>
        </w:rPr>
        <w:t xml:space="preserve">(4), 906–917. </w:t>
      </w:r>
      <w:hyperlink w:history="1" r:id="rIdb3bamcbqar4egegolklyi">
        <w:r>
          <w:rPr>
            <w:rStyle w:val="Hyperlink"/>
            <w:rFonts w:ascii="Times New Roman" w:cs="Times New Roman" w:eastAsia="Times New Roman" w:hAnsi="Times New Roman"/>
          </w:rPr>
          <w:t xml:space="preserve">https://doi.org/10.1287/isre.2013.0480</w:t>
        </w:r>
      </w:hyperlink>
      <w:bookmarkEnd w:id="130"/>
    </w:p>
    <w:p>
      <w:pPr>
        <w:spacing w:line="480"/>
        <w:ind w:left="720" w:hanging="720"/>
      </w:pPr>
      <w:bookmarkStart w:name="ref_peduzzi1996" w:id="131"/>
      <w:r>
        <w:rPr>
          <w:rFonts w:ascii="Times New Roman" w:cs="Times New Roman" w:eastAsia="Times New Roman" w:hAnsi="Times New Roman"/>
        </w:rPr>
        <w:t xml:space="preserve">Peduzzi, P., Concato, J., Kemper, E., Holford, T. R., &amp; Feinstein, A. R. (1996). A simulation study of the number of events per variable in logistic regression analysis. </w:t>
      </w:r>
      <w:r>
        <w:rPr>
          <w:rFonts w:ascii="Times New Roman" w:cs="Times New Roman" w:eastAsia="Times New Roman" w:hAnsi="Times New Roman"/>
          <w:i/>
          <w:iCs/>
        </w:rPr>
        <w:t xml:space="preserve">Journal of Clinical Epidemiology, 49</w:t>
      </w:r>
      <w:r>
        <w:rPr>
          <w:rFonts w:ascii="Times New Roman" w:cs="Times New Roman" w:eastAsia="Times New Roman" w:hAnsi="Times New Roman"/>
        </w:rPr>
        <w:t xml:space="preserve">(12), 1373–1379. </w:t>
      </w:r>
      <w:hyperlink w:history="1" r:id="rId4kef-mfzg5eambfbaslfe">
        <w:r>
          <w:rPr>
            <w:rStyle w:val="Hyperlink"/>
            <w:rFonts w:ascii="Times New Roman" w:cs="Times New Roman" w:eastAsia="Times New Roman" w:hAnsi="Times New Roman"/>
          </w:rPr>
          <w:t xml:space="preserve">https://doi.org/10.1016/S0895-4356(96)00236-3</w:t>
        </w:r>
      </w:hyperlink>
      <w:bookmarkEnd w:id="131"/>
    </w:p>
    <w:p>
      <w:pPr>
        <w:spacing w:line="480"/>
        <w:ind w:left="720" w:hanging="720"/>
      </w:pPr>
      <w:bookmarkStart w:name="ref_ranson2015" w:id="132"/>
      <w:r>
        <w:rPr>
          <w:rFonts w:ascii="Times New Roman" w:cs="Times New Roman" w:eastAsia="Times New Roman" w:hAnsi="Times New Roman"/>
        </w:rPr>
        <w:t xml:space="preserve">Ranson, M., Cox, B., Keenan, C., &amp; Teitelbaum, D. (2015). The impact of pollution prevention on toxic environmental releases from U.S. manufacturing facilities. </w:t>
      </w:r>
      <w:r>
        <w:rPr>
          <w:rFonts w:ascii="Times New Roman" w:cs="Times New Roman" w:eastAsia="Times New Roman" w:hAnsi="Times New Roman"/>
          <w:i/>
          <w:iCs/>
        </w:rPr>
        <w:t xml:space="preserve">Environmental Science &amp; Technology, 49</w:t>
      </w:r>
      <w:r>
        <w:rPr>
          <w:rFonts w:ascii="Times New Roman" w:cs="Times New Roman" w:eastAsia="Times New Roman" w:hAnsi="Times New Roman"/>
        </w:rPr>
        <w:t xml:space="preserve">(21), 12951–12957. </w:t>
      </w:r>
      <w:hyperlink w:history="1" r:id="rIdmrzcqstpvm1ral4ctflz2">
        <w:r>
          <w:rPr>
            <w:rStyle w:val="Hyperlink"/>
            <w:rFonts w:ascii="Times New Roman" w:cs="Times New Roman" w:eastAsia="Times New Roman" w:hAnsi="Times New Roman"/>
          </w:rPr>
          <w:t xml:space="preserve">https://doi.org/10.1021/acs.est.5b02367</w:t>
        </w:r>
      </w:hyperlink>
      <w:bookmarkEnd w:id="132"/>
    </w:p>
    <w:p>
      <w:pPr>
        <w:spacing w:line="480"/>
        <w:ind w:left="720" w:hanging="720"/>
      </w:pPr>
      <w:bookmarkStart w:name="ref_riley2019" w:id="133"/>
      <w:r>
        <w:rPr>
          <w:rFonts w:ascii="Times New Roman" w:cs="Times New Roman" w:eastAsia="Times New Roman" w:hAnsi="Times New Roman"/>
        </w:rPr>
        <w:t xml:space="preserve">Riley, R. D., Snell, K. I. E., Ensor, J., Burke, D. L., Harrell, F. E., Jr., Moons, K. G. M., &amp; Collins, G. S. (2019). Minimum sample size for developing a multivariable prediction model: Part II—Binary and time-to-event outcomes. </w:t>
      </w:r>
      <w:r>
        <w:rPr>
          <w:rFonts w:ascii="Times New Roman" w:cs="Times New Roman" w:eastAsia="Times New Roman" w:hAnsi="Times New Roman"/>
          <w:i/>
          <w:iCs/>
        </w:rPr>
        <w:t xml:space="preserve">Statistics in Medicine, 38</w:t>
      </w:r>
      <w:r>
        <w:rPr>
          <w:rFonts w:ascii="Times New Roman" w:cs="Times New Roman" w:eastAsia="Times New Roman" w:hAnsi="Times New Roman"/>
        </w:rPr>
        <w:t xml:space="preserve">(7), 1276–1296. </w:t>
      </w:r>
      <w:hyperlink w:history="1" r:id="rId-9nrkbllckskmzthq6m3q">
        <w:r>
          <w:rPr>
            <w:rStyle w:val="Hyperlink"/>
            <w:rFonts w:ascii="Times New Roman" w:cs="Times New Roman" w:eastAsia="Times New Roman" w:hAnsi="Times New Roman"/>
          </w:rPr>
          <w:t xml:space="preserve">https://doi.org/10.1002/sim.7992</w:t>
        </w:r>
      </w:hyperlink>
      <w:bookmarkEnd w:id="133"/>
    </w:p>
    <w:p>
      <w:pPr>
        <w:spacing w:line="480"/>
        <w:ind w:left="720" w:hanging="720"/>
      </w:pPr>
      <w:bookmarkStart w:name="ref_steyerberg2010" w:id="134"/>
      <w:r>
        <w:rPr>
          <w:rFonts w:ascii="Times New Roman" w:cs="Times New Roman" w:eastAsia="Times New Roman" w:hAnsi="Times New Roman"/>
        </w:rPr>
        <w:t xml:space="preserve">Steyerberg, E. W., Vickers, A. J., Cook, N. R., Gerds, T., Gonen, M., Obuchowski, N., Pencina, M. J., &amp; Kattan, M. W. (2010). Assessing the performance of prediction models: A framework for traditional and novel measures. </w:t>
      </w:r>
      <w:r>
        <w:rPr>
          <w:rFonts w:ascii="Times New Roman" w:cs="Times New Roman" w:eastAsia="Times New Roman" w:hAnsi="Times New Roman"/>
          <w:i/>
          <w:iCs/>
        </w:rPr>
        <w:t xml:space="preserve">Epidemiology, 21</w:t>
      </w:r>
      <w:r>
        <w:rPr>
          <w:rFonts w:ascii="Times New Roman" w:cs="Times New Roman" w:eastAsia="Times New Roman" w:hAnsi="Times New Roman"/>
        </w:rPr>
        <w:t xml:space="preserve">(1), 128–138. </w:t>
      </w:r>
      <w:hyperlink w:history="1" r:id="rIdwepj-jhgfbpanhweb8zlh">
        <w:r>
          <w:rPr>
            <w:rStyle w:val="Hyperlink"/>
            <w:rFonts w:ascii="Times New Roman" w:cs="Times New Roman" w:eastAsia="Times New Roman" w:hAnsi="Times New Roman"/>
          </w:rPr>
          <w:t xml:space="preserve">https://doi.org/10.1097/EDE.0b013e3181c30fb2</w:t>
        </w:r>
      </w:hyperlink>
      <w:bookmarkEnd w:id="134"/>
    </w:p>
    <w:p>
      <w:pPr>
        <w:spacing w:line="480"/>
        <w:ind w:left="720" w:hanging="720"/>
      </w:pPr>
      <w:bookmarkStart w:name="ref_epa2025a" w:id="135"/>
      <w:r>
        <w:rPr>
          <w:rFonts w:ascii="Times New Roman" w:cs="Times New Roman" w:eastAsia="Times New Roman" w:hAnsi="Times New Roman"/>
        </w:rPr>
        <w:t xml:space="preserve">U.S. Environmental Protection Agency. (2025a). </w:t>
      </w:r>
      <w:r>
        <w:rPr>
          <w:rFonts w:ascii="Times New Roman" w:cs="Times New Roman" w:eastAsia="Times New Roman" w:hAnsi="Times New Roman"/>
          <w:i/>
          <w:iCs/>
        </w:rPr>
        <w:t xml:space="preserve">Pollution prevention and source reduction assistance</w:t>
      </w:r>
      <w:r>
        <w:rPr>
          <w:rFonts w:ascii="Times New Roman" w:cs="Times New Roman" w:eastAsia="Times New Roman" w:hAnsi="Times New Roman"/>
        </w:rPr>
        <w:t xml:space="preserve">. </w:t>
      </w:r>
      <w:hyperlink w:history="1" r:id="rIdhgamh9-jnsu9yjuxdl0_j">
        <w:r>
          <w:rPr>
            <w:rStyle w:val="Hyperlink"/>
            <w:rFonts w:ascii="Times New Roman" w:cs="Times New Roman" w:eastAsia="Times New Roman" w:hAnsi="Times New Roman"/>
          </w:rPr>
          <w:t xml:space="preserve">https://www.epa.gov/p2</w:t>
        </w:r>
      </w:hyperlink>
      <w:bookmarkEnd w:id="135"/>
    </w:p>
    <w:p>
      <w:pPr>
        <w:spacing w:line="480"/>
        <w:ind w:left="720" w:hanging="720"/>
      </w:pPr>
      <w:bookmarkStart w:name="ref_epa2025b" w:id="136"/>
      <w:r>
        <w:rPr>
          <w:rFonts w:ascii="Times New Roman" w:cs="Times New Roman" w:eastAsia="Times New Roman" w:hAnsi="Times New Roman"/>
        </w:rPr>
        <w:t xml:space="preserve">U.S. Environmental Protection Agency. (2025b). </w:t>
      </w:r>
      <w:r>
        <w:rPr>
          <w:rFonts w:ascii="Times New Roman" w:cs="Times New Roman" w:eastAsia="Times New Roman" w:hAnsi="Times New Roman"/>
          <w:i/>
          <w:iCs/>
        </w:rPr>
        <w:t xml:space="preserve">Toxics Release Inventory national analysis</w:t>
      </w:r>
      <w:r>
        <w:rPr>
          <w:rFonts w:ascii="Times New Roman" w:cs="Times New Roman" w:eastAsia="Times New Roman" w:hAnsi="Times New Roman"/>
        </w:rPr>
        <w:t xml:space="preserve">. </w:t>
      </w:r>
      <w:hyperlink w:history="1" r:id="rIdbwgx6wd9vztdesgs8fdu3">
        <w:r>
          <w:rPr>
            <w:rStyle w:val="Hyperlink"/>
            <w:rFonts w:ascii="Times New Roman" w:cs="Times New Roman" w:eastAsia="Times New Roman" w:hAnsi="Times New Roman"/>
          </w:rPr>
          <w:t xml:space="preserve">https://www.epa.gov/trinationalanalysis</w:t>
        </w:r>
      </w:hyperlink>
      <w:bookmarkEnd w:id="136"/>
    </w:p>
    <w:p>
      <w:pPr>
        <w:spacing w:line="480"/>
        <w:ind w:left="720" w:hanging="720"/>
      </w:pPr>
      <w:bookmarkStart w:name="ref_epa2025c" w:id="137"/>
      <w:r>
        <w:rPr>
          <w:rFonts w:ascii="Times New Roman" w:cs="Times New Roman" w:eastAsia="Times New Roman" w:hAnsi="Times New Roman"/>
        </w:rPr>
        <w:t xml:space="preserve">U.S. Environmental Protection Agency. (2025c). </w:t>
      </w:r>
      <w:r>
        <w:rPr>
          <w:rFonts w:ascii="Times New Roman" w:cs="Times New Roman" w:eastAsia="Times New Roman" w:hAnsi="Times New Roman"/>
          <w:i/>
          <w:iCs/>
        </w:rPr>
        <w:t xml:space="preserve">TRI Basic Plus data files: Calendar years 1987–present</w:t>
      </w:r>
      <w:r>
        <w:rPr>
          <w:rFonts w:ascii="Times New Roman" w:cs="Times New Roman" w:eastAsia="Times New Roman" w:hAnsi="Times New Roman"/>
        </w:rPr>
        <w:t xml:space="preserve">. </w:t>
      </w:r>
      <w:hyperlink w:history="1" r:id="rIdehtyv55-6obqchnsyq8gu">
        <w:r>
          <w:rPr>
            <w:rStyle w:val="Hyperlink"/>
            <w:rFonts w:ascii="Times New Roman" w:cs="Times New Roman" w:eastAsia="Times New Roman" w:hAnsi="Times New Roman"/>
          </w:rPr>
          <w:t xml:space="preserve">https://www.epa.gov/toxics-release-inventory-tri-program/tri-basic-plus-data-files-calendar-years-1987-present</w:t>
        </w:r>
      </w:hyperlink>
      <w:bookmarkEnd w:id="137"/>
    </w:p>
    <w:p>
      <w:pPr>
        <w:spacing w:line="480"/>
        <w:ind w:left="720" w:hanging="720"/>
      </w:pPr>
      <w:bookmarkStart w:name="ref_epa2025d" w:id="138"/>
      <w:r>
        <w:rPr>
          <w:rFonts w:ascii="Times New Roman" w:cs="Times New Roman" w:eastAsia="Times New Roman" w:hAnsi="Times New Roman"/>
        </w:rPr>
        <w:t xml:space="preserve">U.S. Environmental Protection Agency. (2025d). </w:t>
      </w:r>
      <w:r>
        <w:rPr>
          <w:rFonts w:ascii="Times New Roman" w:cs="Times New Roman" w:eastAsia="Times New Roman" w:hAnsi="Times New Roman"/>
          <w:i/>
          <w:iCs/>
        </w:rPr>
        <w:t xml:space="preserve">TRI Basic Plus data files guides</w:t>
      </w:r>
      <w:r>
        <w:rPr>
          <w:rFonts w:ascii="Times New Roman" w:cs="Times New Roman" w:eastAsia="Times New Roman" w:hAnsi="Times New Roman"/>
        </w:rPr>
        <w:t xml:space="preserve">. </w:t>
      </w:r>
      <w:hyperlink w:history="1" r:id="rIdil8tvr-e410mei8ht-ybz">
        <w:r>
          <w:rPr>
            <w:rStyle w:val="Hyperlink"/>
            <w:rFonts w:ascii="Times New Roman" w:cs="Times New Roman" w:eastAsia="Times New Roman" w:hAnsi="Times New Roman"/>
          </w:rPr>
          <w:t xml:space="preserve">https://www.epa.gov/toxics-release-inventory-tri-program/tri-basic-plus-data-files-guides</w:t>
        </w:r>
      </w:hyperlink>
      <w:bookmarkEnd w:id="138"/>
    </w:p>
    <w:p>
      <w:pPr>
        <w:spacing w:line="480"/>
        <w:ind w:left="720" w:hanging="720"/>
      </w:pPr>
      <w:bookmarkStart w:name="ref_vancalster2019" w:id="139"/>
      <w:r>
        <w:rPr>
          <w:rFonts w:ascii="Times New Roman" w:cs="Times New Roman" w:eastAsia="Times New Roman" w:hAnsi="Times New Roman"/>
        </w:rPr>
        <w:t xml:space="preserve">Van Calster, B., McLernon, D. J., van Smeden, M., Wynants, L., &amp; Steyerberg, E. W. (2019). Calibration: The Achilles heel of predictive analytics. </w:t>
      </w:r>
      <w:r>
        <w:rPr>
          <w:rFonts w:ascii="Times New Roman" w:cs="Times New Roman" w:eastAsia="Times New Roman" w:hAnsi="Times New Roman"/>
          <w:i/>
          <w:iCs/>
        </w:rPr>
        <w:t xml:space="preserve">BMC Medicine, 17</w:t>
      </w:r>
      <w:r>
        <w:rPr>
          <w:rFonts w:ascii="Times New Roman" w:cs="Times New Roman" w:eastAsia="Times New Roman" w:hAnsi="Times New Roman"/>
        </w:rPr>
        <w:t xml:space="preserve">, Article 230. </w:t>
      </w:r>
      <w:hyperlink w:history="1" r:id="rIdrpyeovvzah4cdoxttjtz4">
        <w:r>
          <w:rPr>
            <w:rStyle w:val="Hyperlink"/>
            <w:rFonts w:ascii="Times New Roman" w:cs="Times New Roman" w:eastAsia="Times New Roman" w:hAnsi="Times New Roman"/>
          </w:rPr>
          <w:t xml:space="preserve">https://doi.org/10.1186/s12916-019-1466-7</w:t>
        </w:r>
      </w:hyperlink>
      <w:bookmarkEnd w:id="139"/>
    </w:p>
    <w:p>
      <w:pPr>
        <w:spacing w:line="480"/>
        <w:ind w:left="720" w:hanging="720"/>
      </w:pPr>
      <w:bookmarkStart w:name="ref_vansmeden2019" w:id="140"/>
      <w:r>
        <w:rPr>
          <w:rFonts w:ascii="Times New Roman" w:cs="Times New Roman" w:eastAsia="Times New Roman" w:hAnsi="Times New Roman"/>
        </w:rPr>
        <w:t xml:space="preserve">van Smeden, M., Moons, K. G. M., de Groot, J. A. H., Collins, G. S., Altman, D. G., Eijkemans, M. J. C., &amp; Reitsma, J. B. (2019). Sample size for binary logistic prediction models: Beyond events per variable criteria. </w:t>
      </w:r>
      <w:r>
        <w:rPr>
          <w:rFonts w:ascii="Times New Roman" w:cs="Times New Roman" w:eastAsia="Times New Roman" w:hAnsi="Times New Roman"/>
          <w:i/>
          <w:iCs/>
        </w:rPr>
        <w:t xml:space="preserve">Statistical Methods in Medical Research, 28</w:t>
      </w:r>
      <w:r>
        <w:rPr>
          <w:rFonts w:ascii="Times New Roman" w:cs="Times New Roman" w:eastAsia="Times New Roman" w:hAnsi="Times New Roman"/>
        </w:rPr>
        <w:t xml:space="preserve">(8), 2455–2474. </w:t>
      </w:r>
      <w:hyperlink w:history="1" r:id="rIdvqy4umdn_w1ak_4mxgxct">
        <w:r>
          <w:rPr>
            <w:rStyle w:val="Hyperlink"/>
            <w:rFonts w:ascii="Times New Roman" w:cs="Times New Roman" w:eastAsia="Times New Roman" w:hAnsi="Times New Roman"/>
          </w:rPr>
          <w:t xml:space="preserve">https://doi.org/10.1177/0962280218784726</w:t>
        </w:r>
      </w:hyperlink>
      <w:bookmarkEnd w:id="140"/>
    </w:p>
    <w:p>
      <w:pPr>
        <w:spacing w:line="480"/>
        <w:ind w:left="720" w:hanging="720"/>
      </w:pPr>
      <w:bookmarkStart w:name="ref_zou2005" w:id="141"/>
      <w:r>
        <w:rPr>
          <w:rFonts w:ascii="Times New Roman" w:cs="Times New Roman" w:eastAsia="Times New Roman" w:hAnsi="Times New Roman"/>
        </w:rPr>
        <w:t xml:space="preserve">Zou, H., &amp; Hastie, T. (2005). Regularization and variable selection via the elastic net. </w:t>
      </w:r>
      <w:r>
        <w:rPr>
          <w:rFonts w:ascii="Times New Roman" w:cs="Times New Roman" w:eastAsia="Times New Roman" w:hAnsi="Times New Roman"/>
          <w:i/>
          <w:iCs/>
        </w:rPr>
        <w:t xml:space="preserve">Journal of the Royal Statistical Society: Series B (Statistical Methodology), 67</w:t>
      </w:r>
      <w:r>
        <w:rPr>
          <w:rFonts w:ascii="Times New Roman" w:cs="Times New Roman" w:eastAsia="Times New Roman" w:hAnsi="Times New Roman"/>
        </w:rPr>
        <w:t xml:space="preserve">(2), 301–320. </w:t>
      </w:r>
      <w:hyperlink w:history="1" r:id="rId3w4n3iwyjxalmrqoofcpb">
        <w:r>
          <w:rPr>
            <w:rStyle w:val="Hyperlink"/>
            <w:rFonts w:ascii="Times New Roman" w:cs="Times New Roman" w:eastAsia="Times New Roman" w:hAnsi="Times New Roman"/>
          </w:rPr>
          <w:t xml:space="preserve">https://doi.org/10.1111/j.1467-9868.2005.00503.x</w:t>
        </w:r>
      </w:hyperlink>
      <w:bookmarkEnd w:id="141"/>
    </w:p>
    <w:p>
      <w:pPr>
        <w:pStyle w:val="Heading1"/>
        <w:keepNext/>
        <w:pageBreakBefore/>
        <w:spacing w:after="0" w:before="0" w:line="480"/>
        <w:jc w:val="center"/>
      </w:pPr>
      <w:bookmarkStart w:name="app_A" w:id="142"/>
      <w:r>
        <w:rPr>
          <w:rFonts w:ascii="Times New Roman" w:cs="Times New Roman" w:eastAsia="Times New Roman" w:hAnsi="Times New Roman"/>
          <w:b/>
          <w:bCs/>
          <w:color w:val="000000"/>
          <w:sz w:val="24"/>
          <w:szCs w:val="24"/>
        </w:rPr>
        <w:t xml:space="preserve">Appendix A</w:t>
      </w:r>
      <w:bookmarkEnd w:id="142"/>
    </w:p>
    <w:p>
      <w:pPr>
        <w:pStyle w:val="Heading1"/>
        <w:keepNext/>
        <w:spacing w:after="0" w:before="0" w:line="480"/>
        <w:jc w:val="center"/>
      </w:pPr>
      <w:r>
        <w:rPr>
          <w:rFonts w:ascii="Times New Roman" w:cs="Times New Roman" w:eastAsia="Times New Roman" w:hAnsi="Times New Roman"/>
          <w:b/>
          <w:bCs/>
          <w:color w:val="000000"/>
          <w:sz w:val="24"/>
          <w:szCs w:val="24"/>
        </w:rPr>
        <w:t xml:space="preserve">Extended Exploratory Data Analysis</w:t>
      </w:r>
    </w:p>
    <w:p>
      <w:pPr>
        <w:keepNext w:val="false"/>
        <w:spacing w:after="0" w:before="0" w:line="480"/>
        <w:ind w:firstLine="720"/>
        <w:jc w:val="left"/>
      </w:pPr>
      <w:r>
        <w:rPr>
          <w:rFonts w:ascii="Times New Roman" w:cs="Times New Roman" w:eastAsia="Times New Roman" w:hAnsi="Times New Roman"/>
        </w:rPr>
        <w:t xml:space="preserve">This appendix expands on </w:t>
      </w:r>
      <w:hyperlink w:history="1" w:anchor="tbl_2">
        <w:r>
          <w:rPr>
            <w:rFonts w:ascii="Times New Roman" w:cs="Times New Roman" w:eastAsia="Times New Roman" w:hAnsi="Times New Roman"/>
            <w:color w:val="0563C1"/>
          </w:rPr>
          <w:t xml:space="preserve">Table 2</w:t>
        </w:r>
      </w:hyperlink>
      <w:r>
        <w:rPr>
          <w:rFonts w:ascii="Times New Roman" w:cs="Times New Roman" w:eastAsia="Times New Roman" w:hAnsi="Times New Roman"/>
        </w:rPr>
        <w:t xml:space="preserve"> in the main text. The figures were produced by the exploratory data analysis notebook in the project repository using development data only, and every proportion carries a Wilson score interval (Agresti &amp; Coull, 1998). Charts from that notebook keep their original panel labels.</w:t>
      </w:r>
    </w:p>
    <w:p>
      <w:pPr>
        <w:pStyle w:val="Heading2"/>
        <w:keepNext/>
        <w:spacing w:after="0" w:before="0" w:line="480"/>
      </w:pPr>
      <w:r>
        <w:rPr>
          <w:rFonts w:ascii="Times New Roman" w:cs="Times New Roman" w:eastAsia="Times New Roman" w:hAnsi="Times New Roman"/>
          <w:b/>
          <w:bCs/>
          <w:color w:val="000000"/>
          <w:sz w:val="24"/>
          <w:szCs w:val="24"/>
        </w:rPr>
        <w:t xml:space="preserve">Rare Exposure and a Coding-Scheme Change</w:t>
      </w:r>
    </w:p>
    <w:p>
      <w:pPr>
        <w:keepNext w:val="false"/>
        <w:spacing w:after="0" w:before="0" w:line="480"/>
        <w:ind w:firstLine="720"/>
        <w:jc w:val="left"/>
      </w:pPr>
      <w:r>
        <w:rPr>
          <w:rFonts w:ascii="Times New Roman" w:cs="Times New Roman" w:eastAsia="Times New Roman" w:hAnsi="Times New Roman"/>
        </w:rPr>
        <w:t xml:space="preserve">Only 6,012 of 123,535 development records (4.87%) reported any prevention action, while 31.48% met the reduction threshold (</w:t>
      </w:r>
      <w:hyperlink w:history="1" w:anchor="fig_A1">
        <w:r>
          <w:rPr>
            <w:rFonts w:ascii="Times New Roman" w:cs="Times New Roman" w:eastAsia="Times New Roman" w:hAnsi="Times New Roman"/>
            <w:color w:val="0563C1"/>
          </w:rPr>
          <w:t xml:space="preserve">Figure A1</w:t>
        </w:r>
      </w:hyperlink>
      <w:r>
        <w:rPr>
          <w:rFonts w:ascii="Times New Roman" w:cs="Times New Roman" w:eastAsia="Times New Roman" w:hAnsi="Times New Roman"/>
        </w:rPr>
        <w:t xml:space="preserve">). Rare exposure, not class imbalance, was therefore the main statistical constraint. The EPA also replaced legacy W codes with S codes after 2020 (</w:t>
      </w:r>
      <w:hyperlink w:history="1" w:anchor="fig_A2">
        <w:r>
          <w:rPr>
            <w:rFonts w:ascii="Times New Roman" w:cs="Times New Roman" w:eastAsia="Times New Roman" w:hAnsi="Times New Roman"/>
            <w:color w:val="0563C1"/>
          </w:rPr>
          <w:t xml:space="preserve">Figure A2</w:t>
        </w:r>
      </w:hyperlink>
      <w:r>
        <w:rPr>
          <w:rFonts w:ascii="Times New Roman" w:cs="Times New Roman" w:eastAsia="Times New Roman" w:hAnsi="Times New Roman"/>
        </w:rPr>
        <w:t xml:space="preserve">). Process or equipment modification rose from 1.32% to 2.13% and material modification from 0.41% to 0.87% across that boundary, while the other three types stayed flat (</w:t>
      </w:r>
      <w:hyperlink w:history="1" w:anchor="fig_A3">
        <w:r>
          <w:rPr>
            <w:rFonts w:ascii="Times New Roman" w:cs="Times New Roman" w:eastAsia="Times New Roman" w:hAnsi="Times New Roman"/>
            <w:color w:val="0563C1"/>
          </w:rPr>
          <w:t xml:space="preserve">Figure A3</w:t>
        </w:r>
      </w:hyperlink>
      <w:r>
        <w:rPr>
          <w:rFonts w:ascii="Times New Roman" w:cs="Times New Roman" w:eastAsia="Times New Roman" w:hAnsi="Times New Roman"/>
        </w:rPr>
        <w:t xml:space="preserve">). Because the jump coincides with the scheme change, part of it may reflect coding rather than behavior, so the key association was re-estimated without the 2020-to-2021 transition.</w:t>
      </w:r>
    </w:p>
    <w:p>
      <w:pPr>
        <w:pStyle w:val="Heading2"/>
        <w:keepNext/>
        <w:spacing w:after="0" w:before="0" w:line="480"/>
      </w:pPr>
      <w:r>
        <w:rPr>
          <w:rFonts w:ascii="Times New Roman" w:cs="Times New Roman" w:eastAsia="Times New Roman" w:hAnsi="Times New Roman"/>
          <w:b/>
          <w:bCs/>
          <w:color w:val="000000"/>
          <w:sz w:val="24"/>
          <w:szCs w:val="24"/>
        </w:rPr>
        <w:t xml:space="preserve">Industry Composition and a Confounded Raw Gap</w:t>
      </w:r>
    </w:p>
    <w:p>
      <w:pPr>
        <w:keepNext w:val="false"/>
        <w:spacing w:after="0" w:before="0" w:line="480"/>
        <w:ind w:firstLine="720"/>
        <w:jc w:val="left"/>
      </w:pPr>
      <w:r>
        <w:rPr>
          <w:rFonts w:ascii="Times New Roman" w:cs="Times New Roman" w:eastAsia="Times New Roman" w:hAnsi="Times New Roman"/>
        </w:rPr>
        <w:t xml:space="preserve">Subsectors that reported the most actions were not those that reduced most often. Nonmetallic mineral products reported actions on 1.63% of records but had the second-highest reduction rate (35.04%), while computer and electronic products reported actions on 12.02% of records and reduced at 30.24% (</w:t>
      </w:r>
      <w:hyperlink w:history="1" w:anchor="fig_A4">
        <w:r>
          <w:rPr>
            <w:rFonts w:ascii="Times New Roman" w:cs="Times New Roman" w:eastAsia="Times New Roman" w:hAnsi="Times New Roman"/>
            <w:color w:val="0563C1"/>
          </w:rPr>
          <w:t xml:space="preserve">Figure A4</w:t>
        </w:r>
      </w:hyperlink>
      <w:r>
        <w:rPr>
          <w:rFonts w:ascii="Times New Roman" w:cs="Times New Roman" w:eastAsia="Times New Roman" w:hAnsi="Times New Roman"/>
        </w:rPr>
        <w:t xml:space="preserve">). Records reporting any action reduced at 34.91%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6,012), compared with 31.31% for records reporting none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117,523), a gap of 3.61 percentage points, 95% CI [2.37, 4.84] (</w:t>
      </w:r>
      <w:hyperlink w:history="1" w:anchor="fig_A5">
        <w:r>
          <w:rPr>
            <w:rFonts w:ascii="Times New Roman" w:cs="Times New Roman" w:eastAsia="Times New Roman" w:hAnsi="Times New Roman"/>
            <w:color w:val="0563C1"/>
          </w:rPr>
          <w:t xml:space="preserve">Figure A5</w:t>
        </w:r>
      </w:hyperlink>
      <w:r>
        <w:rPr>
          <w:rFonts w:ascii="Times New Roman" w:cs="Times New Roman" w:eastAsia="Times New Roman" w:hAnsi="Times New Roman"/>
        </w:rPr>
        <w:t xml:space="preserve">). However, seven of 19 covariates differed by more than a standardized mean difference of 0.10, and the two largest differences (0.244 and 0.232) reflected industry composition (</w:t>
      </w:r>
      <w:hyperlink w:history="1" w:anchor="fig_A6">
        <w:r>
          <w:rPr>
            <w:rFonts w:ascii="Times New Roman" w:cs="Times New Roman" w:eastAsia="Times New Roman" w:hAnsi="Times New Roman"/>
            <w:color w:val="0563C1"/>
          </w:rPr>
          <w:t xml:space="preserve">Figure A6</w:t>
        </w:r>
      </w:hyperlink>
      <w:r>
        <w:rPr>
          <w:rFonts w:ascii="Times New Roman" w:cs="Times New Roman" w:eastAsia="Times New Roman" w:hAnsi="Times New Roman"/>
        </w:rPr>
        <w:t xml:space="preserve">). The gap was positive in every displayed stratum, but several stratum intervals included zero (</w:t>
      </w:r>
      <w:hyperlink w:history="1" w:anchor="fig_A7">
        <w:r>
          <w:rPr>
            <w:rFonts w:ascii="Times New Roman" w:cs="Times New Roman" w:eastAsia="Times New Roman" w:hAnsi="Times New Roman"/>
            <w:color w:val="0563C1"/>
          </w:rPr>
          <w:t xml:space="preserve">Figure A7</w:t>
        </w:r>
      </w:hyperlink>
      <w:r>
        <w:rPr>
          <w:rFonts w:ascii="Times New Roman" w:cs="Times New Roman" w:eastAsia="Times New Roman" w:hAnsi="Times New Roman"/>
        </w:rPr>
        <w:t xml:space="preserve">). The raw gap could not be interpreted until industry, release level, and year were adjusted, which is the RQ2 question.</w:t>
      </w:r>
    </w:p>
    <w:p>
      <w:pPr>
        <w:pStyle w:val="Heading2"/>
        <w:keepNext/>
        <w:spacing w:after="0" w:before="0" w:line="480"/>
      </w:pPr>
      <w:r>
        <w:rPr>
          <w:rFonts w:ascii="Times New Roman" w:cs="Times New Roman" w:eastAsia="Times New Roman" w:hAnsi="Times New Roman"/>
          <w:b/>
          <w:bCs/>
          <w:color w:val="000000"/>
          <w:sz w:val="24"/>
          <w:szCs w:val="24"/>
        </w:rPr>
        <w:t xml:space="preserve">Skewed Releases and the Production Ratio</w:t>
      </w:r>
    </w:p>
    <w:p>
      <w:pPr>
        <w:keepNext w:val="false"/>
        <w:spacing w:after="0" w:before="0" w:line="480"/>
        <w:ind w:firstLine="720"/>
        <w:jc w:val="left"/>
      </w:pPr>
      <w:r>
        <w:rPr>
          <w:rFonts w:ascii="Times New Roman" w:cs="Times New Roman" w:eastAsia="Times New Roman" w:hAnsi="Times New Roman"/>
        </w:rPr>
        <w:t xml:space="preserve">Across 122,017 pound-reported records, the mean current release was 24,737 lb against a median of only 217 lb, with a maximum of 19,750,398 lb and skewness of 34.6 (</w:t>
      </w:r>
      <w:hyperlink w:history="1" w:anchor="fig_A8">
        <w:r>
          <w:rPr>
            <w:rFonts w:ascii="Times New Roman" w:cs="Times New Roman" w:eastAsia="Times New Roman" w:hAnsi="Times New Roman"/>
            <w:color w:val="0563C1"/>
          </w:rPr>
          <w:t xml:space="preserve">Figure A8</w:t>
        </w:r>
      </w:hyperlink>
      <w:r>
        <w:rPr>
          <w:rFonts w:ascii="Times New Roman" w:cs="Times New Roman" w:eastAsia="Times New Roman" w:hAnsi="Times New Roman"/>
        </w:rPr>
        <w:t xml:space="preserve">). The extremes were genuine large emitters and were kept. Reduction rates did not rise steadily with release size (</w:t>
      </w:r>
      <w:hyperlink w:history="1" w:anchor="fig_A9">
        <w:r>
          <w:rPr>
            <w:rFonts w:ascii="Times New Roman" w:cs="Times New Roman" w:eastAsia="Times New Roman" w:hAnsi="Times New Roman"/>
            <w:color w:val="0563C1"/>
          </w:rPr>
          <w:t xml:space="preserve">Figure A9</w:t>
        </w:r>
      </w:hyperlink>
      <w:r>
        <w:rPr>
          <w:rFonts w:ascii="Times New Roman" w:cs="Times New Roman" w:eastAsia="Times New Roman" w:hAnsi="Times New Roman"/>
        </w:rPr>
        <w:t xml:space="preserve">), which is consistent with regression to the mean (Barnett et al., 2005), and the empirical logit rose broadly with log release (</w:t>
      </w:r>
      <w:hyperlink w:history="1" w:anchor="fig_A10">
        <w:r>
          <w:rPr>
            <w:rFonts w:ascii="Times New Roman" w:cs="Times New Roman" w:eastAsia="Times New Roman" w:hAnsi="Times New Roman"/>
            <w:color w:val="0563C1"/>
          </w:rPr>
          <w:t xml:space="preserve">Figure A10</w:t>
        </w:r>
      </w:hyperlink>
      <w:r>
        <w:rPr>
          <w:rFonts w:ascii="Times New Roman" w:cs="Times New Roman" w:eastAsia="Times New Roman" w:hAnsi="Times New Roman"/>
        </w:rPr>
        <w:t xml:space="preserve">). Release therefore entered every model on the log scale as a required control. The production ratio was centered near 1.00, was missing for 1.62% of records, and contained extreme but valid values up to 3,149,500 (</w:t>
      </w:r>
      <w:hyperlink w:history="1" w:anchor="fig_A11">
        <w:r>
          <w:rPr>
            <w:rFonts w:ascii="Times New Roman" w:cs="Times New Roman" w:eastAsia="Times New Roman" w:hAnsi="Times New Roman"/>
            <w:color w:val="0563C1"/>
          </w:rPr>
          <w:t xml:space="preserve">Figure A11</w:t>
        </w:r>
      </w:hyperlink>
      <w:r>
        <w:rPr>
          <w:rFonts w:ascii="Times New Roman" w:cs="Times New Roman" w:eastAsia="Times New Roman" w:hAnsi="Times New Roman"/>
        </w:rPr>
        <w:t xml:space="preserve">). Its U-shaped relationship with the outcome is shown in </w:t>
      </w:r>
      <w:hyperlink w:history="1" w:anchor="fig_1">
        <w:r>
          <w:rPr>
            <w:rFonts w:ascii="Times New Roman" w:cs="Times New Roman" w:eastAsia="Times New Roman" w:hAnsi="Times New Roman"/>
            <w:color w:val="0563C1"/>
          </w:rPr>
          <w:t xml:space="preserve">Figure 1</w:t>
        </w:r>
      </w:hyperlink>
      <w:r>
        <w:rPr>
          <w:rFonts w:ascii="Times New Roman" w:cs="Times New Roman" w:eastAsia="Times New Roman" w:hAnsi="Times New Roman"/>
        </w:rPr>
        <w:t xml:space="preserve"> of the main text.</w:t>
      </w:r>
    </w:p>
    <w:p>
      <w:pPr>
        <w:pStyle w:val="Heading2"/>
        <w:keepNext/>
        <w:spacing w:after="0" w:before="0" w:line="480"/>
      </w:pPr>
      <w:r>
        <w:rPr>
          <w:rFonts w:ascii="Times New Roman" w:cs="Times New Roman" w:eastAsia="Times New Roman" w:hAnsi="Times New Roman"/>
          <w:b/>
          <w:bCs/>
          <w:color w:val="000000"/>
          <w:sz w:val="24"/>
          <w:szCs w:val="24"/>
        </w:rPr>
        <w:t xml:space="preserve">Repeated Facilities, Dioxins, and Attrition</w:t>
      </w:r>
    </w:p>
    <w:p>
      <w:pPr>
        <w:keepNext w:val="false"/>
        <w:spacing w:after="0" w:before="0" w:line="480"/>
        <w:ind w:firstLine="720"/>
        <w:jc w:val="left"/>
      </w:pPr>
      <w:r>
        <w:rPr>
          <w:rFonts w:ascii="Times New Roman" w:cs="Times New Roman" w:eastAsia="Times New Roman" w:hAnsi="Times New Roman"/>
        </w:rPr>
        <w:t xml:space="preserve">The 122,017 pound-frame records came from 14,836 facilities, an average of 8.22 records per facility (median 4, maximum 210), and 92.8% came from facilities contributing more than one record (</w:t>
      </w:r>
      <w:hyperlink w:history="1" w:anchor="fig_A3">
        <w:r>
          <w:rPr>
            <w:rFonts w:ascii="Times New Roman" w:cs="Times New Roman" w:eastAsia="Times New Roman" w:hAnsi="Times New Roman"/>
            <w:color w:val="0563C1"/>
          </w:rPr>
          <w:t xml:space="preserve">Figure A3</w:t>
        </w:r>
      </w:hyperlink>
      <w:r>
        <w:rPr>
          <w:rFonts w:ascii="Times New Roman" w:cs="Times New Roman" w:eastAsia="Times New Roman" w:hAnsi="Times New Roman"/>
        </w:rPr>
        <w:t xml:space="preserve">). Treating these records as independent would understate standard errors (Cameron &amp; Miller, 2015), so facility clustering was a requirement. Dioxins reduced at 24.84%, compared with 31.56% for other chemicals, and were analyzed separately because they are reported in grams (</w:t>
      </w:r>
      <w:hyperlink w:history="1" w:anchor="fig_A12">
        <w:r>
          <w:rPr>
            <w:rFonts w:ascii="Times New Roman" w:cs="Times New Roman" w:eastAsia="Times New Roman" w:hAnsi="Times New Roman"/>
            <w:color w:val="0563C1"/>
          </w:rPr>
          <w:t xml:space="preserve">Figure A12</w:t>
        </w:r>
      </w:hyperlink>
      <w:r>
        <w:rPr>
          <w:rFonts w:ascii="Times New Roman" w:cs="Times New Roman" w:eastAsia="Times New Roman" w:hAnsi="Times New Roman"/>
        </w:rPr>
        <w:t xml:space="preserve">). Between 7.6% and 9.5% of facility-chemical pairs did not reappear the following year, with higher attrition among action-reporting records (</w:t>
      </w:r>
      <w:hyperlink w:history="1" w:anchor="fig_A13">
        <w:r>
          <w:rPr>
            <w:rFonts w:ascii="Times New Roman" w:cs="Times New Roman" w:eastAsia="Times New Roman" w:hAnsi="Times New Roman"/>
            <w:color w:val="0563C1"/>
          </w:rPr>
          <w:t xml:space="preserve">Figure A13</w:t>
        </w:r>
      </w:hyperlink>
      <w:r>
        <w:rPr>
          <w:rFonts w:ascii="Times New Roman" w:cs="Times New Roman" w:eastAsia="Times New Roman" w:hAnsi="Times New Roman"/>
        </w:rPr>
        <w:t xml:space="preserve">). Of 15 data-quality checks, eight passed without corrective action, five identified issues that were controlled analytically, and two remained limitations of the source data (</w:t>
      </w:r>
      <w:hyperlink w:history="1" w:anchor="fig_A14">
        <w:r>
          <w:rPr>
            <w:rFonts w:ascii="Times New Roman" w:cs="Times New Roman" w:eastAsia="Times New Roman" w:hAnsi="Times New Roman"/>
            <w:color w:val="0563C1"/>
          </w:rPr>
          <w:t xml:space="preserve">Figure A14</w:t>
        </w:r>
      </w:hyperlink>
      <w:r>
        <w:rPr>
          <w:rFonts w:ascii="Times New Roman" w:cs="Times New Roman" w:eastAsia="Times New Roman" w:hAnsi="Times New Roman"/>
        </w:rPr>
        <w:t xml:space="preserve">).</w:t>
      </w:r>
    </w:p>
    <w:p>
      <w:pPr>
        <w:keepNext/>
        <w:spacing w:before="240" w:line="480"/>
      </w:pPr>
      <w:bookmarkStart w:name="fig_A1" w:id="143"/>
      <w:r>
        <w:rPr>
          <w:rFonts w:ascii="Times New Roman" w:cs="Times New Roman" w:eastAsia="Times New Roman" w:hAnsi="Times New Roman"/>
          <w:b/>
          <w:bCs/>
        </w:rPr>
        <w:t xml:space="preserve">Figure A1</w:t>
      </w:r>
      <w:bookmarkEnd w:id="143"/>
    </w:p>
    <w:p>
      <w:pPr>
        <w:keepNext/>
        <w:spacing w:line="480"/>
      </w:pPr>
      <w:r>
        <w:rPr>
          <w:rFonts w:ascii="Times New Roman" w:cs="Times New Roman" w:eastAsia="Times New Roman" w:hAnsi="Times New Roman"/>
          <w:i/>
          <w:iCs/>
        </w:rPr>
        <w:t xml:space="preserve">Outcome Class Balance and Reported Action Categories</w:t>
      </w:r>
    </w:p>
    <w:p>
      <w:pPr>
        <w:keepNext/>
        <w:spacing w:after="60" w:before="60" w:line="240" w:lineRule="auto"/>
        <w:jc w:val="center"/>
      </w:pPr>
      <w:r>
        <w:drawing>
          <wp:inline distT="0" distB="0" distL="0" distR="0">
            <wp:extent cx="3933825" cy="2724150"/>
            <wp:effectExtent t="0" r="0" b="0" l="0"/>
            <wp:docPr id="1" name="Figure A1" descr="Outcome Class Balance and Reported Action Categories"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724150"/>
                    </a:xfrm>
                    <a:prstGeom prst="rect">
                      <a:avLst/>
                    </a:prstGeom>
                  </pic:spPr>
                </pic:pic>
              </a:graphicData>
            </a:graphic>
          </wp:inline>
        </w:drawing>
      </w:r>
    </w:p>
    <w:p>
      <w:pPr>
        <w:keepNext/>
        <w:spacing w:after="60" w:before="60" w:line="240" w:lineRule="auto"/>
        <w:jc w:val="center"/>
      </w:pPr>
      <w:r>
        <w:drawing>
          <wp:inline distT="0" distB="0" distL="0" distR="0">
            <wp:extent cx="4210050" cy="2190750"/>
            <wp:effectExtent t="0" r="0" b="0" l="0"/>
            <wp:docPr id="1" name="Figure A1" descr="Outcome Class Balance and Reported Action Categories"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19075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Top: of 123,535 development records, 38,890 (31.48%) met the reduction threshold. Bottom: records reporting each action category; categories are not mutually exclusive. Only 6,012 records (4.87%) reported any action.</w:t>
      </w:r>
    </w:p>
    <w:p>
      <w:pPr>
        <w:keepNext/>
        <w:spacing w:before="240" w:line="480"/>
      </w:pPr>
      <w:bookmarkStart w:name="fig_A2" w:id="144"/>
      <w:r>
        <w:rPr>
          <w:rFonts w:ascii="Times New Roman" w:cs="Times New Roman" w:eastAsia="Times New Roman" w:hAnsi="Times New Roman"/>
          <w:b/>
          <w:bCs/>
        </w:rPr>
        <w:t xml:space="preserve">Figure A2</w:t>
      </w:r>
      <w:bookmarkEnd w:id="144"/>
    </w:p>
    <w:p>
      <w:pPr>
        <w:keepNext/>
        <w:spacing w:line="480"/>
      </w:pPr>
      <w:r>
        <w:rPr>
          <w:rFonts w:ascii="Times New Roman" w:cs="Times New Roman" w:eastAsia="Times New Roman" w:hAnsi="Times New Roman"/>
          <w:i/>
          <w:iCs/>
        </w:rPr>
        <w:t xml:space="preserve">Source-Reduction Activity Codes by Coding Scheme and Reporting Year</w:t>
      </w:r>
    </w:p>
    <w:p>
      <w:pPr>
        <w:keepNext/>
        <w:spacing w:after="60" w:before="60" w:line="240" w:lineRule="auto"/>
        <w:jc w:val="center"/>
      </w:pPr>
      <w:r>
        <w:drawing>
          <wp:inline distT="0" distB="0" distL="0" distR="0">
            <wp:extent cx="5124450" cy="2524125"/>
            <wp:effectExtent t="0" r="0" b="0" l="0"/>
            <wp:docPr id="1" name="Figure A2" descr="Source-Reduction Activity Codes by Coding Scheme and Reporting Year"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5241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Legacy W codes appear in 2020 and are replaced by redesigned S codes from 2021 onward. All 70 distinct codes were mapped to the five action types, with no unmapped codes. Reporting year 2024 File 2A was used only for this descriptive check.</w:t>
      </w:r>
    </w:p>
    <w:p>
      <w:pPr>
        <w:keepNext/>
        <w:spacing w:before="240" w:line="480"/>
      </w:pPr>
      <w:bookmarkStart w:name="fig_A3" w:id="145"/>
      <w:r>
        <w:rPr>
          <w:rFonts w:ascii="Times New Roman" w:cs="Times New Roman" w:eastAsia="Times New Roman" w:hAnsi="Times New Roman"/>
          <w:b/>
          <w:bCs/>
        </w:rPr>
        <w:t xml:space="preserve">Figure A3</w:t>
      </w:r>
      <w:bookmarkEnd w:id="145"/>
    </w:p>
    <w:p>
      <w:pPr>
        <w:keepNext/>
        <w:spacing w:line="480"/>
      </w:pPr>
      <w:r>
        <w:rPr>
          <w:rFonts w:ascii="Times New Roman" w:cs="Times New Roman" w:eastAsia="Times New Roman" w:hAnsi="Times New Roman"/>
          <w:i/>
          <w:iCs/>
        </w:rPr>
        <w:t xml:space="preserve">Facility Cluster Sizes and Action-Category Prevalence by Reporting Year</w:t>
      </w:r>
    </w:p>
    <w:p>
      <w:pPr>
        <w:keepNext/>
        <w:spacing w:after="60" w:before="60" w:line="240" w:lineRule="auto"/>
        <w:jc w:val="center"/>
      </w:pPr>
      <w:r>
        <w:drawing>
          <wp:inline distT="0" distB="0" distL="0" distR="0">
            <wp:extent cx="4752975" cy="2533650"/>
            <wp:effectExtent t="0" r="0" b="0" l="0"/>
            <wp:docPr id="1" name="Figure A3" descr="Facility Cluster Sizes and Action-Category Prevalence by Reporting Year"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2533650"/>
                    </a:xfrm>
                    <a:prstGeom prst="rect">
                      <a:avLst/>
                    </a:prstGeom>
                  </pic:spPr>
                </pic:pic>
              </a:graphicData>
            </a:graphic>
          </wp:inline>
        </w:drawing>
      </w:r>
    </w:p>
    <w:p>
      <w:pPr>
        <w:keepNext/>
        <w:spacing w:after="60" w:before="60" w:line="240" w:lineRule="auto"/>
        <w:jc w:val="center"/>
      </w:pPr>
      <w:r>
        <w:drawing>
          <wp:inline distT="0" distB="0" distL="0" distR="0">
            <wp:extent cx="4752975" cy="2552700"/>
            <wp:effectExtent t="0" r="0" b="0" l="0"/>
            <wp:docPr id="1" name="Figure A3" descr="Facility Cluster Sizes and Action-Category Prevalence by Reporting Year"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55270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Top: records contributed per facility in the pound-reported frame (mean 8.22, median 4, maximum 210); 92.8% of records come from facilities contributing more than one. Bottom: process or equipment modification rises from 1.32% in 2020 to 2.13% in 2021 and material modification from 0.41% to 0.87%, coinciding with the coding-scheme change.</w:t>
      </w:r>
    </w:p>
    <w:p>
      <w:pPr>
        <w:keepNext/>
        <w:spacing w:before="240" w:line="480"/>
      </w:pPr>
      <w:bookmarkStart w:name="fig_A4" w:id="146"/>
      <w:r>
        <w:rPr>
          <w:rFonts w:ascii="Times New Roman" w:cs="Times New Roman" w:eastAsia="Times New Roman" w:hAnsi="Times New Roman"/>
          <w:b/>
          <w:bCs/>
        </w:rPr>
        <w:t xml:space="preserve">Figure A4</w:t>
      </w:r>
      <w:bookmarkEnd w:id="146"/>
    </w:p>
    <w:p>
      <w:pPr>
        <w:keepNext/>
        <w:spacing w:line="480"/>
      </w:pPr>
      <w:r>
        <w:rPr>
          <w:rFonts w:ascii="Times New Roman" w:cs="Times New Roman" w:eastAsia="Times New Roman" w:hAnsi="Times New Roman"/>
          <w:i/>
          <w:iCs/>
        </w:rPr>
        <w:t xml:space="preserve">Action Prevalence by Manufacturing Subsector</w:t>
      </w:r>
    </w:p>
    <w:p>
      <w:pPr>
        <w:keepNext/>
        <w:spacing w:after="60" w:before="60" w:line="240" w:lineRule="auto"/>
        <w:jc w:val="center"/>
      </w:pPr>
      <w:r>
        <w:drawing>
          <wp:inline distT="0" distB="0" distL="0" distR="0">
            <wp:extent cx="4752975" cy="3048000"/>
            <wp:effectExtent t="0" r="0" b="0" l="0"/>
            <wp:docPr id="1" name="Figure A4" descr="Action Prevalence by Manufacturing Subsector" titl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304800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The dashed line marks overall action prevalence. Subsectors reporting the most actions are not those with the highest reduction rates (compare </w:t>
      </w:r>
      <w:hyperlink w:history="1" w:anchor="app_F">
        <w:r>
          <w:rPr>
            <w:rFonts w:ascii="Times New Roman" w:cs="Times New Roman" w:eastAsia="Times New Roman" w:hAnsi="Times New Roman"/>
            <w:color w:val="0563C1"/>
            <w:sz w:val="24"/>
            <w:szCs w:val="24"/>
          </w:rPr>
          <w:t xml:space="preserve">Appendix F</w:t>
        </w:r>
      </w:hyperlink>
      <w:r>
        <w:rPr>
          <w:rFonts w:ascii="Times New Roman" w:cs="Times New Roman" w:eastAsia="Times New Roman" w:hAnsi="Times New Roman"/>
          <w:sz w:val="24"/>
          <w:szCs w:val="24"/>
        </w:rPr>
        <w:t xml:space="preserve">, </w:t>
      </w:r>
      <w:hyperlink w:history="1" w:anchor="fig_F2">
        <w:r>
          <w:rPr>
            <w:rFonts w:ascii="Times New Roman" w:cs="Times New Roman" w:eastAsia="Times New Roman" w:hAnsi="Times New Roman"/>
            <w:color w:val="0563C1"/>
            <w:sz w:val="24"/>
            <w:szCs w:val="24"/>
          </w:rPr>
          <w:t xml:space="preserve">Figure F2</w:t>
        </w:r>
      </w:hyperlink>
      <w:r>
        <w:rPr>
          <w:rFonts w:ascii="Times New Roman" w:cs="Times New Roman" w:eastAsia="Times New Roman" w:hAnsi="Times New Roman"/>
          <w:sz w:val="24"/>
          <w:szCs w:val="24"/>
        </w:rPr>
        <w:t xml:space="preserve">).</w:t>
      </w:r>
    </w:p>
    <w:p>
      <w:pPr>
        <w:keepNext/>
        <w:spacing w:before="240" w:line="480"/>
      </w:pPr>
      <w:bookmarkStart w:name="fig_A5" w:id="147"/>
      <w:r>
        <w:rPr>
          <w:rFonts w:ascii="Times New Roman" w:cs="Times New Roman" w:eastAsia="Times New Roman" w:hAnsi="Times New Roman"/>
          <w:b/>
          <w:bCs/>
        </w:rPr>
        <w:t xml:space="preserve">Figure A5</w:t>
      </w:r>
      <w:bookmarkEnd w:id="147"/>
    </w:p>
    <w:p>
      <w:pPr>
        <w:keepNext/>
        <w:spacing w:line="480"/>
      </w:pPr>
      <w:r>
        <w:rPr>
          <w:rFonts w:ascii="Times New Roman" w:cs="Times New Roman" w:eastAsia="Times New Roman" w:hAnsi="Times New Roman"/>
          <w:i/>
          <w:iCs/>
        </w:rPr>
        <w:t xml:space="preserve">Unadjusted Reduction Rate for Any Reported Action Versus No Reported Action</w:t>
      </w:r>
    </w:p>
    <w:p>
      <w:pPr>
        <w:keepNext/>
        <w:spacing w:after="60" w:before="60" w:line="240" w:lineRule="auto"/>
        <w:jc w:val="center"/>
      </w:pPr>
      <w:r>
        <w:drawing>
          <wp:inline distT="0" distB="0" distL="0" distR="0">
            <wp:extent cx="4210050" cy="2590800"/>
            <wp:effectExtent t="0" r="0" b="0" l="0"/>
            <wp:docPr id="1" name="Figure A5" descr="Unadjusted Reduction Rate for Any Reported Action Versus No Reported Action" title="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259080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Error bars show 95% Wilson confidence intervals. The unadjusted gap is 3.61 percentage points, 95% CI [2.37, 4.84]. This comparison is not adjusted for industry, release level, or year.</w:t>
      </w:r>
    </w:p>
    <w:p>
      <w:pPr>
        <w:keepNext/>
        <w:spacing w:before="240" w:line="480"/>
      </w:pPr>
      <w:bookmarkStart w:name="fig_A6" w:id="148"/>
      <w:r>
        <w:rPr>
          <w:rFonts w:ascii="Times New Roman" w:cs="Times New Roman" w:eastAsia="Times New Roman" w:hAnsi="Times New Roman"/>
          <w:b/>
          <w:bCs/>
        </w:rPr>
        <w:t xml:space="preserve">Figure A6</w:t>
      </w:r>
      <w:bookmarkEnd w:id="148"/>
    </w:p>
    <w:p>
      <w:pPr>
        <w:keepNext/>
        <w:spacing w:line="480"/>
      </w:pPr>
      <w:r>
        <w:rPr>
          <w:rFonts w:ascii="Times New Roman" w:cs="Times New Roman" w:eastAsia="Times New Roman" w:hAnsi="Times New Roman"/>
          <w:i/>
          <w:iCs/>
        </w:rPr>
        <w:t xml:space="preserve">Covariate Balance Between Action and No-Action Groups</w:t>
      </w:r>
    </w:p>
    <w:p>
      <w:pPr>
        <w:keepNext/>
        <w:spacing w:after="60" w:before="60" w:line="240" w:lineRule="auto"/>
        <w:jc w:val="center"/>
      </w:pPr>
      <w:r>
        <w:drawing>
          <wp:inline distT="0" distB="0" distL="0" distR="0">
            <wp:extent cx="5124450" cy="2943225"/>
            <wp:effectExtent t="0" r="0" b="0" l="0"/>
            <wp:docPr id="1" name="Figure A6" descr="Covariate Balance Between Action and No-Action Groups" title="Figure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9432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Seven of 19 covariates exceed an absolute standardized mean difference of 0.10 (dashed line). The two largest differences, 0.244 and 0.232, reflect industry composition.</w:t>
      </w:r>
    </w:p>
    <w:p>
      <w:pPr>
        <w:keepNext/>
        <w:spacing w:before="240" w:line="480"/>
      </w:pPr>
      <w:bookmarkStart w:name="fig_A7" w:id="149"/>
      <w:r>
        <w:rPr>
          <w:rFonts w:ascii="Times New Roman" w:cs="Times New Roman" w:eastAsia="Times New Roman" w:hAnsi="Times New Roman"/>
          <w:b/>
          <w:bCs/>
        </w:rPr>
        <w:t xml:space="preserve">Figure A7</w:t>
      </w:r>
      <w:bookmarkEnd w:id="149"/>
    </w:p>
    <w:p>
      <w:pPr>
        <w:keepNext/>
        <w:spacing w:line="480"/>
      </w:pPr>
      <w:r>
        <w:rPr>
          <w:rFonts w:ascii="Times New Roman" w:cs="Times New Roman" w:eastAsia="Times New Roman" w:hAnsi="Times New Roman"/>
          <w:i/>
          <w:iCs/>
        </w:rPr>
        <w:t xml:space="preserve">Unadjusted Action Association Within Development Strata</w:t>
      </w:r>
    </w:p>
    <w:p>
      <w:pPr>
        <w:keepNext/>
        <w:spacing w:after="60" w:before="60" w:line="240" w:lineRule="auto"/>
        <w:jc w:val="center"/>
      </w:pPr>
      <w:r>
        <w:drawing>
          <wp:inline distT="0" distB="0" distL="0" distR="0">
            <wp:extent cx="5124450" cy="2619375"/>
            <wp:effectExtent t="0" r="0" b="0" l="0"/>
            <wp:docPr id="1" name="Figure A7" descr="Unadjusted Action Association Within Development Strata" title="Figure 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6193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Point estimates are positive in every displayed stratum, but several confidence intervals include zero. These are exploratory consistency checks, not separate evidence of significance.</w:t>
      </w:r>
    </w:p>
    <w:p>
      <w:pPr>
        <w:keepNext/>
        <w:spacing w:before="240" w:line="480"/>
      </w:pPr>
      <w:bookmarkStart w:name="fig_A8" w:id="150"/>
      <w:r>
        <w:rPr>
          <w:rFonts w:ascii="Times New Roman" w:cs="Times New Roman" w:eastAsia="Times New Roman" w:hAnsi="Times New Roman"/>
          <w:b/>
          <w:bCs/>
        </w:rPr>
        <w:t xml:space="preserve">Figure A8</w:t>
      </w:r>
      <w:bookmarkEnd w:id="150"/>
    </w:p>
    <w:p>
      <w:pPr>
        <w:keepNext/>
        <w:spacing w:line="480"/>
      </w:pPr>
      <w:r>
        <w:rPr>
          <w:rFonts w:ascii="Times New Roman" w:cs="Times New Roman" w:eastAsia="Times New Roman" w:hAnsi="Times New Roman"/>
          <w:i/>
          <w:iCs/>
        </w:rPr>
        <w:t xml:space="preserve">Distribution of Current-Year Releases</w:t>
      </w:r>
    </w:p>
    <w:p>
      <w:pPr>
        <w:keepNext/>
        <w:spacing w:after="60" w:before="60" w:line="240" w:lineRule="auto"/>
        <w:jc w:val="center"/>
      </w:pPr>
      <w:r>
        <w:drawing>
          <wp:inline distT="0" distB="0" distL="0" distR="0">
            <wp:extent cx="3019425" cy="1971675"/>
            <wp:effectExtent t="0" r="0" b="0" l="0"/>
            <wp:docPr id="1" name="Figure A8" descr="Distribution of Current-Year Releases" title="Figure 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19425" cy="1971675"/>
                    </a:xfrm>
                    <a:prstGeom prst="rect">
                      <a:avLst/>
                    </a:prstGeom>
                  </pic:spPr>
                </pic:pic>
              </a:graphicData>
            </a:graphic>
          </wp:inline>
        </w:drawing>
      </w:r>
    </w:p>
    <w:p>
      <w:pPr>
        <w:keepNext/>
        <w:spacing w:after="60" w:before="60" w:line="240" w:lineRule="auto"/>
        <w:jc w:val="center"/>
      </w:pPr>
      <w:r>
        <w:drawing>
          <wp:inline distT="0" distB="0" distL="0" distR="0">
            <wp:extent cx="3019425" cy="2057400"/>
            <wp:effectExtent t="0" r="0" b="0" l="0"/>
            <wp:docPr id="1" name="Figure A8" descr="Distribution of Current-Year Releases" title="Figure 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19425" cy="2057400"/>
                    </a:xfrm>
                    <a:prstGeom prst="rect">
                      <a:avLst/>
                    </a:prstGeom>
                  </pic:spPr>
                </pic:pic>
              </a:graphicData>
            </a:graphic>
          </wp:inline>
        </w:drawing>
      </w:r>
    </w:p>
    <w:p>
      <w:pPr>
        <w:keepNext/>
        <w:spacing w:after="60" w:before="60" w:line="240" w:lineRule="auto"/>
        <w:jc w:val="center"/>
      </w:pPr>
      <w:r>
        <w:drawing>
          <wp:inline distT="0" distB="0" distL="0" distR="0">
            <wp:extent cx="3019425" cy="2143125"/>
            <wp:effectExtent t="0" r="0" b="0" l="0"/>
            <wp:docPr id="1" name="Figure A8" descr="Distribution of Current-Year Releases" title="Figure 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19425" cy="21431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Pound-reported releases are shown clipped at 5,000 lb and on a log scale; gram-reported dioxins are shown separately. Skewness of the raw pound releases is 34.6, with a median of 217 lb and a mean of 24,737 lb.</w:t>
      </w:r>
    </w:p>
    <w:p>
      <w:pPr>
        <w:keepNext/>
        <w:spacing w:before="240" w:line="480"/>
      </w:pPr>
      <w:bookmarkStart w:name="fig_A9" w:id="151"/>
      <w:r>
        <w:rPr>
          <w:rFonts w:ascii="Times New Roman" w:cs="Times New Roman" w:eastAsia="Times New Roman" w:hAnsi="Times New Roman"/>
          <w:b/>
          <w:bCs/>
        </w:rPr>
        <w:t xml:space="preserve">Figure A9</w:t>
      </w:r>
      <w:bookmarkEnd w:id="151"/>
    </w:p>
    <w:p>
      <w:pPr>
        <w:keepNext/>
        <w:spacing w:line="480"/>
      </w:pPr>
      <w:r>
        <w:rPr>
          <w:rFonts w:ascii="Times New Roman" w:cs="Times New Roman" w:eastAsia="Times New Roman" w:hAnsi="Times New Roman"/>
          <w:i/>
          <w:iCs/>
        </w:rPr>
        <w:t xml:space="preserve">Reduction Rate by Current-Release Decile</w:t>
      </w:r>
    </w:p>
    <w:p>
      <w:pPr>
        <w:keepNext/>
        <w:spacing w:after="60" w:before="60" w:line="240" w:lineRule="auto"/>
        <w:jc w:val="center"/>
      </w:pPr>
      <w:r>
        <w:drawing>
          <wp:inline distT="0" distB="0" distL="0" distR="0">
            <wp:extent cx="4752975" cy="2533650"/>
            <wp:effectExtent t="0" r="0" b="0" l="0"/>
            <wp:docPr id="1" name="Figure A9" descr="Reduction Rate by Current-Release Decile" title="Figure 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253365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Shaded bands are 95% Wilson confidence intervals. Rates are generally higher in upper deciles, but the pattern is not monotonic, which is consistent with starting level and regression to the mean shaping the room for a percentage reduction.</w:t>
      </w:r>
    </w:p>
    <w:p>
      <w:pPr>
        <w:keepNext/>
        <w:spacing w:before="240" w:line="480"/>
      </w:pPr>
      <w:bookmarkStart w:name="fig_A10" w:id="152"/>
      <w:r>
        <w:rPr>
          <w:rFonts w:ascii="Times New Roman" w:cs="Times New Roman" w:eastAsia="Times New Roman" w:hAnsi="Times New Roman"/>
          <w:b/>
          <w:bCs/>
        </w:rPr>
        <w:t xml:space="preserve">Figure A10</w:t>
      </w:r>
      <w:bookmarkEnd w:id="152"/>
    </w:p>
    <w:p>
      <w:pPr>
        <w:keepNext/>
        <w:spacing w:line="480"/>
      </w:pPr>
      <w:r>
        <w:rPr>
          <w:rFonts w:ascii="Times New Roman" w:cs="Times New Roman" w:eastAsia="Times New Roman" w:hAnsi="Times New Roman"/>
          <w:i/>
          <w:iCs/>
        </w:rPr>
        <w:t xml:space="preserve">Observed Reduction Rate Across Log-Release Bins With a Logit Linearity Check</w:t>
      </w:r>
    </w:p>
    <w:p>
      <w:pPr>
        <w:keepNext/>
        <w:spacing w:after="60" w:before="60" w:line="240" w:lineRule="auto"/>
        <w:jc w:val="center"/>
      </w:pPr>
      <w:r>
        <w:drawing>
          <wp:inline distT="0" distB="0" distL="0" distR="0">
            <wp:extent cx="4572000" cy="2486025"/>
            <wp:effectExtent t="0" r="0" b="0" l="0"/>
            <wp:docPr id="1" name="Figure A10" descr="Observed Reduction Rate Across Log-Release Bins With a Logit Linearity Check" title="Figure 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86025"/>
                    </a:xfrm>
                    <a:prstGeom prst="rect">
                      <a:avLst/>
                    </a:prstGeom>
                  </pic:spPr>
                </pic:pic>
              </a:graphicData>
            </a:graphic>
          </wp:inline>
        </w:drawing>
      </w:r>
    </w:p>
    <w:p>
      <w:pPr>
        <w:keepNext/>
        <w:spacing w:after="60" w:before="60" w:line="240" w:lineRule="auto"/>
        <w:jc w:val="center"/>
      </w:pPr>
      <w:r>
        <w:drawing>
          <wp:inline distT="0" distB="0" distL="0" distR="0">
            <wp:extent cx="4572000" cy="2390775"/>
            <wp:effectExtent t="0" r="0" b="0" l="0"/>
            <wp:docPr id="1" name="Figure A10" descr="Observed Reduction Rate Across Log-Release Bins With a Logit Linearity Check" title="Figure 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907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The empirical logit generally increases with log current release, supporting the log transformation. Some departures from linearity remain; a spline comparison is listed as a future check.</w:t>
      </w:r>
    </w:p>
    <w:p>
      <w:pPr>
        <w:keepNext/>
        <w:spacing w:before="240" w:line="480"/>
      </w:pPr>
      <w:bookmarkStart w:name="fig_A11" w:id="153"/>
      <w:r>
        <w:rPr>
          <w:rFonts w:ascii="Times New Roman" w:cs="Times New Roman" w:eastAsia="Times New Roman" w:hAnsi="Times New Roman"/>
          <w:b/>
          <w:bCs/>
        </w:rPr>
        <w:t xml:space="preserve">Figure A11</w:t>
      </w:r>
      <w:bookmarkEnd w:id="153"/>
    </w:p>
    <w:p>
      <w:pPr>
        <w:keepNext/>
        <w:spacing w:line="480"/>
      </w:pPr>
      <w:r>
        <w:rPr>
          <w:rFonts w:ascii="Times New Roman" w:cs="Times New Roman" w:eastAsia="Times New Roman" w:hAnsi="Times New Roman"/>
          <w:i/>
          <w:iCs/>
        </w:rPr>
        <w:t xml:space="preserve">Distribution of the Production Ratio and Its Missingness by Action Year</w:t>
      </w:r>
    </w:p>
    <w:p>
      <w:pPr>
        <w:keepNext/>
        <w:spacing w:after="60" w:before="60" w:line="240" w:lineRule="auto"/>
        <w:jc w:val="center"/>
      </w:pPr>
      <w:r>
        <w:drawing>
          <wp:inline distT="0" distB="0" distL="0" distR="0">
            <wp:extent cx="4572000" cy="2457450"/>
            <wp:effectExtent t="0" r="0" b="0" l="0"/>
            <wp:docPr id="1" name="Figure A11" descr="Distribution of the Production Ratio and Its Missingness by Action Year" title="Figure 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457450"/>
                    </a:xfrm>
                    <a:prstGeom prst="rect">
                      <a:avLst/>
                    </a:prstGeom>
                  </pic:spPr>
                </pic:pic>
              </a:graphicData>
            </a:graphic>
          </wp:inline>
        </w:drawing>
      </w:r>
    </w:p>
    <w:p>
      <w:pPr>
        <w:keepNext/>
        <w:spacing w:after="60" w:before="60" w:line="240" w:lineRule="auto"/>
        <w:jc w:val="center"/>
      </w:pPr>
      <w:r>
        <w:drawing>
          <wp:inline distT="0" distB="0" distL="0" distR="0">
            <wp:extent cx="4210050" cy="2247900"/>
            <wp:effectExtent t="0" r="0" b="0" l="0"/>
            <wp:docPr id="1" name="Figure A11" descr="Distribution of the Production Ratio and Its Missingness by Action Year" title="Figure 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10050" cy="224790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Top: the ratio is centered on 1.00 and is clipped at 3.0 for display; the maximum observed value was 3,149,500. Values were capped at the development 99th percentile (3.15) before centering and squaring. Bottom: missingness ranges from 1.50% to 1.79% across action years; the missingness mechanism cannot be confirmed from observed data.</w:t>
      </w:r>
    </w:p>
    <w:p>
      <w:pPr>
        <w:keepNext/>
        <w:spacing w:before="240" w:line="480"/>
      </w:pPr>
      <w:bookmarkStart w:name="fig_A12" w:id="154"/>
      <w:r>
        <w:rPr>
          <w:rFonts w:ascii="Times New Roman" w:cs="Times New Roman" w:eastAsia="Times New Roman" w:hAnsi="Times New Roman"/>
          <w:b/>
          <w:bCs/>
        </w:rPr>
        <w:t xml:space="preserve">Figure A12</w:t>
      </w:r>
      <w:bookmarkEnd w:id="154"/>
    </w:p>
    <w:p>
      <w:pPr>
        <w:keepNext/>
        <w:spacing w:line="480"/>
      </w:pPr>
      <w:r>
        <w:rPr>
          <w:rFonts w:ascii="Times New Roman" w:cs="Times New Roman" w:eastAsia="Times New Roman" w:hAnsi="Times New Roman"/>
          <w:i/>
          <w:iCs/>
        </w:rPr>
        <w:t xml:space="preserve">Reduction Rate by Chemical Hazard Classification</w:t>
      </w:r>
    </w:p>
    <w:p>
      <w:pPr>
        <w:keepNext/>
        <w:spacing w:after="60" w:before="60" w:line="240" w:lineRule="auto"/>
        <w:jc w:val="center"/>
      </w:pPr>
      <w:r>
        <w:drawing>
          <wp:inline distT="0" distB="0" distL="0" distR="0">
            <wp:extent cx="5124450" cy="2514600"/>
            <wp:effectExtent t="0" r="0" b="0" l="0"/>
            <wp:docPr id="1" name="Figure A12" descr="Reduction Rate by Chemical Hazard Classification" title="Figure 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51460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Error bars show 95% Wilson confidence intervals. Carcinogen status shows a difference of 0.07 percentage points. Dioxins reduce about 6.7 points less often than other chemicals and were analyzed separately.</w:t>
      </w:r>
    </w:p>
    <w:p>
      <w:pPr>
        <w:keepNext/>
        <w:spacing w:before="240" w:line="480"/>
      </w:pPr>
      <w:bookmarkStart w:name="fig_A13" w:id="155"/>
      <w:r>
        <w:rPr>
          <w:rFonts w:ascii="Times New Roman" w:cs="Times New Roman" w:eastAsia="Times New Roman" w:hAnsi="Times New Roman"/>
          <w:b/>
          <w:bCs/>
        </w:rPr>
        <w:t xml:space="preserve">Figure A13</w:t>
      </w:r>
      <w:bookmarkEnd w:id="155"/>
    </w:p>
    <w:p>
      <w:pPr>
        <w:keepNext/>
        <w:spacing w:line="480"/>
      </w:pPr>
      <w:r>
        <w:rPr>
          <w:rFonts w:ascii="Times New Roman" w:cs="Times New Roman" w:eastAsia="Times New Roman" w:hAnsi="Times New Roman"/>
          <w:i/>
          <w:iCs/>
        </w:rPr>
        <w:t xml:space="preserve">Cross-Year Attrition and Action-Category Co-Occurrence</w:t>
      </w:r>
    </w:p>
    <w:p>
      <w:pPr>
        <w:keepNext/>
        <w:spacing w:after="60" w:before="60" w:line="240" w:lineRule="auto"/>
        <w:jc w:val="center"/>
      </w:pPr>
      <w:r>
        <w:drawing>
          <wp:inline distT="0" distB="0" distL="0" distR="0">
            <wp:extent cx="4752975" cy="2038350"/>
            <wp:effectExtent t="0" r="0" b="0" l="0"/>
            <wp:docPr id="1" name="Figure A13" descr="Cross-Year Attrition and Action-Category Co-Occurrence" title="Figure 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2038350"/>
                    </a:xfrm>
                    <a:prstGeom prst="rect">
                      <a:avLst/>
                    </a:prstGeom>
                  </pic:spPr>
                </pic:pic>
              </a:graphicData>
            </a:graphic>
          </wp:inline>
        </w:drawing>
      </w:r>
    </w:p>
    <w:p>
      <w:pPr>
        <w:keepNext/>
        <w:spacing w:after="60" w:before="60" w:line="240" w:lineRule="auto"/>
        <w:jc w:val="center"/>
      </w:pPr>
      <w:r>
        <w:drawing>
          <wp:inline distT="0" distB="0" distL="0" distR="0">
            <wp:extent cx="4019550" cy="3057525"/>
            <wp:effectExtent t="0" r="0" b="0" l="0"/>
            <wp:docPr id="1" name="Figure A13" descr="Cross-Year Attrition and Action-Category Co-Occurrence" title="Figure 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19550" cy="30575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Top: overall attrition ranges from about 7.6% to 9.5% across transitions; within the groups shown, attrition ranges from 7.47% to 14.13% and is higher for action-reporting records in every transition. Bottom: diagonal cells show records per action category, and off-diagonal cells show co-reporting; records reporting an action average 1.07 distinct categories.</w:t>
      </w:r>
    </w:p>
    <w:p>
      <w:pPr>
        <w:keepNext/>
        <w:spacing w:before="240" w:line="480"/>
      </w:pPr>
      <w:bookmarkStart w:name="fig_A14" w:id="156"/>
      <w:r>
        <w:rPr>
          <w:rFonts w:ascii="Times New Roman" w:cs="Times New Roman" w:eastAsia="Times New Roman" w:hAnsi="Times New Roman"/>
          <w:b/>
          <w:bCs/>
        </w:rPr>
        <w:t xml:space="preserve">Figure A14</w:t>
      </w:r>
      <w:bookmarkEnd w:id="156"/>
    </w:p>
    <w:p>
      <w:pPr>
        <w:keepNext/>
        <w:spacing w:line="480"/>
      </w:pPr>
      <w:r>
        <w:rPr>
          <w:rFonts w:ascii="Times New Roman" w:cs="Times New Roman" w:eastAsia="Times New Roman" w:hAnsi="Times New Roman"/>
          <w:i/>
          <w:iCs/>
        </w:rPr>
        <w:t xml:space="preserve">Data-Quality Scorecard Outcomes</w:t>
      </w:r>
    </w:p>
    <w:p>
      <w:pPr>
        <w:keepNext/>
        <w:spacing w:after="60" w:before="60" w:line="240" w:lineRule="auto"/>
        <w:jc w:val="center"/>
      </w:pPr>
      <w:r>
        <w:drawing>
          <wp:inline distT="0" distB="0" distL="0" distR="0">
            <wp:extent cx="4572000" cy="2600325"/>
            <wp:effectExtent t="0" r="0" b="0" l="0"/>
            <wp:docPr id="1" name="Figure A14" descr="Data-Quality Scorecard Outcomes" title="Figure 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6003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Of 15 data-quality checks, eight passed without corrective action, five identified issues that were controlled analytically, and two (cross-year attrition and TRI coverage limits) remain limitations of the source data.</w:t>
      </w:r>
    </w:p>
    <w:p>
      <w:pPr>
        <w:pStyle w:val="Heading1"/>
        <w:keepNext/>
        <w:pageBreakBefore/>
        <w:spacing w:after="0" w:before="0" w:line="480"/>
        <w:jc w:val="center"/>
      </w:pPr>
      <w:bookmarkStart w:name="app_B" w:id="157"/>
      <w:r>
        <w:rPr>
          <w:rFonts w:ascii="Times New Roman" w:cs="Times New Roman" w:eastAsia="Times New Roman" w:hAnsi="Times New Roman"/>
          <w:b/>
          <w:bCs/>
          <w:color w:val="000000"/>
          <w:sz w:val="24"/>
          <w:szCs w:val="24"/>
        </w:rPr>
        <w:t xml:space="preserve">Appendix B</w:t>
      </w:r>
      <w:bookmarkEnd w:id="157"/>
    </w:p>
    <w:p>
      <w:pPr>
        <w:pStyle w:val="Heading1"/>
        <w:keepNext/>
        <w:spacing w:after="0" w:before="0" w:line="480"/>
        <w:jc w:val="center"/>
      </w:pPr>
      <w:r>
        <w:rPr>
          <w:rFonts w:ascii="Times New Roman" w:cs="Times New Roman" w:eastAsia="Times New Roman" w:hAnsi="Times New Roman"/>
          <w:b/>
          <w:bCs/>
          <w:color w:val="000000"/>
          <w:sz w:val="24"/>
          <w:szCs w:val="24"/>
        </w:rPr>
        <w:t xml:space="preserve">Source File Provenance, Parsing Rule, and Repository Structure</w:t>
      </w:r>
    </w:p>
    <w:p>
      <w:pPr>
        <w:keepNext w:val="false"/>
        <w:spacing w:after="0" w:before="0" w:line="480"/>
        <w:ind w:firstLine="720"/>
        <w:jc w:val="left"/>
      </w:pPr>
      <w:hyperlink w:history="1" w:anchor="tbl_B1">
        <w:r>
          <w:rPr>
            <w:rFonts w:ascii="Times New Roman" w:cs="Times New Roman" w:eastAsia="Times New Roman" w:hAnsi="Times New Roman"/>
            <w:color w:val="0563C1"/>
          </w:rPr>
          <w:t xml:space="preserve">Table B1</w:t>
        </w:r>
      </w:hyperlink>
      <w:r>
        <w:rPr>
          <w:rFonts w:ascii="Times New Roman" w:cs="Times New Roman" w:eastAsia="Times New Roman" w:hAnsi="Times New Roman"/>
        </w:rPr>
        <w:t xml:space="preserve"> lists the size and SHA-256 checksum of each source file. All ten checksums are distinct, confirming that no file was duplicated during download, and any reader can verify their own copies against these values. </w:t>
      </w:r>
      <w:hyperlink w:history="1" w:anchor="tbl_B2">
        <w:r>
          <w:rPr>
            <w:rFonts w:ascii="Times New Roman" w:cs="Times New Roman" w:eastAsia="Times New Roman" w:hAnsi="Times New Roman"/>
            <w:color w:val="0563C1"/>
          </w:rPr>
          <w:t xml:space="preserve">Table B2</w:t>
        </w:r>
      </w:hyperlink>
      <w:r>
        <w:rPr>
          <w:rFonts w:ascii="Times New Roman" w:cs="Times New Roman" w:eastAsia="Times New Roman" w:hAnsi="Times New Roman"/>
        </w:rPr>
        <w:t xml:space="preserve"> records the duplicate-consolidation counts by reporting year. File 1A data lines carry 283 fields against a 282-field header because each line ends with a trailing delimiter, so fields were read by position with that offset applied.</w:t>
      </w:r>
    </w:p>
    <w:p>
      <w:pPr>
        <w:keepNext/>
        <w:spacing w:before="240" w:line="480"/>
      </w:pPr>
      <w:bookmarkStart w:name="tbl_B1" w:id="158"/>
      <w:r>
        <w:rPr>
          <w:rFonts w:ascii="Times New Roman" w:cs="Times New Roman" w:eastAsia="Times New Roman" w:hAnsi="Times New Roman"/>
          <w:b/>
          <w:bCs/>
        </w:rPr>
        <w:t xml:space="preserve">Table B1</w:t>
      </w:r>
      <w:bookmarkEnd w:id="158"/>
    </w:p>
    <w:p>
      <w:pPr>
        <w:keepNext/>
        <w:spacing w:line="480"/>
      </w:pPr>
      <w:r>
        <w:rPr>
          <w:rFonts w:ascii="Times New Roman" w:cs="Times New Roman" w:eastAsia="Times New Roman" w:hAnsi="Times New Roman"/>
          <w:i/>
          <w:iCs/>
        </w:rPr>
        <w:t xml:space="preserve">Source File Sizes and SHA-256 Checksums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Reporting Year</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File Type</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Size (MB)</w:t>
            </w:r>
          </w:p>
        </w:tc>
        <w:tc>
          <w:tcPr>
            <w:tcW w:type="dxa" w:w="43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SHA-256 (First 16 Characters)</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2020</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62.6</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b94f8cb1286d7420</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2020</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44.5</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5ddaa1624fbba793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62.2</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73daa53931a58696</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44.4</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805fbdc932f51aef</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2022</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63.6</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4cf809c08d11cd8c</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2022</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45.4</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16f382966622b5e8</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2023</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62.6</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0c60fa25c4ac4348</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2023</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44.7</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cc3017cd0ca0b310</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2024</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1A</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61.6</w:t>
            </w:r>
          </w:p>
        </w:tc>
        <w:tc>
          <w:tcPr>
            <w:tcW w:type="dxa" w:w="43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f463ec07ff320968</w:t>
            </w:r>
          </w:p>
        </w:tc>
      </w:tr>
      <w:tr>
        <w:trPr>
          <w:cantSplit/>
        </w:trPr>
        <w:tc>
          <w:tcPr>
            <w:tcW w:type="dxa" w:w="2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2024</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2A</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44.0</w:t>
            </w:r>
          </w:p>
        </w:tc>
        <w:tc>
          <w:tcPr>
            <w:tcW w:type="dxa" w:w="43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dbedc8bafc05338a</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Checksums are truncated for readability. Full 64-character values are printed by the exploratory notebook and stored in the repository. The ten files total 535.6 MB.</w:t>
      </w:r>
    </w:p>
    <w:p>
      <w:pPr>
        <w:keepNext/>
        <w:spacing w:before="240" w:line="480"/>
      </w:pPr>
      <w:bookmarkStart w:name="tbl_B2" w:id="159"/>
      <w:r>
        <w:rPr>
          <w:rFonts w:ascii="Times New Roman" w:cs="Times New Roman" w:eastAsia="Times New Roman" w:hAnsi="Times New Roman"/>
          <w:b/>
          <w:bCs/>
        </w:rPr>
        <w:t xml:space="preserve">Table B2</w:t>
      </w:r>
      <w:bookmarkEnd w:id="159"/>
    </w:p>
    <w:p>
      <w:pPr>
        <w:keepNext/>
        <w:spacing w:line="480"/>
      </w:pPr>
      <w:r>
        <w:rPr>
          <w:rFonts w:ascii="Times New Roman" w:cs="Times New Roman" w:eastAsia="Times New Roman" w:hAnsi="Times New Roman"/>
          <w:i/>
          <w:iCs/>
        </w:rPr>
        <w:t xml:space="preserve">Duplicate Consolidation Counts by Reporting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500"/>
        <w:gridCol w:w="1400"/>
        <w:gridCol w:w="1460"/>
      </w:tblGrid>
      <w:tr>
        <w:trPr>
          <w:cantSplit/>
          <w:tblHeader/>
        </w:trPr>
        <w:tc>
          <w:tcPr>
            <w:tcW w:type="dxa" w:w="11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Year</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Before</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After</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Removed</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Groups With Duplicates</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Revision Superseded</w:t>
            </w:r>
          </w:p>
        </w:tc>
        <w:tc>
          <w:tcPr>
            <w:tcW w:type="dxa" w:w="14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Originals Summed</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57,004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56,462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542</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321</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33</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288</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56,750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56,219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531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353</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39</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314</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56,725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56,155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570</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367</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13</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354</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2023</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55,882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55,349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533</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333</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26</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307</w:t>
            </w:r>
          </w:p>
        </w:tc>
      </w:tr>
      <w:tr>
        <w:trPr>
          <w:cantSplit/>
        </w:trPr>
        <w:tc>
          <w:tcPr>
            <w:tcW w:type="dxa" w:w="11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2024</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54,595</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54,115</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480</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304</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16</w:t>
            </w:r>
          </w:p>
        </w:tc>
        <w:tc>
          <w:tcPr>
            <w:tcW w:type="dxa" w:w="14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288</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Unit conflicts and chemical-identifier conflicts were zero in every year. Summing dominates supersession, which is why the consolidation rule in </w:t>
      </w:r>
      <w:hyperlink w:history="1" w:anchor="app_C">
        <w:r>
          <w:rPr>
            <w:rFonts w:ascii="Times New Roman" w:cs="Times New Roman" w:eastAsia="Times New Roman" w:hAnsi="Times New Roman"/>
            <w:color w:val="0563C1"/>
            <w:sz w:val="24"/>
            <w:szCs w:val="24"/>
          </w:rPr>
          <w:t xml:space="preserve">Appendix C</w:t>
        </w:r>
      </w:hyperlink>
      <w:r>
        <w:rPr>
          <w:rFonts w:ascii="Times New Roman" w:cs="Times New Roman" w:eastAsia="Times New Roman" w:hAnsi="Times New Roman"/>
          <w:sz w:val="24"/>
          <w:szCs w:val="24"/>
        </w:rPr>
        <w:t xml:space="preserve"> sums original filings rather than keeping a single filing.</w:t>
      </w:r>
    </w:p>
    <w:p>
      <w:pPr>
        <w:pStyle w:val="Heading2"/>
        <w:keepNext/>
        <w:spacing w:after="0" w:before="0" w:line="480"/>
      </w:pPr>
      <w:r>
        <w:rPr>
          <w:rFonts w:ascii="Times New Roman" w:cs="Times New Roman" w:eastAsia="Times New Roman" w:hAnsi="Times New Roman"/>
          <w:b/>
          <w:bCs/>
          <w:color w:val="000000"/>
          <w:sz w:val="24"/>
          <w:szCs w:val="24"/>
        </w:rPr>
        <w:t xml:space="preserve">Repository Structure</w:t>
      </w:r>
    </w:p>
    <w:p>
      <w:pPr>
        <w:keepNext w:val="false"/>
        <w:spacing w:after="0" w:before="0" w:line="480"/>
        <w:ind w:firstLine="720"/>
        <w:jc w:val="left"/>
      </w:pPr>
      <w:r>
        <w:rPr>
          <w:rFonts w:ascii="Times New Roman" w:cs="Times New Roman" w:eastAsia="Times New Roman" w:hAnsi="Times New Roman"/>
        </w:rPr>
        <w:t xml:space="preserve">The public GitHub repository is organized as follows:</w:t>
      </w:r>
    </w:p>
    <w:p>
      <w:pPr>
        <w:pStyle w:val="ListParagraph"/>
        <w:numPr>
          <w:ilvl w:val="0"/>
          <w:numId w:val="2"/>
        </w:numPr>
        <w:spacing w:line="480"/>
      </w:pPr>
      <w:r>
        <w:rPr>
          <w:rFonts w:ascii="Times New Roman" w:cs="Times New Roman" w:eastAsia="Times New Roman" w:hAnsi="Times New Roman"/>
        </w:rPr>
        <w:t xml:space="preserve">README.md: problem statement, data source, record counts, and reproduction instructions</w:t>
      </w:r>
    </w:p>
    <w:p>
      <w:pPr>
        <w:pStyle w:val="ListParagraph"/>
        <w:numPr>
          <w:ilvl w:val="0"/>
          <w:numId w:val="2"/>
        </w:numPr>
        <w:spacing w:line="480"/>
      </w:pPr>
      <w:r>
        <w:rPr>
          <w:rFonts w:ascii="Times New Roman" w:cs="Times New Roman" w:eastAsia="Times New Roman" w:hAnsi="Times New Roman"/>
        </w:rPr>
        <w:t xml:space="preserve">requirements.txt and VALIDATION_CHECKLIST.md: software requirements and validation notes</w:t>
      </w:r>
    </w:p>
    <w:p>
      <w:pPr>
        <w:pStyle w:val="ListParagraph"/>
        <w:numPr>
          <w:ilvl w:val="0"/>
          <w:numId w:val="2"/>
        </w:numPr>
        <w:spacing w:line="480"/>
      </w:pPr>
      <w:r>
        <w:rPr>
          <w:rFonts w:ascii="Times New Roman" w:cs="Times New Roman" w:eastAsia="Times New Roman" w:hAnsi="Times New Roman"/>
        </w:rPr>
        <w:t xml:space="preserve">data/: download instructions and a 200-row sample of File 1A and File 2A for each reporting year</w:t>
      </w:r>
    </w:p>
    <w:p>
      <w:pPr>
        <w:pStyle w:val="ListParagraph"/>
        <w:numPr>
          <w:ilvl w:val="0"/>
          <w:numId w:val="2"/>
        </w:numPr>
        <w:spacing w:line="480"/>
      </w:pPr>
      <w:r>
        <w:rPr>
          <w:rFonts w:ascii="Times New Roman" w:cs="Times New Roman" w:eastAsia="Times New Roman" w:hAnsi="Times New Roman"/>
        </w:rPr>
        <w:t xml:space="preserve">notebooks/: the early data exploration notebook, the exploratory data analysis notebook that parsed, consolidated, matched, and exported the data and produced the </w:t>
      </w:r>
      <w:hyperlink w:history="1" w:anchor="app_A">
        <w:r>
          <w:rPr>
            <w:rFonts w:ascii="Times New Roman" w:cs="Times New Roman" w:eastAsia="Times New Roman" w:hAnsi="Times New Roman"/>
            <w:color w:val="0563C1"/>
          </w:rPr>
          <w:t xml:space="preserve">Appendix A</w:t>
        </w:r>
      </w:hyperlink>
      <w:r>
        <w:rPr>
          <w:rFonts w:ascii="Times New Roman" w:cs="Times New Roman" w:eastAsia="Times New Roman" w:hAnsi="Times New Roman"/>
        </w:rPr>
        <w:t xml:space="preserve"> figures, and the final analysis notebook that produced the RQ1 to RQ4 results</w:t>
      </w:r>
    </w:p>
    <w:p>
      <w:pPr>
        <w:pStyle w:val="ListParagraph"/>
        <w:numPr>
          <w:ilvl w:val="0"/>
          <w:numId w:val="2"/>
        </w:numPr>
        <w:spacing w:line="480"/>
      </w:pPr>
      <w:r>
        <w:rPr>
          <w:rFonts w:ascii="Times New Roman" w:cs="Times New Roman" w:eastAsia="Times New Roman" w:hAnsi="Times New Roman"/>
        </w:rPr>
        <w:t xml:space="preserve">src/data_prep.py: an earlier synopsis-stage preparation script kept for transparency, which the exploratory data analysis notebook superseded (including the revised consolidation rule in </w:t>
      </w:r>
      <w:hyperlink w:history="1" w:anchor="app_C">
        <w:r>
          <w:rPr>
            <w:rFonts w:ascii="Times New Roman" w:cs="Times New Roman" w:eastAsia="Times New Roman" w:hAnsi="Times New Roman"/>
            <w:color w:val="0563C1"/>
          </w:rPr>
          <w:t xml:space="preserve">Appendix C</w:t>
        </w:r>
      </w:hyperlink>
      <w:r>
        <w:rPr>
          <w:rFonts w:ascii="Times New Roman" w:cs="Times New Roman" w:eastAsia="Times New Roman" w:hAnsi="Times New Roman"/>
        </w:rPr>
        <w:t xml:space="preserve">)</w:t>
      </w:r>
    </w:p>
    <w:p>
      <w:pPr>
        <w:pStyle w:val="ListParagraph"/>
        <w:numPr>
          <w:ilvl w:val="0"/>
          <w:numId w:val="2"/>
        </w:numPr>
        <w:spacing w:line="480"/>
      </w:pPr>
      <w:r>
        <w:rPr>
          <w:rFonts w:ascii="Times New Roman" w:cs="Times New Roman" w:eastAsia="Times New Roman" w:hAnsi="Times New Roman"/>
        </w:rPr>
        <w:t xml:space="preserve">reports/: the project synopsis and this final report in Word and PDF formats</w:t>
      </w:r>
    </w:p>
    <w:p>
      <w:pPr>
        <w:pStyle w:val="ListParagraph"/>
        <w:numPr>
          <w:ilvl w:val="0"/>
          <w:numId w:val="2"/>
        </w:numPr>
        <w:spacing w:line="480"/>
      </w:pPr>
      <w:r>
        <w:rPr>
          <w:rFonts w:ascii="Times New Roman" w:cs="Times New Roman" w:eastAsia="Times New Roman" w:hAnsi="Times New Roman"/>
        </w:rPr>
        <w:t xml:space="preserve">presentation/: the final presentation slides</w:t>
      </w:r>
    </w:p>
    <w:p>
      <w:pPr>
        <w:pStyle w:val="Heading1"/>
        <w:keepNext/>
        <w:pageBreakBefore/>
        <w:spacing w:after="0" w:before="0" w:line="480"/>
        <w:jc w:val="center"/>
      </w:pPr>
      <w:bookmarkStart w:name="app_C" w:id="160"/>
      <w:r>
        <w:rPr>
          <w:rFonts w:ascii="Times New Roman" w:cs="Times New Roman" w:eastAsia="Times New Roman" w:hAnsi="Times New Roman"/>
          <w:b/>
          <w:bCs/>
          <w:color w:val="000000"/>
          <w:sz w:val="24"/>
          <w:szCs w:val="24"/>
        </w:rPr>
        <w:t xml:space="preserve">Appendix C</w:t>
      </w:r>
      <w:bookmarkEnd w:id="160"/>
    </w:p>
    <w:p>
      <w:pPr>
        <w:pStyle w:val="Heading1"/>
        <w:keepNext/>
        <w:spacing w:after="0" w:before="0" w:line="480"/>
        <w:jc w:val="center"/>
      </w:pPr>
      <w:r>
        <w:rPr>
          <w:rFonts w:ascii="Times New Roman" w:cs="Times New Roman" w:eastAsia="Times New Roman" w:hAnsi="Times New Roman"/>
          <w:b/>
          <w:bCs/>
          <w:color w:val="000000"/>
          <w:sz w:val="24"/>
          <w:szCs w:val="24"/>
        </w:rPr>
        <w:t xml:space="preserve">Duplicate-Filing Consolidation Rule</w:t>
      </w:r>
    </w:p>
    <w:p>
      <w:pPr>
        <w:keepNext w:val="false"/>
        <w:spacing w:after="0" w:before="0" w:line="480"/>
        <w:ind w:firstLine="720"/>
        <w:jc w:val="left"/>
      </w:pPr>
      <w:r>
        <w:rPr>
          <w:rFonts w:ascii="Times New Roman" w:cs="Times New Roman" w:eastAsia="Times New Roman" w:hAnsi="Times New Roman"/>
        </w:rPr>
        <w:t xml:space="preserve">A facility sometimes files more than one Form R for the same chemical in the same reporting year. The original study plan took the release quantity from the filing with the highest document control number. Implementation showed that this rule was wrong for the most common case, so the rule was revised before any analysis. This appendix records the final rule and the evidence for it.</w:t>
      </w:r>
    </w:p>
    <w:p>
      <w:pPr>
        <w:keepNext w:val="false"/>
        <w:spacing w:after="0" w:before="0" w:line="480"/>
        <w:ind w:firstLine="720"/>
        <w:jc w:val="left"/>
      </w:pPr>
      <w:r>
        <w:rPr>
          <w:rFonts w:ascii="Times New Roman" w:cs="Times New Roman" w:eastAsia="Times New Roman" w:hAnsi="Times New Roman"/>
        </w:rPr>
        <w:t xml:space="preserve">Duplicate filings arise for two different reasons. In the first, a facility submits a revised form that replaces an earlier one. The revision genuinely supersedes the original, so keeping one filing is correct. In the second and much more common case, a facility submits several original forms that each carry part of the year’s total for that chemical. Keeping a single filing would discard real quantity and understate the release. Across the five reporting years, 1,551 duplicate groups were of the second kind and only 127 were of the first.</w:t>
      </w:r>
    </w:p>
    <w:p>
      <w:pPr>
        <w:keepNext w:val="false"/>
        <w:spacing w:after="0" w:before="0" w:line="480"/>
        <w:ind w:firstLine="720"/>
        <w:jc w:val="left"/>
      </w:pPr>
      <w:r>
        <w:rPr>
          <w:rFonts w:ascii="Times New Roman" w:cs="Times New Roman" w:eastAsia="Times New Roman" w:hAnsi="Times New Roman"/>
        </w:rPr>
        <w:t xml:space="preserve">The final rule is therefore conditional. If one or more filings in a facility-chemical-year group carry a value in either revision-code field, the revision-coded filing with the highest document control number supplies the release quantity and unit, and the other filings are treated as superseded. Source-reduction indicators are taken from that filing, and the production or activity ratio is taken from it when available. If no revision-coded filing exists, the release quantities of the original filings are summed after unit and chemical-identifier consistency checks. The sum uses a minimum-count setting of one, so a group in which every value is missing produces a missing total rather than a false zero. If more than one unit appeared in a group, the release would be set to missing. No such conflict occurred in any year.</w:t>
      </w:r>
    </w:p>
    <w:p>
      <w:pPr>
        <w:keepNext w:val="false"/>
        <w:spacing w:after="0" w:before="0" w:line="480"/>
        <w:ind w:firstLine="720"/>
        <w:jc w:val="left"/>
      </w:pPr>
      <w:r>
        <w:rPr>
          <w:rFonts w:ascii="Times New Roman" w:cs="Times New Roman" w:eastAsia="Times New Roman" w:hAnsi="Times New Roman"/>
        </w:rPr>
        <w:t xml:space="preserve">Two notes accompany the rule. First, adding the second revision-code field and the minimum-count safeguard changed no results. Revision counts were identical with one field or two, and no group consisted entirely of missing values. Both were kept as defensive measures. Second, an earlier planning remark that duplicate original forms represent separate process units was withdrawn, because the TRI fields available in this study cannot establish that. The forms are summed because summing preserves the reported total, which is defensible whatever the reason for the duplicates. The same rule was applied when the 2024 outcome for the sealed holdout was reconstructed, which yielded 944 superseded and 52,670 summed facility-chemical records among 2024 pound-reported manufacturing filings.</w:t>
      </w:r>
    </w:p>
    <w:p>
      <w:pPr>
        <w:pStyle w:val="Heading1"/>
        <w:keepNext/>
        <w:pageBreakBefore/>
        <w:spacing w:after="0" w:before="0" w:line="480"/>
        <w:jc w:val="center"/>
      </w:pPr>
      <w:bookmarkStart w:name="app_D" w:id="161"/>
      <w:r>
        <w:rPr>
          <w:rFonts w:ascii="Times New Roman" w:cs="Times New Roman" w:eastAsia="Times New Roman" w:hAnsi="Times New Roman"/>
          <w:b/>
          <w:bCs/>
          <w:color w:val="000000"/>
          <w:sz w:val="24"/>
          <w:szCs w:val="24"/>
        </w:rPr>
        <w:t xml:space="preserve">Appendix D</w:t>
      </w:r>
      <w:bookmarkEnd w:id="161"/>
    </w:p>
    <w:p>
      <w:pPr>
        <w:pStyle w:val="Heading1"/>
        <w:keepNext/>
        <w:spacing w:after="0" w:before="0" w:line="480"/>
        <w:jc w:val="center"/>
      </w:pPr>
      <w:r>
        <w:rPr>
          <w:rFonts w:ascii="Times New Roman" w:cs="Times New Roman" w:eastAsia="Times New Roman" w:hAnsi="Times New Roman"/>
          <w:b/>
          <w:bCs/>
          <w:color w:val="000000"/>
          <w:sz w:val="24"/>
          <w:szCs w:val="24"/>
        </w:rPr>
        <w:t xml:space="preserve">Data Availability Evidence</w:t>
      </w:r>
    </w:p>
    <w:p>
      <w:pPr>
        <w:keepNext w:val="false"/>
        <w:spacing w:after="0" w:before="0" w:line="480"/>
        <w:ind w:firstLine="720"/>
        <w:jc w:val="left"/>
      </w:pPr>
      <w:hyperlink w:history="1" w:anchor="fig_D1">
        <w:r>
          <w:rPr>
            <w:rFonts w:ascii="Times New Roman" w:cs="Times New Roman" w:eastAsia="Times New Roman" w:hAnsi="Times New Roman"/>
            <w:color w:val="0563C1"/>
          </w:rPr>
          <w:t xml:space="preserve">Figures D1</w:t>
        </w:r>
      </w:hyperlink>
      <w:r>
        <w:rPr>
          <w:rFonts w:ascii="Times New Roman" w:cs="Times New Roman" w:eastAsia="Times New Roman" w:hAnsi="Times New Roman"/>
        </w:rPr>
        <w:t xml:space="preserve"> to D4 document the shared folder structure and dataset contents described in the Code and Data Availability statement and the Data Source section. Access is set to anyone with the link, with viewer permission.</w:t>
      </w:r>
    </w:p>
    <w:p>
      <w:pPr>
        <w:keepNext/>
        <w:spacing w:before="240" w:line="480"/>
      </w:pPr>
      <w:bookmarkStart w:name="fig_D1" w:id="162"/>
      <w:r>
        <w:rPr>
          <w:rFonts w:ascii="Times New Roman" w:cs="Times New Roman" w:eastAsia="Times New Roman" w:hAnsi="Times New Roman"/>
          <w:b/>
          <w:bCs/>
        </w:rPr>
        <w:t xml:space="preserve">Figure D1</w:t>
      </w:r>
      <w:bookmarkEnd w:id="162"/>
    </w:p>
    <w:p>
      <w:pPr>
        <w:keepNext/>
        <w:spacing w:line="480"/>
      </w:pPr>
      <w:r>
        <w:rPr>
          <w:rFonts w:ascii="Times New Roman" w:cs="Times New Roman" w:eastAsia="Times New Roman" w:hAnsi="Times New Roman"/>
          <w:i/>
          <w:iCs/>
        </w:rPr>
        <w:t xml:space="preserve">Raw Data Folder Structure on Google Drive</w:t>
      </w:r>
    </w:p>
    <w:p>
      <w:pPr>
        <w:keepNext/>
        <w:spacing w:after="60" w:before="60" w:line="240" w:lineRule="auto"/>
        <w:jc w:val="center"/>
      </w:pPr>
      <w:r>
        <w:drawing>
          <wp:inline distT="0" distB="0" distL="0" distR="0">
            <wp:extent cx="5305425" cy="2790825"/>
            <wp:effectExtent t="0" r="0" b="0" l="0"/>
            <wp:docPr id="1" name="Figure D1" descr="Raw Data Folder Structure on Google Drive" title="Figure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05425" cy="27908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One folder per TRI reporting year, 2020 through 2024, each holding File 1A and File 2A, plus the processed subfolder. TRI = Toxics Release Inventory.</w:t>
      </w:r>
    </w:p>
    <w:p>
      <w:pPr>
        <w:keepNext/>
        <w:spacing w:before="240" w:line="480"/>
      </w:pPr>
      <w:bookmarkStart w:name="fig_D2" w:id="163"/>
      <w:r>
        <w:rPr>
          <w:rFonts w:ascii="Times New Roman" w:cs="Times New Roman" w:eastAsia="Times New Roman" w:hAnsi="Times New Roman"/>
          <w:b/>
          <w:bCs/>
        </w:rPr>
        <w:t xml:space="preserve">Figure D2</w:t>
      </w:r>
      <w:bookmarkEnd w:id="163"/>
    </w:p>
    <w:p>
      <w:pPr>
        <w:keepNext/>
        <w:spacing w:line="480"/>
      </w:pPr>
      <w:r>
        <w:rPr>
          <w:rFonts w:ascii="Times New Roman" w:cs="Times New Roman" w:eastAsia="Times New Roman" w:hAnsi="Times New Roman"/>
          <w:i/>
          <w:iCs/>
        </w:rPr>
        <w:t xml:space="preserve">Processed Data Folder Contents</w:t>
      </w:r>
    </w:p>
    <w:p>
      <w:pPr>
        <w:keepNext/>
        <w:spacing w:after="60" w:before="60" w:line="240" w:lineRule="auto"/>
        <w:jc w:val="center"/>
      </w:pPr>
      <w:r>
        <w:drawing>
          <wp:inline distT="0" distB="0" distL="0" distR="0">
            <wp:extent cx="4019550" cy="2114550"/>
            <wp:effectExtent t="0" r="0" b="0" l="0"/>
            <wp:docPr id="1" name="Figure D2" descr="Processed Data Folder Contents" title="Figure 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19550" cy="2114550"/>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Eleven files. The holdout file (4.3 MB) is smaller than the development dataset (16.1 MB) because it carries no outcome columns.</w:t>
      </w:r>
    </w:p>
    <w:p>
      <w:pPr>
        <w:keepNext/>
        <w:spacing w:before="240" w:line="480"/>
      </w:pPr>
      <w:bookmarkStart w:name="fig_D3" w:id="164"/>
      <w:r>
        <w:rPr>
          <w:rFonts w:ascii="Times New Roman" w:cs="Times New Roman" w:eastAsia="Times New Roman" w:hAnsi="Times New Roman"/>
          <w:b/>
          <w:bCs/>
        </w:rPr>
        <w:t xml:space="preserve">Figure D3</w:t>
      </w:r>
      <w:bookmarkEnd w:id="164"/>
    </w:p>
    <w:p>
      <w:pPr>
        <w:keepNext/>
        <w:spacing w:line="480"/>
      </w:pPr>
      <w:r>
        <w:rPr>
          <w:rFonts w:ascii="Times New Roman" w:cs="Times New Roman" w:eastAsia="Times New Roman" w:hAnsi="Times New Roman"/>
          <w:i/>
          <w:iCs/>
        </w:rPr>
        <w:t xml:space="preserve">Preview of the Processed Development Dataset</w:t>
      </w:r>
    </w:p>
    <w:p>
      <w:pPr>
        <w:keepNext/>
        <w:spacing w:after="60" w:before="60" w:line="240" w:lineRule="auto"/>
        <w:jc w:val="center"/>
      </w:pPr>
      <w:r>
        <w:drawing>
          <wp:inline distT="0" distB="0" distL="0" distR="0">
            <wp:extent cx="5667375" cy="2981325"/>
            <wp:effectExtent t="0" r="0" b="0" l="0"/>
            <wp:docPr id="1" name="Figure D3" descr="Preview of the Processed Development Dataset" title="Figure 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298132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Column order follows the schema declared in code: identifier fields, then predictors, then audit fields. The span column records the action-year to outcome-year transition. Values shown are real records from reporting year 2020.</w:t>
      </w:r>
    </w:p>
    <w:p>
      <w:pPr>
        <w:keepNext/>
        <w:spacing w:before="240" w:line="480"/>
      </w:pPr>
      <w:bookmarkStart w:name="fig_D4" w:id="165"/>
      <w:r>
        <w:rPr>
          <w:rFonts w:ascii="Times New Roman" w:cs="Times New Roman" w:eastAsia="Times New Roman" w:hAnsi="Times New Roman"/>
          <w:b/>
          <w:bCs/>
        </w:rPr>
        <w:t xml:space="preserve">Figure D4</w:t>
      </w:r>
      <w:bookmarkEnd w:id="165"/>
    </w:p>
    <w:p>
      <w:pPr>
        <w:keepNext/>
        <w:spacing w:line="480"/>
      </w:pPr>
      <w:r>
        <w:rPr>
          <w:rFonts w:ascii="Times New Roman" w:cs="Times New Roman" w:eastAsia="Times New Roman" w:hAnsi="Times New Roman"/>
          <w:i/>
          <w:iCs/>
        </w:rPr>
        <w:t xml:space="preserve">Activity Code Crosswalk With EPA Descriptions</w:t>
      </w:r>
    </w:p>
    <w:p>
      <w:pPr>
        <w:keepNext/>
        <w:spacing w:after="60" w:before="60" w:line="240" w:lineRule="auto"/>
        <w:jc w:val="center"/>
      </w:pPr>
      <w:r>
        <w:drawing>
          <wp:inline distT="0" distB="0" distL="0" distR="0">
            <wp:extent cx="5486400" cy="2886075"/>
            <wp:effectExtent t="0" r="0" b="0" l="0"/>
            <wp:docPr id="1" name="Figure D4" descr="Activity Code Crosswalk With EPA Descriptions" title="Figure 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28860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Every observed code is mapped to one of the five action types, with counts by year. Legacy W codes carry counts only in 2020, and S codes carry counts only from 2021 onward. EPA = U.S. Environmental Protection Agency.</w:t>
      </w:r>
    </w:p>
    <w:p>
      <w:pPr>
        <w:pStyle w:val="Heading1"/>
        <w:keepNext/>
        <w:pageBreakBefore/>
        <w:spacing w:after="0" w:before="0" w:line="480"/>
        <w:jc w:val="center"/>
      </w:pPr>
      <w:bookmarkStart w:name="app_E" w:id="166"/>
      <w:r>
        <w:rPr>
          <w:rFonts w:ascii="Times New Roman" w:cs="Times New Roman" w:eastAsia="Times New Roman" w:hAnsi="Times New Roman"/>
          <w:b/>
          <w:bCs/>
          <w:color w:val="000000"/>
          <w:sz w:val="24"/>
          <w:szCs w:val="24"/>
        </w:rPr>
        <w:t xml:space="preserve">Appendix E</w:t>
      </w:r>
      <w:bookmarkEnd w:id="166"/>
    </w:p>
    <w:p>
      <w:pPr>
        <w:pStyle w:val="Heading1"/>
        <w:keepNext/>
        <w:spacing w:after="0" w:before="0" w:line="480"/>
        <w:jc w:val="center"/>
      </w:pPr>
      <w:r>
        <w:rPr>
          <w:rFonts w:ascii="Times New Roman" w:cs="Times New Roman" w:eastAsia="Times New Roman" w:hAnsi="Times New Roman"/>
          <w:b/>
          <w:bCs/>
          <w:color w:val="000000"/>
          <w:sz w:val="24"/>
          <w:szCs w:val="24"/>
        </w:rPr>
        <w:t xml:space="preserve">Data and Method Supporting Tables</w:t>
      </w:r>
    </w:p>
    <w:p>
      <w:pPr>
        <w:keepNext w:val="false"/>
        <w:spacing w:after="0" w:before="0" w:line="480"/>
        <w:ind w:firstLine="720"/>
        <w:jc w:val="left"/>
      </w:pPr>
      <w:r>
        <w:rPr>
          <w:rFonts w:ascii="Times New Roman" w:cs="Times New Roman" w:eastAsia="Times New Roman" w:hAnsi="Times New Roman"/>
        </w:rPr>
        <w:t xml:space="preserve">These tables support the Materials and Method section. </w:t>
      </w:r>
      <w:hyperlink w:history="1" w:anchor="tbl_E1">
        <w:r>
          <w:rPr>
            <w:rFonts w:ascii="Times New Roman" w:cs="Times New Roman" w:eastAsia="Times New Roman" w:hAnsi="Times New Roman"/>
            <w:color w:val="0563C1"/>
          </w:rPr>
          <w:t xml:space="preserve">Table E1</w:t>
        </w:r>
      </w:hyperlink>
      <w:r>
        <w:rPr>
          <w:rFonts w:ascii="Times New Roman" w:cs="Times New Roman" w:eastAsia="Times New Roman" w:hAnsi="Times New Roman"/>
        </w:rPr>
        <w:t xml:space="preserve"> defines the analysis variables, </w:t>
      </w:r>
      <w:hyperlink w:history="1" w:anchor="tbl_E2">
        <w:r>
          <w:rPr>
            <w:rFonts w:ascii="Times New Roman" w:cs="Times New Roman" w:eastAsia="Times New Roman" w:hAnsi="Times New Roman"/>
            <w:color w:val="0563C1"/>
          </w:rPr>
          <w:t xml:space="preserve">Table E2</w:t>
        </w:r>
      </w:hyperlink>
      <w:r>
        <w:rPr>
          <w:rFonts w:ascii="Times New Roman" w:cs="Times New Roman" w:eastAsia="Times New Roman" w:hAnsi="Times New Roman"/>
        </w:rPr>
        <w:t xml:space="preserve"> records the cleaning decisions, </w:t>
      </w:r>
      <w:hyperlink w:history="1" w:anchor="tbl_E3">
        <w:r>
          <w:rPr>
            <w:rFonts w:ascii="Times New Roman" w:cs="Times New Roman" w:eastAsia="Times New Roman" w:hAnsi="Times New Roman"/>
            <w:color w:val="0563C1"/>
          </w:rPr>
          <w:t xml:space="preserve">Table E3</w:t>
        </w:r>
      </w:hyperlink>
      <w:r>
        <w:rPr>
          <w:rFonts w:ascii="Times New Roman" w:cs="Times New Roman" w:eastAsia="Times New Roman" w:hAnsi="Times New Roman"/>
        </w:rPr>
        <w:t xml:space="preserve"> reconciles record counts, </w:t>
      </w:r>
      <w:hyperlink w:history="1" w:anchor="tbl_E4">
        <w:r>
          <w:rPr>
            <w:rFonts w:ascii="Times New Roman" w:cs="Times New Roman" w:eastAsia="Times New Roman" w:hAnsi="Times New Roman"/>
            <w:color w:val="0563C1"/>
          </w:rPr>
          <w:t xml:space="preserve">Table E4</w:t>
        </w:r>
      </w:hyperlink>
      <w:r>
        <w:rPr>
          <w:rFonts w:ascii="Times New Roman" w:cs="Times New Roman" w:eastAsia="Times New Roman" w:hAnsi="Times New Roman"/>
        </w:rPr>
        <w:t xml:space="preserve"> gives the sample-size calculations, and </w:t>
      </w:r>
      <w:hyperlink w:history="1" w:anchor="tbl_E5">
        <w:r>
          <w:rPr>
            <w:rFonts w:ascii="Times New Roman" w:cs="Times New Roman" w:eastAsia="Times New Roman" w:hAnsi="Times New Roman"/>
            <w:color w:val="0563C1"/>
          </w:rPr>
          <w:t xml:space="preserve">Table E5</w:t>
        </w:r>
      </w:hyperlink>
      <w:r>
        <w:rPr>
          <w:rFonts w:ascii="Times New Roman" w:cs="Times New Roman" w:eastAsia="Times New Roman" w:hAnsi="Times New Roman"/>
        </w:rPr>
        <w:t xml:space="preserve"> lists the evaluation metrics.</w:t>
      </w:r>
    </w:p>
    <w:p>
      <w:pPr>
        <w:keepNext/>
        <w:spacing w:before="240" w:line="480"/>
      </w:pPr>
      <w:bookmarkStart w:name="tbl_E1" w:id="167"/>
      <w:r>
        <w:rPr>
          <w:rFonts w:ascii="Times New Roman" w:cs="Times New Roman" w:eastAsia="Times New Roman" w:hAnsi="Times New Roman"/>
          <w:b/>
          <w:bCs/>
        </w:rPr>
        <w:t xml:space="preserve">Table E1</w:t>
      </w:r>
      <w:bookmarkEnd w:id="167"/>
    </w:p>
    <w:p>
      <w:pPr>
        <w:keepNext/>
        <w:spacing w:line="480"/>
      </w:pPr>
      <w:r>
        <w:rPr>
          <w:rFonts w:ascii="Times New Roman" w:cs="Times New Roman" w:eastAsia="Times New Roman" w:hAnsi="Times New Roman"/>
          <w:i/>
          <w:iCs/>
        </w:rPr>
        <w:t xml:space="preserve">Data Dictionary for the Analysis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950"/>
        <w:gridCol w:w="1450"/>
        <w:gridCol w:w="1860"/>
        <w:gridCol w:w="1200"/>
      </w:tblGrid>
      <w:tr>
        <w:trPr>
          <w:cantSplit/>
          <w:tblHeader/>
        </w:trPr>
        <w:tc>
          <w:tcPr>
            <w:tcW w:type="dxa" w:w="17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Variable</w:t>
            </w:r>
          </w:p>
        </w:tc>
        <w:tc>
          <w:tcPr>
            <w:tcW w:type="dxa" w:w="2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Definition</w:t>
            </w:r>
          </w:p>
        </w:tc>
        <w:tc>
          <w:tcPr>
            <w:tcW w:type="dxa" w:w="9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Type</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Range or Values</w:t>
            </w:r>
          </w:p>
        </w:tc>
        <w:tc>
          <w:tcPr>
            <w:tcW w:type="dxa" w:w="18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Missing-Value Handling</w:t>
            </w:r>
          </w:p>
        </w:tc>
        <w:tc>
          <w:tcPr>
            <w:tcW w:type="dxa" w:w="12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Role</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facility_id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TRI facility identifier (TRIFD)</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Text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14,851 distinct facilities</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Never missing</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Identifier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chemical_id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TRI chemical identifier</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Text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507 distinct chemicals</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Never missing</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Identifier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cas_number</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Chemical Abstracts Service number</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Text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As reported</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Retained as reported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Identifier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chemical_name</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EPA chemical name</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Text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As reported</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Retained as reported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Identifier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release_now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Current-year total on-site releases</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Numeric</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Greater than 0; maximum 19,750,398 lb</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Zero and missing values excluded at eligibility</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release_next</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Next-year total on-site releases</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Numeric</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greater</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Unmatched records excluded, never set to zero</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Outcome input</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reduced (REDUCTION_10)</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 if release_next is at most 0.90 × release_now</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Defined only when release_now is greater than 0</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Outcome</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percent_change</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Percentage change in release</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Numeric</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Unbounded</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Defined only when release_now is greater than 0</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Outcome (descriptive)</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production_ratio_now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Production or activity ratio, current year</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Numeric</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Median 1.00</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Development median imputed; capped at 3.15; complete-case sensitivity completed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ratio_missing</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 when the production ratio was absent</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Derived, never missing</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subsector_now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First three digits of the primary NAICS code</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Categorical</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15 qualifying subsectors plus Other Manufacturing</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Record dropped if outside 31 to 33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span</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Action-year to outcome-year transition</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Categorical</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Four transitions</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Derived, never missing</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 (RQ2)</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reported_any_action_now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 if any valid source-reduction code is present</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Blank codes read as 0 (not reported)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Five action-type indicators</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Material, product, process or equipment, inventory or material management, operating practice or training</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 not mutually exclusive</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Blank codes read as 0</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is_carcinogen_now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EPA carcinogen classification</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As supplied by EPA</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is_pbt_now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Persistent, bioaccumulative, and toxic classification</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As supplied by EPA</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is_dioxin_now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Dioxin or dioxin-like compound</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As supplied by EPA</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Descriptive</w:t>
            </w:r>
          </w:p>
        </w:tc>
      </w:tr>
      <w:tr>
        <w:trPr>
          <w:cantSplit/>
        </w:trPr>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is_metal_now</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Metal or metal compound</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Binary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0 or 1</w:t>
            </w:r>
          </w:p>
        </w:tc>
        <w:tc>
          <w:tcPr>
            <w:tcW w:type="dxa" w:w="1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As supplied by EPA</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Predictor (RQ4)</w:t>
            </w:r>
          </w:p>
        </w:tc>
      </w:tr>
      <w:tr>
        <w:trPr>
          <w:cantSplit/>
        </w:trPr>
        <w:tc>
          <w:tcPr>
            <w:tcW w:type="dxa" w:w="17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unit_of_measure_now</w:t>
            </w:r>
          </w:p>
        </w:tc>
        <w:tc>
          <w:tcPr>
            <w:tcW w:type="dxa" w:w="2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Pounds or grams</w:t>
            </w:r>
          </w:p>
        </w:tc>
        <w:tc>
          <w:tcPr>
            <w:tcW w:type="dxa" w:w="9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Categorical</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Pounds or grams</w:t>
            </w:r>
          </w:p>
        </w:tc>
        <w:tc>
          <w:tcPr>
            <w:tcW w:type="dxa" w:w="18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Case normalized; record excluded if units differ across years</w:t>
            </w:r>
          </w:p>
        </w:tc>
        <w:tc>
          <w:tcPr>
            <w:tcW w:type="dxa" w:w="12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Audit</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A value of 0 on any action indicator means that no valid code was observed in the four File 2A activity-code fields. It does not prove that the facility took no environmental action. EPA = U.S. Environmental Protection Agency; NAICS = North American Industry Classification System; TRI = Toxics Release Inventory.</w:t>
      </w:r>
    </w:p>
    <w:p>
      <w:pPr>
        <w:keepNext/>
        <w:spacing w:before="240" w:line="480"/>
      </w:pPr>
      <w:bookmarkStart w:name="tbl_E2" w:id="168"/>
      <w:r>
        <w:rPr>
          <w:rFonts w:ascii="Times New Roman" w:cs="Times New Roman" w:eastAsia="Times New Roman" w:hAnsi="Times New Roman"/>
          <w:b/>
          <w:bCs/>
        </w:rPr>
        <w:t xml:space="preserve">Table E2</w:t>
      </w:r>
      <w:bookmarkEnd w:id="168"/>
    </w:p>
    <w:p>
      <w:pPr>
        <w:keepNext/>
        <w:spacing w:line="480"/>
      </w:pPr>
      <w:r>
        <w:rPr>
          <w:rFonts w:ascii="Times New Roman" w:cs="Times New Roman" w:eastAsia="Times New Roman" w:hAnsi="Times New Roman"/>
          <w:i/>
          <w:iCs/>
        </w:rPr>
        <w:t xml:space="preserve">Data Cleaning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850"/>
        <w:gridCol w:w="1400"/>
        <w:gridCol w:w="2310"/>
        <w:gridCol w:w="2150"/>
      </w:tblGrid>
      <w:tr>
        <w:trPr>
          <w:cantSplit/>
          <w:tblHeader/>
        </w:trPr>
        <w:tc>
          <w:tcPr>
            <w:tcW w:type="dxa" w:w="16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Issue</w:t>
            </w:r>
          </w:p>
        </w:tc>
        <w:tc>
          <w:tcPr>
            <w:tcW w:type="dxa" w:w="18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Variables Affected</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Detection Method</w:t>
            </w:r>
          </w:p>
        </w:tc>
        <w:tc>
          <w:tcPr>
            <w:tcW w:type="dxa" w:w="231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Treatment Applied</w:t>
            </w:r>
          </w:p>
        </w:tc>
        <w:tc>
          <w:tcPr>
            <w:tcW w:type="dxa" w:w="2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Rationale</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Non-Form R filings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All</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Form type field</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35,155 rows removed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Form A carries no release quantity</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Out-of-scope industries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Primary NAICS code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First two digits of NAICS</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54,065 rows removed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Study scope is manufacturing (31 to 33)</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Duplicate facility-chemical forms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All</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Grouping on facility, chemical, and year</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2,176 rows consolidated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Separate forms would double-count</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Revised filings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Revision code fields 1 and 2</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Either revision field non-blank</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127 groups: revision kept, others superseded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 revision replaces the original</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Multiple original forms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Total on-site releases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 revision code in group</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1,551 groups summed with minimum count of 1</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Preserves the total; avoids false zeros</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 label case</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 of measure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Value inspection</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Labels upper-cased before frame construction</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Prevents 864 pound records from being misclassified</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 conflicts within a group</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 of measure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More than one unit in a group</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None found; release would be set to missing</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Pounds and grams must never be added</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 change between years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Unit of measure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Comparison across the matched pair</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Record excluded from eligibility</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 unit change makes a percentage change meaningless</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Zero or missing base release</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release_now</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Value check</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41,946 records excluded (with unit changes)</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 percentage change needs a nonzero base</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Unmatched facility-chemical pairs</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Join keys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Left join to following year</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18,738 records excluded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 outcome; not treated as a reduction</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Missing production ratio</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production_ratio_now</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Numeric coercion</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Development median (1.00) imputed; ratio_missing flag; complete-case check run</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Keeps records while preserving missingness information</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Extreme production ratio</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production_ratio_now</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Percentiles and maximum</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Capped at development 99th percentile (3.15) before centering and squaring</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Prevents isolated extreme values from dominating</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Extreme release skew</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release_now</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Distribution inspection</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Retained; log(1 + release) used in models</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Real large emitters, not data errors</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Activity-code scheme change</w:t>
            </w:r>
          </w:p>
        </w:tc>
        <w:tc>
          <w:tcPr>
            <w:tcW w:type="dxa" w:w="1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Activity code fields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Cross-tabulation of code by year</w:t>
            </w:r>
          </w:p>
        </w:tc>
        <w:tc>
          <w:tcPr>
            <w:tcW w:type="dxa" w:w="23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70 codes mapped to five types; zero unmapped asserted</w:t>
            </w:r>
          </w:p>
        </w:tc>
        <w:tc>
          <w:tcPr>
            <w:tcW w:type="dxa" w:w="2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One behavior would otherwise carry two labels</w:t>
            </w:r>
          </w:p>
        </w:tc>
      </w:tr>
      <w:tr>
        <w:trPr>
          <w:cantSplit/>
        </w:trPr>
        <w:tc>
          <w:tcPr>
            <w:tcW w:type="dxa" w:w="16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Outcome leakage risk</w:t>
            </w:r>
          </w:p>
        </w:tc>
        <w:tc>
          <w:tcPr>
            <w:tcW w:type="dxa" w:w="18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Holdout outcome columns</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Schema assertion</w:t>
            </w:r>
          </w:p>
        </w:tc>
        <w:tc>
          <w:tcPr>
            <w:tcW w:type="dxa" w:w="231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Outcome columns stripped from reserved file; labels rebuilt after lock</w:t>
            </w:r>
          </w:p>
        </w:tc>
        <w:tc>
          <w:tcPr>
            <w:tcW w:type="dxa" w:w="2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Protects the out-of-time evaluation</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NAICS = North American Industry Classification System.</w:t>
      </w:r>
    </w:p>
    <w:p>
      <w:pPr>
        <w:keepNext/>
        <w:spacing w:before="240" w:line="480"/>
      </w:pPr>
      <w:bookmarkStart w:name="tbl_E3" w:id="169"/>
      <w:r>
        <w:rPr>
          <w:rFonts w:ascii="Times New Roman" w:cs="Times New Roman" w:eastAsia="Times New Roman" w:hAnsi="Times New Roman"/>
          <w:b/>
          <w:bCs/>
        </w:rPr>
        <w:t xml:space="preserve">Table E3</w:t>
      </w:r>
      <w:bookmarkEnd w:id="169"/>
    </w:p>
    <w:p>
      <w:pPr>
        <w:keepNext/>
        <w:spacing w:line="480"/>
      </w:pPr>
      <w:r>
        <w:rPr>
          <w:rFonts w:ascii="Times New Roman" w:cs="Times New Roman" w:eastAsia="Times New Roman" w:hAnsi="Times New Roman"/>
          <w:i/>
          <w:iCs/>
        </w:rPr>
        <w:t xml:space="preserve">Record Flow From Raw Files to Analysis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3260"/>
      </w:tblGrid>
      <w:tr>
        <w:trPr>
          <w:cantSplit/>
          <w:tblHeader/>
        </w:trPr>
        <w:tc>
          <w:tcPr>
            <w:tcW w:type="dxa" w:w="3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Stage</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Records</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8"/>
                <w:szCs w:val="18"/>
              </w:rPr>
              <w:t xml:space="preserve">Removed</w:t>
            </w:r>
          </w:p>
        </w:tc>
        <w:tc>
          <w:tcPr>
            <w:tcW w:type="dxa" w:w="32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Reason</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Raw File 1A rows, action years 2020 to 2023</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315,581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Reporting year 2024 read only to build outcomes</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Form R only</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280,426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35,155</w:t>
            </w: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Form A carries no release quantity</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Manufacturing only (NAICS 31 to 33)</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226,361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54,065</w:t>
            </w: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Study scope</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Joined one-to-one to File 2A</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226,361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Every Form R record matched one File 2A record</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After duplicate consolidation</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224,185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2,176</w:t>
            </w: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Multiple forms per facility-chemical-year combined (</w:t>
            </w:r>
            <w:hyperlink w:history="1" w:anchor="app_C">
              <w:r>
                <w:rPr>
                  <w:rFonts w:ascii="Times New Roman" w:cs="Times New Roman" w:eastAsia="Times New Roman" w:hAnsi="Times New Roman"/>
                  <w:color w:val="0563C1"/>
                  <w:sz w:val="18"/>
                  <w:szCs w:val="18"/>
                </w:rPr>
                <w:t xml:space="preserve">Appendix C</w:t>
              </w:r>
            </w:hyperlink>
            <w:r>
              <w:rPr>
                <w:rFonts w:ascii="Times New Roman" w:cs="Times New Roman" w:eastAsia="Times New Roman" w:hAnsi="Times New Roman"/>
                <w:sz w:val="18"/>
                <w:szCs w:val="18"/>
              </w:rPr>
              <w:t xml:space="preserve">)</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Matched to the following year</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205,447</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18,738</w:t>
            </w: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The facility-chemical pair must recur to have an outcome</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Eligible: positive current release, same unit</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163,501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41,946</w:t>
            </w: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A percentage change needs a nonzero base and a common unit</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Development set (2020 to 2023 transitions)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123,535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Outcome available; used for RQ1 to RQ3 and model development</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    Pound-reported modeling frame</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122,017</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RQ2 and RQ4 development; 14,836 facilities</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    Gram-reported dioxin records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1,518</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Analyzed separately</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Sealed holdout (2023 to 2024 transition)</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39,966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Outcome withheld until the model was locked</w:t>
            </w:r>
          </w:p>
        </w:tc>
      </w:tr>
      <w:tr>
        <w:trPr>
          <w:cantSplit/>
        </w:trPr>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    Pound-reported RQ4 modeling holdout</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39,500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Single RQ4 evaluation</w:t>
            </w:r>
          </w:p>
        </w:tc>
      </w:tr>
      <w:tr>
        <w:trPr>
          <w:cantSplit/>
        </w:trPr>
        <w:tc>
          <w:tcPr>
            <w:tcW w:type="dxa" w:w="3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    Gram-reported holdout records</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466</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p>
        </w:tc>
        <w:tc>
          <w:tcPr>
            <w:tcW w:type="dxa" w:w="32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Outside the release-based model</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The development and holdout sets sum exactly to the eligible total (123,535 + 39,966 = 163,501). The development set contains 14,851 distinct facilities. NAICS = North American Industry Classification System.</w:t>
      </w:r>
    </w:p>
    <w:p>
      <w:pPr>
        <w:keepNext/>
        <w:spacing w:before="240" w:line="480"/>
      </w:pPr>
      <w:bookmarkStart w:name="tbl_E4" w:id="170"/>
      <w:r>
        <w:rPr>
          <w:rFonts w:ascii="Times New Roman" w:cs="Times New Roman" w:eastAsia="Times New Roman" w:hAnsi="Times New Roman"/>
          <w:b/>
          <w:bCs/>
        </w:rPr>
        <w:t xml:space="preserve">Table E4</w:t>
      </w:r>
      <w:bookmarkEnd w:id="170"/>
    </w:p>
    <w:p>
      <w:pPr>
        <w:keepNext/>
        <w:spacing w:line="480"/>
      </w:pPr>
      <w:r>
        <w:rPr>
          <w:rFonts w:ascii="Times New Roman" w:cs="Times New Roman" w:eastAsia="Times New Roman" w:hAnsi="Times New Roman"/>
          <w:i/>
          <w:iCs/>
        </w:rPr>
        <w:t xml:space="preserve">Minimum Sample-Size Requirements Compared With Available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560"/>
        <w:gridCol w:w="1150"/>
        <w:gridCol w:w="1650"/>
        <w:gridCol w:w="900"/>
      </w:tblGrid>
      <w:tr>
        <w:trPr>
          <w:cantSplit/>
          <w:tblHeader/>
        </w:trPr>
        <w:tc>
          <w:tcPr>
            <w:tcW w:type="dxa" w:w="7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RQ</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Planning Method</w:t>
            </w:r>
          </w:p>
        </w:tc>
        <w:tc>
          <w:tcPr>
            <w:tcW w:type="dxa" w:w="25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Assumptions</w:t>
            </w:r>
          </w:p>
        </w:tc>
        <w:tc>
          <w:tcPr>
            <w:tcW w:type="dxa" w:w="11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7"/>
                <w:szCs w:val="17"/>
              </w:rPr>
              <w:t xml:space="preserve">Minimum</w:t>
            </w:r>
          </w:p>
        </w:tc>
        <w:tc>
          <w:tcPr>
            <w:tcW w:type="dxa" w:w="16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7"/>
                <w:szCs w:val="17"/>
              </w:rPr>
              <w:t xml:space="preserve">Available</w:t>
            </w:r>
          </w:p>
        </w:tc>
        <w:tc>
          <w:tcPr>
            <w:tcW w:type="dxa" w:w="9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sz w:val="17"/>
                <w:szCs w:val="17"/>
              </w:rPr>
              <w:t xml:space="preserve">Margin</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RQ1</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95% CI for a proportion: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Z</w:t>
            </w:r>
            <w:r>
              <w:rPr>
                <w:rFonts w:ascii="Times New Roman" w:cs="Times New Roman" w:eastAsia="Times New Roman" w:hAnsi="Times New Roman"/>
                <w:sz w:val="17"/>
                <w:szCs w:val="17"/>
                <w:vertAlign w:val="superscript"/>
              </w:rPr>
              <w:t xml:space="preserve">2</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(1 −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e</w:t>
            </w:r>
            <w:r>
              <w:rPr>
                <w:rFonts w:ascii="Times New Roman" w:cs="Times New Roman" w:eastAsia="Times New Roman" w:hAnsi="Times New Roman"/>
                <w:sz w:val="17"/>
                <w:szCs w:val="17"/>
                <w:vertAlign w:val="superscript"/>
              </w:rPr>
              <w:t xml:space="preserve">2</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 .50, </w:t>
            </w:r>
            <w:r>
              <w:rPr>
                <w:rFonts w:ascii="Times New Roman" w:cs="Times New Roman" w:eastAsia="Times New Roman" w:hAnsi="Times New Roman"/>
                <w:i/>
                <w:iCs/>
                <w:sz w:val="17"/>
                <w:szCs w:val="17"/>
              </w:rPr>
              <w:t xml:space="preserve">Z</w:t>
            </w:r>
            <w:r>
              <w:rPr>
                <w:rFonts w:ascii="Times New Roman" w:cs="Times New Roman" w:eastAsia="Times New Roman" w:hAnsi="Times New Roman"/>
                <w:sz w:val="17"/>
                <w:szCs w:val="17"/>
              </w:rPr>
              <w:t xml:space="preserve"> = 1.96, </w:t>
            </w:r>
            <w:r>
              <w:rPr>
                <w:rFonts w:ascii="Times New Roman" w:cs="Times New Roman" w:eastAsia="Times New Roman" w:hAnsi="Times New Roman"/>
                <w:i/>
                <w:iCs/>
                <w:sz w:val="17"/>
                <w:szCs w:val="17"/>
              </w:rPr>
              <w:t xml:space="preserve">e</w:t>
            </w:r>
            <w:r>
              <w:rPr>
                <w:rFonts w:ascii="Times New Roman" w:cs="Times New Roman" w:eastAsia="Times New Roman" w:hAnsi="Times New Roman"/>
                <w:sz w:val="17"/>
                <w:szCs w:val="17"/>
              </w:rPr>
              <w:t xml:space="preserve"> = .03</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1,068</w:t>
            </w:r>
          </w:p>
        </w:tc>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123,535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116×</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Power approximation for a binary association</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OR = 1.30, α = .05, power = .80, exposure 4.87%, no-action rate .3138</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10,756</w:t>
            </w:r>
          </w:p>
        </w:tc>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122,017</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11.3×</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RQ3</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Two-proportion comparison per action type</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10-point difference, α = .01 for five comparisons, power = .80</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About 290 each</w:t>
            </w:r>
          </w:p>
        </w:tc>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361 to 2,230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 to 7.7×</w:t>
            </w:r>
          </w:p>
        </w:tc>
      </w:tr>
      <w:tr>
        <w:trPr>
          <w:cantSplit/>
        </w:trPr>
        <w:tc>
          <w:tcPr>
            <w:tcW w:type="dxa" w:w="7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RQ4</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Events per parameter (Peduzzi et al., 1996)</w:t>
            </w:r>
          </w:p>
        </w:tc>
        <w:tc>
          <w:tcPr>
            <w:tcW w:type="dxa" w:w="25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Planning: 20 parameters, 20 events each, event rate .3155</w:t>
            </w:r>
          </w:p>
        </w:tc>
        <w:tc>
          <w:tcPr>
            <w:tcW w:type="dxa" w:w="11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1,269</w:t>
            </w:r>
          </w:p>
        </w:tc>
        <w:tc>
          <w:tcPr>
            <w:tcW w:type="dxa" w:w="16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122,017 (38,513 events)</w:t>
            </w:r>
          </w:p>
        </w:tc>
        <w:tc>
          <w:tcPr>
            <w:tcW w:type="dxa" w:w="9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96×</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The locked RQ4 model had 13 parameters and 38,513 events in the smaller outcome class, about 2,963 events per parameter, which also satisfies the more detailed criteria of Riley et al. (2019) and van Smeden et al. (2019) in spirit. Clustering by facility reduces the effective sample size, so the facility-clustered intervals in the Results are the direct evidence of precision. CI = confidence interval; OR = odds ratio.</w:t>
      </w:r>
    </w:p>
    <w:p>
      <w:pPr>
        <w:keepNext/>
        <w:spacing w:before="240" w:line="480"/>
      </w:pPr>
      <w:bookmarkStart w:name="tbl_E5" w:id="171"/>
      <w:r>
        <w:rPr>
          <w:rFonts w:ascii="Times New Roman" w:cs="Times New Roman" w:eastAsia="Times New Roman" w:hAnsi="Times New Roman"/>
          <w:b/>
          <w:bCs/>
        </w:rPr>
        <w:t xml:space="preserve">Table E5</w:t>
      </w:r>
      <w:bookmarkEnd w:id="171"/>
    </w:p>
    <w:p>
      <w:pPr>
        <w:keepNext/>
        <w:spacing w:line="480"/>
      </w:pPr>
      <w:r>
        <w:rPr>
          <w:rFonts w:ascii="Times New Roman" w:cs="Times New Roman" w:eastAsia="Times New Roman" w:hAnsi="Times New Roman"/>
          <w:i/>
          <w:iCs/>
        </w:rPr>
        <w:t xml:space="preserve">Evaluation Metrics and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860"/>
        <w:gridCol w:w="1200"/>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Metric</w:t>
            </w:r>
          </w:p>
        </w:tc>
        <w:tc>
          <w:tcPr>
            <w:tcW w:type="dxa" w:w="3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Formula</w:t>
            </w:r>
          </w:p>
        </w:tc>
        <w:tc>
          <w:tcPr>
            <w:tcW w:type="dxa" w:w="28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Interpretation</w:t>
            </w:r>
          </w:p>
        </w:tc>
        <w:tc>
          <w:tcPr>
            <w:tcW w:type="dxa" w:w="12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6"/>
                <w:szCs w:val="16"/>
              </w:rPr>
              <w:t xml:space="preserve">Used For</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Reduction rate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x</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n</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Share of records meeting the threshold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RQ1, 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Wilson score interval</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z</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/2</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z</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rPr>
              <w:t xml:space="preserve">(1 −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z</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/4</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 (1 + </w:t>
            </w:r>
            <w:r>
              <w:rPr>
                <w:rFonts w:ascii="Times New Roman" w:cs="Times New Roman" w:eastAsia="Times New Roman" w:hAnsi="Times New Roman"/>
                <w:i/>
                <w:iCs/>
                <w:sz w:val="16"/>
                <w:szCs w:val="16"/>
              </w:rPr>
              <w:t xml:space="preserve">z</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Interval for a proportion; reliable at extreme values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RQ1, 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Pearson chi-square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χ</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 Σ (</w:t>
            </w:r>
            <w:r>
              <w:rPr>
                <w:rFonts w:ascii="Times New Roman" w:cs="Times New Roman" w:eastAsia="Times New Roman" w:hAnsi="Times New Roman"/>
                <w:i/>
                <w:iCs/>
                <w:sz w:val="16"/>
                <w:szCs w:val="16"/>
              </w:rPr>
              <w:t xml:space="preserve">O</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rPr>
              <w:t xml:space="preserve">)</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Tests whether rates differ across groups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RQ1, 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Cramér’s </w:t>
            </w:r>
            <w:r>
              <w:rPr>
                <w:rFonts w:ascii="Times New Roman" w:cs="Times New Roman" w:eastAsia="Times New Roman" w:hAnsi="Times New Roman"/>
                <w:i/>
                <w:iCs/>
                <w:sz w:val="16"/>
                <w:szCs w:val="16"/>
              </w:rPr>
              <w:t xml:space="preserve">V</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 √(χ</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min(</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 − 1,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− 1)])</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Effect size for a chi-square test</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RQ1</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Rate difference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0</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Percentage-point gap versus no action</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Relative risk and Katz interval</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6"/>
                <w:szCs w:val="16"/>
              </w:rPr>
              <w:t xml:space="preserve">RR</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16"/>
                <w:szCs w:val="16"/>
              </w:rPr>
              <w:t xml:space="preserve">; SE(ln </w:t>
            </w:r>
            <w:r>
              <w:rPr>
                <w:rFonts w:ascii="Times New Roman" w:cs="Times New Roman" w:eastAsia="Times New Roman" w:hAnsi="Times New Roman"/>
                <w:i/>
                <w:iCs/>
                <w:sz w:val="16"/>
                <w:szCs w:val="16"/>
              </w:rPr>
              <w:t xml:space="preserve">RR</w:t>
            </w:r>
            <w:r>
              <w:rPr>
                <w:rFonts w:ascii="Times New Roman" w:cs="Times New Roman" w:eastAsia="Times New Roman" w:hAnsi="Times New Roman"/>
                <w:sz w:val="16"/>
                <w:szCs w:val="16"/>
              </w:rPr>
              <w:t xml:space="preserve">) = √(1/</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− 1/</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+ 1/</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− 1/</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16"/>
                <w:szCs w:val="16"/>
              </w:rPr>
              <w:t xml:space="preserv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Ratio of reduction rates with a log-scale interval</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Holm-adjusted </w:t>
            </w:r>
            <w:r>
              <w:rPr>
                <w:rFonts w:ascii="Times New Roman" w:cs="Times New Roman" w:eastAsia="Times New Roman" w:hAnsi="Times New Roman"/>
                <w:i/>
                <w:iCs/>
                <w:sz w:val="16"/>
                <w:szCs w:val="16"/>
              </w:rPr>
              <w:t xml:space="preserve">p</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Step-down: compare ordered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with α / (</w:t>
            </w:r>
            <w:r>
              <w:rPr>
                <w:rFonts w:ascii="Times New Roman" w:cs="Times New Roman" w:eastAsia="Times New Roman" w:hAnsi="Times New Roman"/>
                <w:i/>
                <w:iCs/>
                <w:sz w:val="16"/>
                <w:szCs w:val="16"/>
              </w:rPr>
              <w:t xml:space="preserve">m</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i</w:t>
            </w:r>
            <w:r>
              <w:rPr>
                <w:rFonts w:ascii="Times New Roman" w:cs="Times New Roman" w:eastAsia="Times New Roman" w:hAnsi="Times New Roman"/>
                <w:sz w:val="16"/>
                <w:szCs w:val="16"/>
              </w:rPr>
              <w:t xml:space="preserve"> + 1)</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Controls family-wise error across five tests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Odds ratio</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6"/>
                <w:szCs w:val="16"/>
              </w:rPr>
              <w:t xml:space="preserve">OR</w:t>
            </w:r>
            <w:r>
              <w:rPr>
                <w:rFonts w:ascii="Times New Roman" w:cs="Times New Roman" w:eastAsia="Times New Roman" w:hAnsi="Times New Roman"/>
                <w:sz w:val="16"/>
                <w:szCs w:val="16"/>
              </w:rPr>
              <w:t xml:space="preserve"> = exp(β)</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Adjusted association</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RQ2</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Clustered standard error</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Sandwich estimator grouped by facility</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Accounts for repeated facility records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RQ1 to RQ3</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Variance inflation factor</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VIF = 1 / (1 −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Detects collinearity</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RQ2</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Akaike information criterion</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AIC = 2</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− 2 ln(</w:t>
            </w:r>
            <w:r>
              <w:rPr>
                <w:rFonts w:ascii="Times New Roman" w:cs="Times New Roman" w:eastAsia="Times New Roman" w:hAnsi="Times New Roman"/>
                <w:i/>
                <w:iCs/>
                <w:sz w:val="16"/>
                <w:szCs w:val="16"/>
              </w:rPr>
              <w:t xml:space="preserve">L</w:t>
            </w:r>
            <w:r>
              <w:rPr>
                <w:rFonts w:ascii="Times New Roman" w:cs="Times New Roman" w:eastAsia="Times New Roman" w:hAnsi="Times New Roman"/>
                <w:sz w:val="16"/>
                <w:szCs w:val="16"/>
              </w:rPr>
              <w:t xml:space="preserv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Compares functional forms; lower is better</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RQ2</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AUC</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Area under the true-positive versus false-positive rate curve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Ranking ability; .50 is chance</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Brier score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6"/>
                <w:szCs w:val="16"/>
              </w:rPr>
              <w:t xml:space="preserve">B</w:t>
            </w:r>
            <w:r>
              <w:rPr>
                <w:rFonts w:ascii="Times New Roman" w:cs="Times New Roman" w:eastAsia="Times New Roman" w:hAnsi="Times New Roman"/>
                <w:sz w:val="16"/>
                <w:szCs w:val="16"/>
              </w:rPr>
              <w:t xml:space="preserve"> = (1/</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Σ (</w:t>
            </w:r>
            <w:r>
              <w:rPr>
                <w:rFonts w:ascii="Times New Roman" w:cs="Times New Roman" w:eastAsia="Times New Roman" w:hAnsi="Times New Roman"/>
                <w:i/>
                <w:iCs/>
                <w:sz w:val="16"/>
                <w:szCs w:val="16"/>
              </w:rPr>
              <w:t xml:space="preserve">ŷ</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y</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w:t>
            </w:r>
            <w:r>
              <w:rPr>
                <w:rFonts w:ascii="Times New Roman" w:cs="Times New Roman" w:eastAsia="Times New Roman" w:hAnsi="Times New Roman"/>
                <w:sz w:val="16"/>
                <w:szCs w:val="16"/>
                <w:vertAlign w:val="superscript"/>
              </w:rPr>
              <w:t xml:space="preserve">2</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Mean squared error of probabilities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Precision</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TP / (TP + FP)</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Share of flagged records that truly do not reduce</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Recall</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TP / (TP + FN)</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Share of non-reducers that are flagged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F1 score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2 × Precision × Recall / (Precision + Recall)</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Balances precision and recall</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Lift at depth </w:t>
            </w:r>
            <w:r>
              <w:rPr>
                <w:rFonts w:ascii="Times New Roman" w:cs="Times New Roman" w:eastAsia="Times New Roman" w:hAnsi="Times New Roman"/>
                <w:i/>
                <w:iCs/>
                <w:sz w:val="16"/>
                <w:szCs w:val="16"/>
              </w:rPr>
              <w:t xml:space="preserve">q</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Non-reduction rate in top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 base rate</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Gain from ranked review</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Calibration curve</w:t>
            </w:r>
          </w:p>
        </w:tc>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Observed versus mean predicted rate in 10 quantile bins</w:t>
            </w:r>
          </w:p>
        </w:tc>
        <w:tc>
          <w:tcPr>
            <w:tcW w:type="dxa" w:w="2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Agreement of probabilities with outcomes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r>
        <w:trPr>
          <w:cantSplit/>
        </w:trPr>
        <w:tc>
          <w:tcPr>
            <w:tcW w:type="dxa" w:w="2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Facility bootstrap interval</w:t>
            </w:r>
          </w:p>
        </w:tc>
        <w:tc>
          <w:tcPr>
            <w:tcW w:type="dxa" w:w="3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Percentile interval over 500 resamples of whole facilities</w:t>
            </w:r>
          </w:p>
        </w:tc>
        <w:tc>
          <w:tcPr>
            <w:tcW w:type="dxa" w:w="28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Uncertainty that respects clustering</w:t>
            </w:r>
          </w:p>
        </w:tc>
        <w:tc>
          <w:tcPr>
            <w:tcW w:type="dxa" w:w="12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6"/>
                <w:szCs w:val="16"/>
              </w:rPr>
              <w:t xml:space="preserve">RQ4</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In RQ4 the positive class is non-reduction. TP = true positives; FP = false positives; FN = false negatives. AUC = area under the receiver operating characteristic curve.</w:t>
      </w:r>
    </w:p>
    <w:p>
      <w:pPr>
        <w:pStyle w:val="Heading1"/>
        <w:keepNext/>
        <w:pageBreakBefore/>
        <w:spacing w:after="0" w:before="0" w:line="480"/>
        <w:jc w:val="center"/>
      </w:pPr>
      <w:bookmarkStart w:name="app_F" w:id="172"/>
      <w:r>
        <w:rPr>
          <w:rFonts w:ascii="Times New Roman" w:cs="Times New Roman" w:eastAsia="Times New Roman" w:hAnsi="Times New Roman"/>
          <w:b/>
          <w:bCs/>
          <w:color w:val="000000"/>
          <w:sz w:val="24"/>
          <w:szCs w:val="24"/>
        </w:rPr>
        <w:t xml:space="preserve">Appendix F</w:t>
      </w:r>
      <w:bookmarkEnd w:id="172"/>
    </w:p>
    <w:p>
      <w:pPr>
        <w:pStyle w:val="Heading1"/>
        <w:keepNext/>
        <w:spacing w:after="0" w:before="0" w:line="480"/>
        <w:jc w:val="center"/>
      </w:pPr>
      <w:r>
        <w:rPr>
          <w:rFonts w:ascii="Times New Roman" w:cs="Times New Roman" w:eastAsia="Times New Roman" w:hAnsi="Times New Roman"/>
          <w:b/>
          <w:bCs/>
          <w:color w:val="000000"/>
          <w:sz w:val="24"/>
          <w:szCs w:val="24"/>
        </w:rPr>
        <w:t xml:space="preserve">Supplementary Results</w:t>
      </w:r>
    </w:p>
    <w:p>
      <w:pPr>
        <w:keepNext w:val="false"/>
        <w:spacing w:after="0" w:before="0" w:line="480"/>
        <w:ind w:firstLine="720"/>
        <w:jc w:val="left"/>
      </w:pPr>
      <w:r>
        <w:rPr>
          <w:rFonts w:ascii="Times New Roman" w:cs="Times New Roman" w:eastAsia="Times New Roman" w:hAnsi="Times New Roman"/>
        </w:rPr>
        <w:t xml:space="preserve">This appendix holds supporting results referenced in the Results section: the RQ1 charts by transition and subsector (</w:t>
      </w:r>
      <w:hyperlink w:history="1" w:anchor="fig_F1">
        <w:r>
          <w:rPr>
            <w:rFonts w:ascii="Times New Roman" w:cs="Times New Roman" w:eastAsia="Times New Roman" w:hAnsi="Times New Roman"/>
            <w:color w:val="0563C1"/>
          </w:rPr>
          <w:t xml:space="preserve">Figures F1</w:t>
        </w:r>
      </w:hyperlink>
      <w:r>
        <w:rPr>
          <w:rFonts w:ascii="Times New Roman" w:cs="Times New Roman" w:eastAsia="Times New Roman" w:hAnsi="Times New Roman"/>
        </w:rPr>
        <w:t xml:space="preserve"> and F2), the six sensitivity analyses (</w:t>
      </w:r>
      <w:hyperlink w:history="1" w:anchor="tbl_F1">
        <w:r>
          <w:rPr>
            <w:rFonts w:ascii="Times New Roman" w:cs="Times New Roman" w:eastAsia="Times New Roman" w:hAnsi="Times New Roman"/>
            <w:color w:val="0563C1"/>
          </w:rPr>
          <w:t xml:space="preserve">Table F1</w:t>
        </w:r>
      </w:hyperlink>
      <w:r>
        <w:rPr>
          <w:rFonts w:ascii="Times New Roman" w:cs="Times New Roman" w:eastAsia="Times New Roman" w:hAnsi="Times New Roman"/>
        </w:rPr>
        <w:t xml:space="preserve">), the complete RQ2 model (</w:t>
      </w:r>
      <w:hyperlink w:history="1" w:anchor="tbl_F2">
        <w:r>
          <w:rPr>
            <w:rFonts w:ascii="Times New Roman" w:cs="Times New Roman" w:eastAsia="Times New Roman" w:hAnsi="Times New Roman"/>
            <w:color w:val="0563C1"/>
          </w:rPr>
          <w:t xml:space="preserve">Table F2</w:t>
        </w:r>
      </w:hyperlink>
      <w:r>
        <w:rPr>
          <w:rFonts w:ascii="Times New Roman" w:cs="Times New Roman" w:eastAsia="Times New Roman" w:hAnsi="Times New Roman"/>
        </w:rPr>
        <w:t xml:space="preserve">), the locked elastic-net coefficients (</w:t>
      </w:r>
      <w:hyperlink w:history="1" w:anchor="tbl_F3">
        <w:r>
          <w:rPr>
            <w:rFonts w:ascii="Times New Roman" w:cs="Times New Roman" w:eastAsia="Times New Roman" w:hAnsi="Times New Roman"/>
            <w:color w:val="0563C1"/>
          </w:rPr>
          <w:t xml:space="preserve">Table F3</w:t>
        </w:r>
      </w:hyperlink>
      <w:r>
        <w:rPr>
          <w:rFonts w:ascii="Times New Roman" w:cs="Times New Roman" w:eastAsia="Times New Roman" w:hAnsi="Times New Roman"/>
        </w:rPr>
        <w:t xml:space="preserve">), and reduction rates for every qualifying subsector (</w:t>
      </w:r>
      <w:hyperlink w:history="1" w:anchor="tbl_F4">
        <w:r>
          <w:rPr>
            <w:rFonts w:ascii="Times New Roman" w:cs="Times New Roman" w:eastAsia="Times New Roman" w:hAnsi="Times New Roman"/>
            <w:color w:val="0563C1"/>
          </w:rPr>
          <w:t xml:space="preserve">Table F4</w:t>
        </w:r>
      </w:hyperlink>
      <w:r>
        <w:rPr>
          <w:rFonts w:ascii="Times New Roman" w:cs="Times New Roman" w:eastAsia="Times New Roman" w:hAnsi="Times New Roman"/>
        </w:rPr>
        <w:t xml:space="preserve">).</w:t>
      </w:r>
    </w:p>
    <w:p>
      <w:pPr>
        <w:keepNext/>
        <w:spacing w:before="240" w:line="480"/>
      </w:pPr>
      <w:bookmarkStart w:name="fig_F1" w:id="173"/>
      <w:r>
        <w:rPr>
          <w:rFonts w:ascii="Times New Roman" w:cs="Times New Roman" w:eastAsia="Times New Roman" w:hAnsi="Times New Roman"/>
          <w:b/>
          <w:bCs/>
        </w:rPr>
        <w:t xml:space="preserve">Figure F1</w:t>
      </w:r>
      <w:bookmarkEnd w:id="173"/>
    </w:p>
    <w:p>
      <w:pPr>
        <w:keepNext/>
        <w:spacing w:line="480"/>
      </w:pPr>
      <w:r>
        <w:rPr>
          <w:rFonts w:ascii="Times New Roman" w:cs="Times New Roman" w:eastAsia="Times New Roman" w:hAnsi="Times New Roman"/>
          <w:i/>
          <w:iCs/>
        </w:rPr>
        <w:t xml:space="preserve">Meaningful Reduction Rate by Development Transition</w:t>
      </w:r>
    </w:p>
    <w:p>
      <w:pPr>
        <w:keepNext/>
        <w:spacing w:after="60" w:before="60" w:line="240" w:lineRule="auto"/>
        <w:jc w:val="center"/>
      </w:pPr>
      <w:r>
        <w:drawing>
          <wp:inline distT="0" distB="0" distL="0" distR="0">
            <wp:extent cx="4391025" cy="2466975"/>
            <wp:effectExtent t="0" r="0" b="0" l="0"/>
            <wp:docPr id="1" name="Figure F1" descr="Meaningful Reduction Rate by Development Transition" title="Figure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91025" cy="24669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Error bars show 95% Wilson confidence intervals. The 2023-to-2024 transition is excluded because it was the sealed holdout.</w:t>
      </w:r>
    </w:p>
    <w:p>
      <w:pPr>
        <w:keepNext/>
        <w:spacing w:before="240" w:line="480"/>
      </w:pPr>
      <w:bookmarkStart w:name="fig_F2" w:id="174"/>
      <w:r>
        <w:rPr>
          <w:rFonts w:ascii="Times New Roman" w:cs="Times New Roman" w:eastAsia="Times New Roman" w:hAnsi="Times New Roman"/>
          <w:b/>
          <w:bCs/>
        </w:rPr>
        <w:t xml:space="preserve">Figure F2</w:t>
      </w:r>
      <w:bookmarkEnd w:id="174"/>
    </w:p>
    <w:p>
      <w:pPr>
        <w:keepNext/>
        <w:spacing w:line="480"/>
      </w:pPr>
      <w:r>
        <w:rPr>
          <w:rFonts w:ascii="Times New Roman" w:cs="Times New Roman" w:eastAsia="Times New Roman" w:hAnsi="Times New Roman"/>
          <w:i/>
          <w:iCs/>
        </w:rPr>
        <w:t xml:space="preserve">Meaningful Reduction Rate by Manufacturing Subsector</w:t>
      </w:r>
    </w:p>
    <w:p>
      <w:pPr>
        <w:keepNext/>
        <w:spacing w:after="60" w:before="60" w:line="240" w:lineRule="auto"/>
        <w:jc w:val="center"/>
      </w:pPr>
      <w:r>
        <w:drawing>
          <wp:inline distT="0" distB="0" distL="0" distR="0">
            <wp:extent cx="5391150" cy="3800475"/>
            <wp:effectExtent t="0" r="0" b="0" l="0"/>
            <wp:docPr id="1" name="Figure F2" descr="Meaningful Reduction Rate by Manufacturing Subsector" title="Figure 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91150" cy="3800475"/>
                    </a:xfrm>
                    <a:prstGeom prst="rect">
                      <a:avLst/>
                    </a:prstGeom>
                  </pic:spPr>
                </pic:pic>
              </a:graphicData>
            </a:graphic>
          </wp:inline>
        </w:drawing>
      </w:r>
    </w:p>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Subsectors are three-digit NAICS codes with at least 500 development records. Error bars show 95% Wilson confidence intervals, and the dashed line marks the overall development rate. NAICS = North American Industry Classification System.</w:t>
      </w:r>
    </w:p>
    <w:p>
      <w:pPr>
        <w:keepNext/>
        <w:spacing w:before="240" w:line="480"/>
      </w:pPr>
      <w:bookmarkStart w:name="tbl_F1" w:id="175"/>
      <w:r>
        <w:rPr>
          <w:rFonts w:ascii="Times New Roman" w:cs="Times New Roman" w:eastAsia="Times New Roman" w:hAnsi="Times New Roman"/>
          <w:b/>
          <w:bCs/>
        </w:rPr>
        <w:t xml:space="preserve">Table F1</w:t>
      </w:r>
      <w:bookmarkEnd w:id="175"/>
    </w:p>
    <w:p>
      <w:pPr>
        <w:keepNext/>
        <w:spacing w:line="480"/>
      </w:pPr>
      <w:r>
        <w:rPr>
          <w:rFonts w:ascii="Times New Roman" w:cs="Times New Roman" w:eastAsia="Times New Roman" w:hAnsi="Times New Roman"/>
          <w:i/>
          <w:iCs/>
        </w:rPr>
        <w:t xml:space="preserve">Sensitivity Analyses and Their Effect on the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2560"/>
        <w:gridCol w:w="1600"/>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Analysis</w:t>
            </w:r>
          </w:p>
        </w:tc>
        <w:tc>
          <w:tcPr>
            <w:tcW w:type="dxa" w:w="2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Concern Addressed</w:t>
            </w:r>
          </w:p>
        </w:tc>
        <w:tc>
          <w:tcPr>
            <w:tcW w:type="dxa" w:w="12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i/>
                <w:iCs/>
                <w:sz w:val="17"/>
                <w:szCs w:val="17"/>
              </w:rPr>
              <w:t xml:space="preserve">N</w:t>
            </w:r>
          </w:p>
        </w:tc>
        <w:tc>
          <w:tcPr>
            <w:tcW w:type="dxa" w:w="25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Key Result</w:t>
            </w:r>
          </w:p>
        </w:tc>
        <w:tc>
          <w:tcPr>
            <w:tcW w:type="dxa" w:w="16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7"/>
                <w:szCs w:val="17"/>
              </w:rPr>
              <w:t xml:space="preserve">Conclusion</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 without the 2020-to-2021 transition</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Pandemic disruption and coding-scheme change</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81,246</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 = 1.124 [1.033, 1.223],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 .006</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Association stable</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 complete cases for production ratio</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Median imputation of 1.62% missing ratios</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120,045</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 = 1.139 [1.054, 1.231],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 .001</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Not an imputation artifact</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RQ2 functional form</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Linear versus quadratic production ratio</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122,017</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AIC difference = 22.35 in favor of the quadratic form</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Quadratic term retained</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RQ1 facility-clustered models</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Repeated records per facility</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123,535</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Transition </w:t>
            </w: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s 1.19 and 1.47, </w:t>
            </w:r>
            <w:r>
              <w:rPr>
                <w:rFonts w:ascii="Times New Roman" w:cs="Times New Roman" w:eastAsia="Times New Roman" w:hAnsi="Times New Roman"/>
                <w:i/>
                <w:iCs/>
                <w:sz w:val="17"/>
                <w:szCs w:val="17"/>
              </w:rPr>
              <w:t xml:space="preserve">p</w:t>
            </w:r>
            <w:r>
              <w:rPr>
                <w:rFonts w:ascii="Times New Roman" w:cs="Times New Roman" w:eastAsia="Times New Roman" w:hAnsi="Times New Roman"/>
                <w:sz w:val="17"/>
                <w:szCs w:val="17"/>
              </w:rPr>
              <w:t xml:space="preserve"> &lt; .001; 9 of 14 subsector contrasts significant</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RQ1 conclusion holds</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RQ3 facility-clustered models</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Repeated records per facility</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Per comparison</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Material modification </w:t>
            </w: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 = 1.400; operating practice or training </w:t>
            </w:r>
            <w:r>
              <w:rPr>
                <w:rFonts w:ascii="Times New Roman" w:cs="Times New Roman" w:eastAsia="Times New Roman" w:hAnsi="Times New Roman"/>
                <w:i/>
                <w:iCs/>
                <w:sz w:val="17"/>
                <w:szCs w:val="17"/>
              </w:rPr>
              <w:t xml:space="preserve">OR</w:t>
            </w:r>
            <w:r>
              <w:rPr>
                <w:rFonts w:ascii="Times New Roman" w:cs="Times New Roman" w:eastAsia="Times New Roman" w:hAnsi="Times New Roman"/>
                <w:sz w:val="17"/>
                <w:szCs w:val="17"/>
              </w:rPr>
              <w:t xml:space="preserve"> = 1.210; other three not significant</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RQ3 conclusion holds</w:t>
            </w:r>
          </w:p>
        </w:tc>
      </w:tr>
      <w:tr>
        <w:trPr>
          <w:cantSplit/>
        </w:trPr>
        <w:tc>
          <w:tcPr>
            <w:tcW w:type="dxa" w:w="2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Gram-reported dioxins analyzed separately</w:t>
            </w:r>
          </w:p>
        </w:tc>
        <w:tc>
          <w:tcPr>
            <w:tcW w:type="dxa" w:w="2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Grams and pounds cannot be combined</w:t>
            </w:r>
          </w:p>
        </w:tc>
        <w:tc>
          <w:tcPr>
            <w:tcW w:type="dxa" w:w="12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7"/>
                <w:szCs w:val="17"/>
              </w:rPr>
              <w:t xml:space="preserve">1,518</w:t>
            </w:r>
          </w:p>
        </w:tc>
        <w:tc>
          <w:tcPr>
            <w:tcW w:type="dxa" w:w="25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24.84% [22.73, 27.07] versus 31.56% [31.30, 31.82] in the pound frame</w:t>
            </w:r>
          </w:p>
        </w:tc>
        <w:tc>
          <w:tcPr>
            <w:tcW w:type="dxa" w:w="16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7"/>
                <w:szCs w:val="17"/>
              </w:rPr>
              <w:t xml:space="preserve">Findings limited to pound-reported chemicals</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Brackets show 95% confidence intervals. AIC = Akaike information criterion;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w:t>
      </w:r>
    </w:p>
    <w:p>
      <w:pPr>
        <w:keepNext/>
        <w:spacing w:before="240" w:line="480"/>
      </w:pPr>
      <w:bookmarkStart w:name="tbl_F2" w:id="176"/>
      <w:r>
        <w:rPr>
          <w:rFonts w:ascii="Times New Roman" w:cs="Times New Roman" w:eastAsia="Times New Roman" w:hAnsi="Times New Roman"/>
          <w:b/>
          <w:bCs/>
        </w:rPr>
        <w:t xml:space="preserve">Table F2</w:t>
      </w:r>
      <w:bookmarkEnd w:id="176"/>
    </w:p>
    <w:p>
      <w:pPr>
        <w:keepNext/>
        <w:spacing w:line="480"/>
      </w:pPr>
      <w:r>
        <w:rPr>
          <w:rFonts w:ascii="Times New Roman" w:cs="Times New Roman" w:eastAsia="Times New Roman" w:hAnsi="Times New Roman"/>
          <w:i/>
          <w:iCs/>
        </w:rPr>
        <w:t xml:space="preserve">Complete RQ2 Adjusted Logistic Regression With Facility-Clustered Standard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1500"/>
        <w:gridCol w:w="2300"/>
        <w:gridCol w:w="1700"/>
      </w:tblGrid>
      <w:tr>
        <w:trPr>
          <w:cantSplit/>
          <w:tblHeader/>
        </w:trPr>
        <w:tc>
          <w:tcPr>
            <w:tcW w:type="dxa" w:w="38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Term</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i/>
                <w:iCs/>
                <w:sz w:val="18"/>
                <w:szCs w:val="18"/>
              </w:rPr>
              <w:t xml:space="preserve">OR</w:t>
            </w:r>
          </w:p>
        </w:tc>
        <w:tc>
          <w:tcPr>
            <w:tcW w:type="dxa" w:w="2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95% CI</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i/>
                <w:iCs/>
                <w:sz w:val="18"/>
                <w:szCs w:val="18"/>
              </w:rPr>
              <w:t xml:space="preserve">p</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Intercept (baseline odds)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0.301</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[0.283, 0.320]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Any reported action</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1.143</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[1.058, 1.234]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Log(1 + current release)</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1.042</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[1.036, 1.047]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centered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1.047</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[0.977, 1.122]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.197</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squared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1.085</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[1.038, 1.135]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missing</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1.108</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[0.977, 1.256]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.110</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EPA carcinogen</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1.020</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[0.993, 1.048]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.140</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PBT chemical</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1.230</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[1.167, 1.297]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311 Food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0.821</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[0.753, 0.896]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321 Wood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0.804</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[0.706, 0.915]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322 Paper</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0.658</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[0.586, 0.739]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324 Petroleum and coal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0.857</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[0.791, 0.928]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326 Plastics and rubber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0.988</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[0.914, 1.068]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.763</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327 Nonmetallic mineral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1.140</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[1.040, 1.249]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.005</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331 Primary metal</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0.941</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[0.876, 1.011]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332 Fabricated metal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1.077</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[1.011, 1.148]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.021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333 Machinery</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1.068</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[0.966, 1.180]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.199</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334 Computer and electronic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0.922</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[0.813, 1.046]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.206</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335 Electrical equipment</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0.988</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[0.863, 1.132]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.866</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336 Transportation equipment</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0.951</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[0.879, 1.028]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.205</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337 Furniture and related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1.394</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[1.157, 1.679]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339 Miscellaneous manufacturing</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0.757</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[0.647, 0.887]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Other manufacturing</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1.179</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[1.020, 1.363]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.026</w:t>
            </w:r>
          </w:p>
        </w:tc>
      </w:tr>
      <w:tr>
        <w:trPr>
          <w:cantSplit/>
        </w:trPr>
        <w:tc>
          <w:tcPr>
            <w:tcW w:type="dxa" w:w="38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Transition 2021 to 2022</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1.179</w:t>
            </w:r>
          </w:p>
        </w:tc>
        <w:tc>
          <w:tcPr>
            <w:tcW w:type="dxa" w:w="2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[1.123, 1.238]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r>
        <w:trPr>
          <w:cantSplit/>
        </w:trPr>
        <w:tc>
          <w:tcPr>
            <w:tcW w:type="dxa" w:w="38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Transition 2022 to 2023</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1.465</w:t>
            </w:r>
          </w:p>
        </w:tc>
        <w:tc>
          <w:tcPr>
            <w:tcW w:type="dxa" w:w="2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[1.399, 1.535]</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&lt; .001</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122,017 pound-reported development records from 14,836 facilities. Subsector reference: 325 Chemical manufacturing. Transition reference: 2020 to 2021. CI = confidence interval; EPA = U.S. Environmental Protection Agency;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PBT = persistent, bioaccumulative, and toxic.</w:t>
      </w:r>
    </w:p>
    <w:p>
      <w:pPr>
        <w:keepNext/>
        <w:spacing w:before="240" w:line="480"/>
      </w:pPr>
      <w:bookmarkStart w:name="tbl_F3" w:id="177"/>
      <w:r>
        <w:rPr>
          <w:rFonts w:ascii="Times New Roman" w:cs="Times New Roman" w:eastAsia="Times New Roman" w:hAnsi="Times New Roman"/>
          <w:b/>
          <w:bCs/>
        </w:rPr>
        <w:t xml:space="preserve">Table F3</w:t>
      </w:r>
      <w:bookmarkEnd w:id="177"/>
    </w:p>
    <w:p>
      <w:pPr>
        <w:keepNext/>
        <w:spacing w:line="480"/>
      </w:pPr>
      <w:r>
        <w:rPr>
          <w:rFonts w:ascii="Times New Roman" w:cs="Times New Roman" w:eastAsia="Times New Roman" w:hAnsi="Times New Roman"/>
          <w:i/>
          <w:iCs/>
        </w:rPr>
        <w:t xml:space="preserve">Locked Elastic-Net Coefficients for Predicting Non-Reduction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cantSplit/>
          <w:tblHeader/>
        </w:trPr>
        <w:tc>
          <w:tcPr>
            <w:tcW w:type="dxa" w:w="42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Predictor</w:t>
            </w:r>
          </w:p>
        </w:tc>
        <w:tc>
          <w:tcPr>
            <w:tcW w:type="dxa" w:w="26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Standardized Coefficient</w:t>
            </w:r>
          </w:p>
        </w:tc>
        <w:tc>
          <w:tcPr>
            <w:tcW w:type="dxa" w:w="25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Odds Multiplier</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Any reported action</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−0.143</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0.867</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PBT chemical</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−0.138</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0.871</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Log(1 + current release)</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−0.125</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0.883</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Metal or metal compound</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−0.101</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0.904</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Material modification</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−0.090</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0.914</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missing</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−0.072</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0.930</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centered</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−0.040</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0.961</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Process or equipment modification</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0.036</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1.037</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Production ratio squared</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−0.030</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0.970</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EPA carcinogen</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−0.029</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0.971</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Operating practice or training</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−0.025</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0.975</w:t>
            </w:r>
          </w:p>
        </w:tc>
      </w:tr>
      <w:tr>
        <w:trPr>
          <w:cantSplit/>
        </w:trPr>
        <w:tc>
          <w:tcPr>
            <w:tcW w:type="dxa" w:w="4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Product modification</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0.000</w:t>
            </w:r>
          </w:p>
        </w:tc>
        <w:tc>
          <w:tcPr>
            <w:tcW w:type="dxa" w:w="2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1.000</w:t>
            </w:r>
          </w:p>
        </w:tc>
      </w:tr>
      <w:tr>
        <w:trPr>
          <w:cantSplit/>
        </w:trPr>
        <w:tc>
          <w:tcPr>
            <w:tcW w:type="dxa" w:w="42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Inventory or material management</w:t>
            </w:r>
          </w:p>
        </w:tc>
        <w:tc>
          <w:tcPr>
            <w:tcW w:type="dxa" w:w="26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0.000</w:t>
            </w:r>
          </w:p>
        </w:tc>
        <w:tc>
          <w:tcPr>
            <w:tcW w:type="dxa" w:w="25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1.000</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Positive class = non-reduction, so values below 0 (odds multipliers below 1) lower predicted risk. Continuous predictors were standardized. Selected hyperparameters: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0.01 and L1 ratio = .1. EPA = U.S. Environmental Protection Agency; PBT = persistent, bioaccumulative, and toxic.</w:t>
      </w:r>
    </w:p>
    <w:p>
      <w:pPr>
        <w:keepNext/>
        <w:spacing w:before="240" w:line="480"/>
      </w:pPr>
      <w:bookmarkStart w:name="tbl_F4" w:id="178"/>
      <w:r>
        <w:rPr>
          <w:rFonts w:ascii="Times New Roman" w:cs="Times New Roman" w:eastAsia="Times New Roman" w:hAnsi="Times New Roman"/>
          <w:b/>
          <w:bCs/>
        </w:rPr>
        <w:t xml:space="preserve">Table F4</w:t>
      </w:r>
      <w:bookmarkEnd w:id="178"/>
    </w:p>
    <w:p>
      <w:pPr>
        <w:keepNext/>
        <w:spacing w:line="480"/>
      </w:pPr>
      <w:r>
        <w:rPr>
          <w:rFonts w:ascii="Times New Roman" w:cs="Times New Roman" w:eastAsia="Times New Roman" w:hAnsi="Times New Roman"/>
          <w:i/>
          <w:iCs/>
        </w:rPr>
        <w:t xml:space="preserve">Reduction Rate by Manufacturing Subsector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500"/>
        <w:gridCol w:w="1300"/>
        <w:gridCol w:w="1400"/>
      </w:tblGrid>
      <w:tr>
        <w:trPr>
          <w:cantSplit/>
          <w:tblHeader/>
        </w:trPr>
        <w:tc>
          <w:tcPr>
            <w:tcW w:type="dxa" w:w="12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NAICS</w:t>
            </w:r>
          </w:p>
        </w:tc>
        <w:tc>
          <w:tcPr>
            <w:tcW w:type="dxa" w:w="396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8"/>
                <w:szCs w:val="18"/>
              </w:rPr>
              <w:t xml:space="preserve">Subsector</w:t>
            </w:r>
          </w:p>
        </w:tc>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b/>
                <w:bCs/>
                <w:i/>
                <w:iCs/>
                <w:sz w:val="18"/>
                <w:szCs w:val="18"/>
              </w:rPr>
              <w:t xml:space="preserve">n</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Rate (%)</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b/>
                <w:bCs/>
                <w:sz w:val="18"/>
                <w:szCs w:val="18"/>
              </w:rPr>
              <w:t xml:space="preserve">95% CI</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322</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Paper</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6,199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25.89</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[24.82, 27.00]</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339</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Miscellaneous manufacturing</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949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26.13</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[23.44, 29.02]</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321</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Wood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2,469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29.20</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[27.44, 31.03]</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324</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Petroleum and coal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12,799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29.28</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[28.50, 30.08]</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311</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Food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4,542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29.33</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[28.02, 30.67]</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334</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Computer and electronic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2,014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30.24</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[28.27, 32.28]</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331</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Primary metal</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12,787</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30.39</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[29.60, 31.19]</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335</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Electrical equipment</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2,040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30.69</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[28.72, 32.72]</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336</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Transportation equipment</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8,425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30.81</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[29.84, 31.81]</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333</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Machinery</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4,126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31.36</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[29.96, 32.79]</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325</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Chemical</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37,308</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32.46</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[31.99, 32.94]</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326</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Plastics and rubber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4,946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32.57</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[31.28, 33.89]</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332</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Fabricated metal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13,346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32.77</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[31.98, 33.57]</w:t>
            </w:r>
          </w:p>
        </w:tc>
      </w:tr>
      <w:tr>
        <w:trPr>
          <w:cantSplit/>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327</w:t>
            </w:r>
          </w:p>
        </w:tc>
        <w:tc>
          <w:tcPr>
            <w:tcW w:type="dxa" w:w="39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Nonmetallic mineral products</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9,667</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35.04</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[34.09, 35.99]</w:t>
            </w:r>
          </w:p>
        </w:tc>
      </w:tr>
      <w:tr>
        <w:trPr>
          <w:cantSplit/>
        </w:trPr>
        <w:tc>
          <w:tcPr>
            <w:tcW w:type="dxa" w:w="12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337</w:t>
            </w:r>
          </w:p>
        </w:tc>
        <w:tc>
          <w:tcPr>
            <w:tcW w:type="dxa" w:w="396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8"/>
                <w:szCs w:val="18"/>
              </w:rPr>
              <w:t xml:space="preserve">Furniture and related products</w:t>
            </w:r>
          </w:p>
        </w:tc>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right"/>
            </w:pPr>
            <w:r>
              <w:rPr>
                <w:rFonts w:ascii="Times New Roman" w:cs="Times New Roman" w:eastAsia="Times New Roman" w:hAnsi="Times New Roman"/>
                <w:sz w:val="18"/>
                <w:szCs w:val="18"/>
              </w:rPr>
              <w:t xml:space="preserve">812</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41.26</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center"/>
            </w:pPr>
            <w:r>
              <w:rPr>
                <w:rFonts w:ascii="Times New Roman" w:cs="Times New Roman" w:eastAsia="Times New Roman" w:hAnsi="Times New Roman"/>
                <w:sz w:val="18"/>
                <w:szCs w:val="18"/>
              </w:rPr>
              <w:t xml:space="preserve">[37.92, 44.68]</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Development records in the 15 subsectors with at least 500 records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122,429). χ</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(14) = 280.04,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 .048. CI = 95% Wilson confidence interval; NAICS = North American Industry Classification System.</w:t>
      </w:r>
    </w:p>
    <w:p>
      <w:pPr>
        <w:pStyle w:val="Heading1"/>
        <w:keepNext/>
        <w:pageBreakBefore/>
        <w:spacing w:after="0" w:before="0" w:line="480"/>
        <w:jc w:val="center"/>
      </w:pPr>
      <w:bookmarkStart w:name="app_G" w:id="179"/>
      <w:r>
        <w:rPr>
          <w:rFonts w:ascii="Times New Roman" w:cs="Times New Roman" w:eastAsia="Times New Roman" w:hAnsi="Times New Roman"/>
          <w:b/>
          <w:bCs/>
          <w:color w:val="000000"/>
          <w:sz w:val="24"/>
          <w:szCs w:val="24"/>
        </w:rPr>
        <w:t xml:space="preserve">Appendix G</w:t>
      </w:r>
      <w:bookmarkEnd w:id="179"/>
    </w:p>
    <w:p>
      <w:pPr>
        <w:pStyle w:val="Heading1"/>
        <w:keepNext/>
        <w:spacing w:after="0" w:before="0" w:line="480"/>
        <w:jc w:val="center"/>
      </w:pPr>
      <w:r>
        <w:rPr>
          <w:rFonts w:ascii="Times New Roman" w:cs="Times New Roman" w:eastAsia="Times New Roman" w:hAnsi="Times New Roman"/>
          <w:b/>
          <w:bCs/>
          <w:color w:val="000000"/>
          <w:sz w:val="24"/>
          <w:szCs w:val="24"/>
        </w:rPr>
        <w:t xml:space="preserve">Supplementary Literature Relevance Matrix</w:t>
      </w:r>
    </w:p>
    <w:p>
      <w:pPr>
        <w:keepNext w:val="false"/>
        <w:spacing w:after="0" w:before="0" w:line="480"/>
        <w:ind w:firstLine="720"/>
        <w:jc w:val="left"/>
      </w:pPr>
      <w:hyperlink w:history="1" w:anchor="tbl_G1">
        <w:r>
          <w:rPr>
            <w:rFonts w:ascii="Times New Roman" w:cs="Times New Roman" w:eastAsia="Times New Roman" w:hAnsi="Times New Roman"/>
            <w:color w:val="0563C1"/>
          </w:rPr>
          <w:t xml:space="preserve">Table G1</w:t>
        </w:r>
      </w:hyperlink>
      <w:r>
        <w:rPr>
          <w:rFonts w:ascii="Times New Roman" w:cs="Times New Roman" w:eastAsia="Times New Roman" w:hAnsi="Times New Roman"/>
        </w:rPr>
        <w:t xml:space="preserve"> covers the supporting sources not shown in </w:t>
      </w:r>
      <w:hyperlink w:history="1" w:anchor="tbl_1">
        <w:r>
          <w:rPr>
            <w:rFonts w:ascii="Times New Roman" w:cs="Times New Roman" w:eastAsia="Times New Roman" w:hAnsi="Times New Roman"/>
            <w:color w:val="0563C1"/>
          </w:rPr>
          <w:t xml:space="preserve">Table 1</w:t>
        </w:r>
      </w:hyperlink>
      <w:r>
        <w:rPr>
          <w:rFonts w:ascii="Times New Roman" w:cs="Times New Roman" w:eastAsia="Times New Roman" w:hAnsi="Times New Roman"/>
        </w:rPr>
        <w:t xml:space="preserve">. Author names link to the References.</w:t>
      </w:r>
    </w:p>
    <w:p>
      <w:pPr>
        <w:keepNext/>
        <w:spacing w:before="240" w:line="480"/>
      </w:pPr>
      <w:bookmarkStart w:name="tbl_G1" w:id="180"/>
      <w:r>
        <w:rPr>
          <w:rFonts w:ascii="Times New Roman" w:cs="Times New Roman" w:eastAsia="Times New Roman" w:hAnsi="Times New Roman"/>
          <w:b/>
          <w:bCs/>
        </w:rPr>
        <w:t xml:space="preserve">Table G1</w:t>
      </w:r>
      <w:bookmarkEnd w:id="180"/>
    </w:p>
    <w:p>
      <w:pPr>
        <w:keepNext/>
        <w:spacing w:line="480"/>
      </w:pPr>
      <w:r>
        <w:rPr>
          <w:rFonts w:ascii="Times New Roman" w:cs="Times New Roman" w:eastAsia="Times New Roman" w:hAnsi="Times New Roman"/>
          <w:i/>
          <w:iCs/>
        </w:rPr>
        <w:t xml:space="preserve">Literature Relevance Matrix for Supporting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250"/>
        <w:gridCol w:w="2000"/>
        <w:gridCol w:w="1910"/>
      </w:tblGrid>
      <w:tr>
        <w:trPr>
          <w:cantSplit/>
          <w:tblHeader/>
        </w:trPr>
        <w:tc>
          <w:tcPr>
            <w:tcW w:type="dxa" w:w="15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5"/>
                <w:szCs w:val="15"/>
              </w:rPr>
              <w:t xml:space="preserve">Author (Year)</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5"/>
                <w:szCs w:val="15"/>
              </w:rPr>
              <w:t xml:space="preserve">Domain / Context</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5"/>
                <w:szCs w:val="15"/>
              </w:rPr>
              <w:t xml:space="preserve">Dataset / Setting</w:t>
            </w:r>
          </w:p>
        </w:tc>
        <w:tc>
          <w:tcPr>
            <w:tcW w:type="dxa" w:w="125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5"/>
                <w:szCs w:val="15"/>
              </w:rPr>
              <w:t xml:space="preserve">Method(s)</w:t>
            </w:r>
          </w:p>
        </w:tc>
        <w:tc>
          <w:tcPr>
            <w:tcW w:type="dxa" w:w="200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5"/>
                <w:szCs w:val="15"/>
              </w:rPr>
              <w:t xml:space="preserve">Key Findings</w:t>
            </w:r>
          </w:p>
        </w:tc>
        <w:tc>
          <w:tcPr>
            <w:tcW w:type="dxa" w:w="1910"/>
            <w:tcBorders>
              <w:top w:val="single" w:color="000000" w:sz="6"/>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b/>
                <w:bCs/>
                <w:sz w:val="15"/>
                <w:szCs w:val="15"/>
              </w:rPr>
              <w:t xml:space="preserve">How It Supports the RQs or Project Decisions</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agresti1998">
              <w:r>
                <w:rPr>
                  <w:rFonts w:ascii="Times New Roman" w:cs="Times New Roman" w:eastAsia="Times New Roman" w:hAnsi="Times New Roman"/>
                  <w:color w:val="0563C1"/>
                  <w:sz w:val="15"/>
                  <w:szCs w:val="15"/>
                </w:rPr>
                <w:t xml:space="preserve">Agresti &amp; Coull (1998)</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Binomial interval estimation</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Statistical comparison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Coverage comparison</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Score-type intervals such as the Wilson interval outperform the simple normal approximation.</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All reduction-rate intervals use the Wilson method</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lin2013">
              <w:r>
                <w:rPr>
                  <w:rFonts w:ascii="Times New Roman" w:cs="Times New Roman" w:eastAsia="Times New Roman" w:hAnsi="Times New Roman"/>
                  <w:color w:val="0563C1"/>
                  <w:sz w:val="15"/>
                  <w:szCs w:val="15"/>
                </w:rPr>
                <w:t xml:space="preserve">Lin et al. (2013)</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Large-sample inference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Information systems research</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Methodological commentary</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With very large samples, </w:t>
            </w:r>
            <w:r>
              <w:rPr>
                <w:rFonts w:ascii="Times New Roman" w:cs="Times New Roman" w:eastAsia="Times New Roman" w:hAnsi="Times New Roman"/>
                <w:i/>
                <w:iCs/>
                <w:sz w:val="15"/>
                <w:szCs w:val="15"/>
              </w:rPr>
              <w:t xml:space="preserve">p</w:t>
            </w:r>
            <w:r>
              <w:rPr>
                <w:rFonts w:ascii="Times New Roman" w:cs="Times New Roman" w:eastAsia="Times New Roman" w:hAnsi="Times New Roman"/>
                <w:sz w:val="15"/>
                <w:szCs w:val="15"/>
              </w:rPr>
              <w:t xml:space="preserve"> values approach zero for trivial effects.</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Report Cramér’s </w:t>
            </w:r>
            <w:r>
              <w:rPr>
                <w:rFonts w:ascii="Times New Roman" w:cs="Times New Roman" w:eastAsia="Times New Roman" w:hAnsi="Times New Roman"/>
                <w:i/>
                <w:iCs/>
                <w:sz w:val="15"/>
                <w:szCs w:val="15"/>
              </w:rPr>
              <w:t xml:space="preserve">V</w:t>
            </w:r>
            <w:r>
              <w:rPr>
                <w:rFonts w:ascii="Times New Roman" w:cs="Times New Roman" w:eastAsia="Times New Roman" w:hAnsi="Times New Roman"/>
                <w:sz w:val="15"/>
                <w:szCs w:val="15"/>
              </w:rPr>
              <w:t xml:space="preserve"> and intervals with every test</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barnett2005">
              <w:r>
                <w:rPr>
                  <w:rFonts w:ascii="Times New Roman" w:cs="Times New Roman" w:eastAsia="Times New Roman" w:hAnsi="Times New Roman"/>
                  <w:color w:val="0563C1"/>
                  <w:sz w:val="15"/>
                  <w:szCs w:val="15"/>
                </w:rPr>
                <w:t xml:space="preserve">Barnett et al. (2005)</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Regression to the mean</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Epidemiological measurement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Methodological review</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Extreme baseline values tend to move toward the mean; adjusting for baseline helps.</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Force current release into every model</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aiken1991">
              <w:r>
                <w:rPr>
                  <w:rFonts w:ascii="Times New Roman" w:cs="Times New Roman" w:eastAsia="Times New Roman" w:hAnsi="Times New Roman"/>
                  <w:color w:val="0563C1"/>
                  <w:sz w:val="15"/>
                  <w:szCs w:val="15"/>
                </w:rPr>
                <w:t xml:space="preserve">Aiken &amp; West (1991)</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Regression with nonlinear terms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Regression methodology</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Centering</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Centering before squaring reduces artificial collinearity.</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Centered quadratic production-ratio term</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akaike1974">
              <w:r>
                <w:rPr>
                  <w:rFonts w:ascii="Times New Roman" w:cs="Times New Roman" w:eastAsia="Times New Roman" w:hAnsi="Times New Roman"/>
                  <w:color w:val="0563C1"/>
                  <w:sz w:val="15"/>
                  <w:szCs w:val="15"/>
                </w:rPr>
                <w:t xml:space="preserve">Akaike (1974)</w:t>
              </w:r>
            </w:hyperlink>
            <w:r>
              <w:rPr>
                <w:rFonts w:ascii="Times New Roman" w:cs="Times New Roman" w:eastAsia="Times New Roman" w:hAnsi="Times New Roman"/>
                <w:sz w:val="15"/>
                <w:szCs w:val="15"/>
              </w:rPr>
              <w:t xml:space="preserve">; </w:t>
            </w:r>
            <w:hyperlink w:history="1" w:anchor="ref_burnham2002">
              <w:r>
                <w:rPr>
                  <w:rFonts w:ascii="Times New Roman" w:cs="Times New Roman" w:eastAsia="Times New Roman" w:hAnsi="Times New Roman"/>
                  <w:color w:val="0563C1"/>
                  <w:sz w:val="15"/>
                  <w:szCs w:val="15"/>
                </w:rPr>
                <w:t xml:space="preserve">Burnham &amp; Anderson (2002)</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Model selection</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Statistical theory</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Information criteria</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AIC differences above about 10 leave essentially no support for the weaker model.</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AIC test of quadratic versus linear form (RQ2)</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peduzzi1996">
              <w:r>
                <w:rPr>
                  <w:rFonts w:ascii="Times New Roman" w:cs="Times New Roman" w:eastAsia="Times New Roman" w:hAnsi="Times New Roman"/>
                  <w:color w:val="0563C1"/>
                  <w:sz w:val="15"/>
                  <w:szCs w:val="15"/>
                </w:rPr>
                <w:t xml:space="preserve">Peduzzi et al. (1996)</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Logistic regression sample size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Simulation study</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Events-per-variable simulation</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Too few events per variable produce biased coefficients.</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Events-per-parameter floor for RQ4</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riley2019">
              <w:r>
                <w:rPr>
                  <w:rFonts w:ascii="Times New Roman" w:cs="Times New Roman" w:eastAsia="Times New Roman" w:hAnsi="Times New Roman"/>
                  <w:color w:val="0563C1"/>
                  <w:sz w:val="15"/>
                  <w:szCs w:val="15"/>
                </w:rPr>
                <w:t xml:space="preserve">Riley et al. (2019)</w:t>
              </w:r>
            </w:hyperlink>
            <w:r>
              <w:rPr>
                <w:rFonts w:ascii="Times New Roman" w:cs="Times New Roman" w:eastAsia="Times New Roman" w:hAnsi="Times New Roman"/>
                <w:sz w:val="15"/>
                <w:szCs w:val="15"/>
              </w:rPr>
              <w:t xml:space="preserve">; </w:t>
            </w:r>
            <w:hyperlink w:history="1" w:anchor="ref_vansmeden2019">
              <w:r>
                <w:rPr>
                  <w:rFonts w:ascii="Times New Roman" w:cs="Times New Roman" w:eastAsia="Times New Roman" w:hAnsi="Times New Roman"/>
                  <w:color w:val="0563C1"/>
                  <w:sz w:val="15"/>
                  <w:szCs w:val="15"/>
                </w:rPr>
                <w:t xml:space="preserve">van Smeden et al. (2019)</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Prediction model sample size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Derivation and simulation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Sample-size criteria</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Required size depends on outcome rate, predictor strength, and shrinkage.</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RQ4 sample-size check and regularization</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vancalster2019">
              <w:r>
                <w:rPr>
                  <w:rFonts w:ascii="Times New Roman" w:cs="Times New Roman" w:eastAsia="Times New Roman" w:hAnsi="Times New Roman"/>
                  <w:color w:val="0563C1"/>
                  <w:sz w:val="15"/>
                  <w:szCs w:val="15"/>
                </w:rPr>
                <w:t xml:space="preserve">Van Calster et al. (2019)</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Model calibration</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Methodological review</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Review</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Poorly calibrated models can mislead decisions even with acceptable discrimination.</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Calibration check before screening use</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hyperlink w:history="1" w:anchor="ref_epa2025a">
              <w:r>
                <w:rPr>
                  <w:rFonts w:ascii="Times New Roman" w:cs="Times New Roman" w:eastAsia="Times New Roman" w:hAnsi="Times New Roman"/>
                  <w:color w:val="0563C1"/>
                  <w:sz w:val="15"/>
                  <w:szCs w:val="15"/>
                </w:rPr>
                <w:t xml:space="preserve">EPA (2025a)</w:t>
              </w:r>
            </w:hyperlink>
            <w:r>
              <w:rPr>
                <w:rFonts w:ascii="Times New Roman" w:cs="Times New Roman" w:eastAsia="Times New Roman" w:hAnsi="Times New Roman"/>
                <w:sz w:val="15"/>
                <w:szCs w:val="15"/>
              </w:rPr>
              <w:t xml:space="preserve">; </w:t>
            </w:r>
            <w:hyperlink w:history="1" w:anchor="ref_epa2025b">
              <w:r>
                <w:rPr>
                  <w:rFonts w:ascii="Times New Roman" w:cs="Times New Roman" w:eastAsia="Times New Roman" w:hAnsi="Times New Roman"/>
                  <w:color w:val="0563C1"/>
                  <w:sz w:val="15"/>
                  <w:szCs w:val="15"/>
                </w:rPr>
                <w:t xml:space="preserve">EPA (2025b)</w:t>
              </w:r>
            </w:hyperlink>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Pollution prevention policy; national TRI analysis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Federal program information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Program documentation</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Describe the source-reduction hierarchy and national TRI trends.</w:t>
            </w:r>
          </w:p>
        </w:tc>
        <w:tc>
          <w:tcPr>
            <w:tcW w:type="dxa" w:w="191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Policy context for the business problem</w:t>
            </w:r>
          </w:p>
        </w:tc>
      </w:tr>
      <w:tr>
        <w:trPr>
          <w:cantSplit/>
        </w:trPr>
        <w:tc>
          <w:tcPr>
            <w:tcW w:type="dxa" w:w="15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hyperlink w:history="1" w:anchor="ref_epa2025c">
              <w:r>
                <w:rPr>
                  <w:rFonts w:ascii="Times New Roman" w:cs="Times New Roman" w:eastAsia="Times New Roman" w:hAnsi="Times New Roman"/>
                  <w:color w:val="0563C1"/>
                  <w:sz w:val="15"/>
                  <w:szCs w:val="15"/>
                </w:rPr>
                <w:t xml:space="preserve">EPA (2025c)</w:t>
              </w:r>
            </w:hyperlink>
            <w:r>
              <w:rPr>
                <w:rFonts w:ascii="Times New Roman" w:cs="Times New Roman" w:eastAsia="Times New Roman" w:hAnsi="Times New Roman"/>
                <w:sz w:val="15"/>
                <w:szCs w:val="15"/>
              </w:rPr>
              <w:t xml:space="preserve">; </w:t>
            </w:r>
            <w:hyperlink w:history="1" w:anchor="ref_epa2025d">
              <w:r>
                <w:rPr>
                  <w:rFonts w:ascii="Times New Roman" w:cs="Times New Roman" w:eastAsia="Times New Roman" w:hAnsi="Times New Roman"/>
                  <w:color w:val="0563C1"/>
                  <w:sz w:val="15"/>
                  <w:szCs w:val="15"/>
                </w:rPr>
                <w:t xml:space="preserve">EPA (2025d)</w:t>
              </w:r>
            </w:hyperlink>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TRI Basic Plus files and guides</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Federal data documentation</w:t>
            </w:r>
          </w:p>
        </w:tc>
        <w:tc>
          <w:tcPr>
            <w:tcW w:type="dxa" w:w="125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Program documentation</w:t>
            </w:r>
          </w:p>
        </w:tc>
        <w:tc>
          <w:tcPr>
            <w:tcW w:type="dxa" w:w="200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Define every field, activity code, and file layout used.</w:t>
            </w:r>
          </w:p>
        </w:tc>
        <w:tc>
          <w:tcPr>
            <w:tcW w:type="dxa" w:w="1910"/>
            <w:tcBorders>
              <w:top w:val="none" w:color="FFFFFF" w:sz="0"/>
              <w:left w:val="none" w:color="FFFFFF" w:sz="0"/>
              <w:bottom w:val="single" w:color="000000" w:sz="6"/>
              <w:right w:val="none" w:color="FFFFFF" w:sz="0"/>
            </w:tcBorders>
            <w:tcMar>
              <w:top w:type="dxa" w:w="30"/>
              <w:left w:type="dxa" w:w="70"/>
              <w:bottom w:type="dxa" w:w="30"/>
              <w:right w:type="dxa" w:w="70"/>
            </w:tcMar>
            <w:vAlign w:val="top"/>
          </w:tcPr>
          <w:p>
            <w:pPr>
              <w:spacing w:after="0" w:before="0" w:line="240"/>
              <w:jc w:val="left"/>
            </w:pPr>
            <w:r>
              <w:rPr>
                <w:rFonts w:ascii="Times New Roman" w:cs="Times New Roman" w:eastAsia="Times New Roman" w:hAnsi="Times New Roman"/>
                <w:sz w:val="15"/>
                <w:szCs w:val="15"/>
              </w:rPr>
              <w:t xml:space="preserve">Authoritative source for parsing, codes, and units</w:t>
            </w:r>
          </w:p>
        </w:tc>
      </w:tr>
    </w:tbl>
    <w:p>
      <w:pPr>
        <w:spacing w:after="240" w:before="0" w:line="48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AIC = Akaike information criterion; EPA = U.S. Environmental Protection Agency; TRI = Toxics Release Inventory.</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o1k7-mjomu1ly1i_vqptd" Type="http://schemas.openxmlformats.org/officeDocument/2006/relationships/hyperlink" Target="https://github.com/somndas3/qm640-tri-pollution-prevention-capstone" TargetMode="External"/><Relationship Id="rIddfxxm4ruzajhieisqygh2" Type="http://schemas.openxmlformats.org/officeDocument/2006/relationships/hyperlink" Target="https://drive.google.com/drive/folders/1oPNHYCAvGwc7uQ1iIP2a_VlZdLnFJuid?usp=sharing" TargetMode="External"/><Relationship Id="rIdsssgaq0vfminwfqlyoj-l" Type="http://schemas.openxmlformats.org/officeDocument/2006/relationships/hyperlink" Target="https://www.epa.gov/toxics-release-inventory-tri-program/tri-basic-plus-data-files-calendar-years-1987-present" TargetMode="External"/><Relationship Id="rIddsi5dtbis_7vtk0ahj6qi" Type="http://schemas.openxmlformats.org/officeDocument/2006/relationships/hyperlink" Target="https://doi.org/10.1080/00031305.1998.10480550" TargetMode="External"/><Relationship Id="rIdztbmy3mpx-iuyb8v4eyow" Type="http://schemas.openxmlformats.org/officeDocument/2006/relationships/hyperlink" Target="https://doi.org/10.1109/TAC.1974.1100705" TargetMode="External"/><Relationship Id="rIdaeayzbv1wtnia8f9sarmk" Type="http://schemas.openxmlformats.org/officeDocument/2006/relationships/hyperlink" Target="https://doi.org/10.1093/ije/dyh299" TargetMode="External"/><Relationship Id="rIdv9n4g4l4sm48a8ynm3u1t" Type="http://schemas.openxmlformats.org/officeDocument/2006/relationships/hyperlink" Target="https://doi.org/10.1016/j.jclepro.2003.12.025" TargetMode="External"/><Relationship Id="rIdgktpzysm4h037dv09o086" Type="http://schemas.openxmlformats.org/officeDocument/2006/relationships/hyperlink" Target="https://doi.org/10.3368/jhr.50.2.317" TargetMode="External"/><Relationship Id="rIdcd8esha7dy0lzgzkz0wgv" Type="http://schemas.openxmlformats.org/officeDocument/2006/relationships/hyperlink" Target="https://doi.org/10.1006/jeem.1995.1007" TargetMode="External"/><Relationship Id="rId-mx0rtn7aiswmpyw_kcxg" Type="http://schemas.openxmlformats.org/officeDocument/2006/relationships/hyperlink" Target="https://doi.org/10.1287/mnsc.48.2.289.258" TargetMode="External"/><Relationship Id="rIdm0o5jxl5kww3znyj3i4ua" Type="http://schemas.openxmlformats.org/officeDocument/2006/relationships/hyperlink" Target="https://doi.org/10.1006/jeem.1996.0959" TargetMode="External"/><Relationship Id="rIdb3bamcbqar4egegolklyi" Type="http://schemas.openxmlformats.org/officeDocument/2006/relationships/hyperlink" Target="https://doi.org/10.1287/isre.2013.0480" TargetMode="External"/><Relationship Id="rId4kef-mfzg5eambfbaslfe" Type="http://schemas.openxmlformats.org/officeDocument/2006/relationships/hyperlink" Target="https://doi.org/10.1016/S0895-4356%2896%2900236-3" TargetMode="External"/><Relationship Id="rIdmrzcqstpvm1ral4ctflz2" Type="http://schemas.openxmlformats.org/officeDocument/2006/relationships/hyperlink" Target="https://doi.org/10.1021/acs.est.5b02367" TargetMode="External"/><Relationship Id="rId-9nrkbllckskmzthq6m3q" Type="http://schemas.openxmlformats.org/officeDocument/2006/relationships/hyperlink" Target="https://doi.org/10.1002/sim.7992" TargetMode="External"/><Relationship Id="rIdwepj-jhgfbpanhweb8zlh" Type="http://schemas.openxmlformats.org/officeDocument/2006/relationships/hyperlink" Target="https://doi.org/10.1097/EDE.0b013e3181c30fb2" TargetMode="External"/><Relationship Id="rIdhgamh9-jnsu9yjuxdl0_j" Type="http://schemas.openxmlformats.org/officeDocument/2006/relationships/hyperlink" Target="https://www.epa.gov/p2" TargetMode="External"/><Relationship Id="rIdbwgx6wd9vztdesgs8fdu3" Type="http://schemas.openxmlformats.org/officeDocument/2006/relationships/hyperlink" Target="https://www.epa.gov/trinationalanalysis" TargetMode="External"/><Relationship Id="rIdehtyv55-6obqchnsyq8gu" Type="http://schemas.openxmlformats.org/officeDocument/2006/relationships/hyperlink" Target="https://www.epa.gov/toxics-release-inventory-tri-program/tri-basic-plus-data-files-calendar-years-1987-present" TargetMode="External"/><Relationship Id="rIdil8tvr-e410mei8ht-ybz" Type="http://schemas.openxmlformats.org/officeDocument/2006/relationships/hyperlink" Target="https://www.epa.gov/toxics-release-inventory-tri-program/tri-basic-plus-data-files-guides" TargetMode="External"/><Relationship Id="rIdrpyeovvzah4cdoxttjtz4" Type="http://schemas.openxmlformats.org/officeDocument/2006/relationships/hyperlink" Target="https://doi.org/10.1186/s12916-019-1466-7" TargetMode="External"/><Relationship Id="rIdvqy4umdn_w1ak_4mxgxct" Type="http://schemas.openxmlformats.org/officeDocument/2006/relationships/hyperlink" Target="https://doi.org/10.1177/0962280218784726" TargetMode="External"/><Relationship Id="rId3w4n3iwyjxalmrqoofcpb" Type="http://schemas.openxmlformats.org/officeDocument/2006/relationships/hyperlink" Target="https://doi.org/10.1111/j.1467-9868.2005.00503.x" TargetMode="External"/><Relationship Id="rId8" Type="http://schemas.openxmlformats.org/officeDocument/2006/relationships/image" Target="media/fd30943c6a742d94a1cfb4520b62e2407bbdff91.png"/><Relationship Id="rId9" Type="http://schemas.openxmlformats.org/officeDocument/2006/relationships/image" Target="media/c51efa4cacd54e3fb2ddacedb48021d37036d4e6.png"/><Relationship Id="rId10" Type="http://schemas.openxmlformats.org/officeDocument/2006/relationships/image" Target="media/8e95be312ddb0cf0750d0d715394d8bbff1aec2e.png"/><Relationship Id="rId11" Type="http://schemas.openxmlformats.org/officeDocument/2006/relationships/image" Target="media/0a42815572ca42554ddd20a5152edcc0f1ed7c86.png"/><Relationship Id="rId12" Type="http://schemas.openxmlformats.org/officeDocument/2006/relationships/image" Target="media/556c374a3301ecd3b06d85cf2f0cd4343b8464c6.png"/><Relationship Id="rId13" Type="http://schemas.openxmlformats.org/officeDocument/2006/relationships/image" Target="media/d37dc6efdd90b92835209ef48e7c50d950c8aa6e.png"/><Relationship Id="rId14" Type="http://schemas.openxmlformats.org/officeDocument/2006/relationships/image" Target="media/6c845ab3a7671b63510fbc0eb77ea13c5fcd8521.png"/><Relationship Id="rId15" Type="http://schemas.openxmlformats.org/officeDocument/2006/relationships/image" Target="media/fc129406e16a2976008f05b7203de1b4b09db868.png"/><Relationship Id="rId16" Type="http://schemas.openxmlformats.org/officeDocument/2006/relationships/image" Target="media/c4236240de289f26eed9138a936f2791d92e5c41.png"/><Relationship Id="rId17" Type="http://schemas.openxmlformats.org/officeDocument/2006/relationships/image" Target="media/861b91323a22652ac62fd5e0e9f63b707c104fd2.png"/><Relationship Id="rId18" Type="http://schemas.openxmlformats.org/officeDocument/2006/relationships/image" Target="media/a06ba5ef0b1f062fccf155b82495dad9df26c1a8.png"/><Relationship Id="rId19" Type="http://schemas.openxmlformats.org/officeDocument/2006/relationships/image" Target="media/0b937984bc2dc97ffaa95884760030c9607f6b1c.png"/><Relationship Id="rId20" Type="http://schemas.openxmlformats.org/officeDocument/2006/relationships/image" Target="media/2cd4c508e361cbdd3f33f5618fe6b17221d49e65.png"/><Relationship Id="rId21" Type="http://schemas.openxmlformats.org/officeDocument/2006/relationships/image" Target="media/81a4a0ab80b3f6909fdaa72b0e0a012ea9f34d78.png"/><Relationship Id="rId22" Type="http://schemas.openxmlformats.org/officeDocument/2006/relationships/image" Target="media/c936ba010bc08233331ea71bb5eea54708677bc0.png"/><Relationship Id="rId23" Type="http://schemas.openxmlformats.org/officeDocument/2006/relationships/image" Target="media/22e68f09f32940ba5a9c8c51fd709b3269a1adb4.png"/><Relationship Id="rId24" Type="http://schemas.openxmlformats.org/officeDocument/2006/relationships/image" Target="media/5ecf1d4ac3f64e0c80304b066ce826f32eafceb3.png"/><Relationship Id="rId25" Type="http://schemas.openxmlformats.org/officeDocument/2006/relationships/image" Target="media/e4b7320be8acb0de23c126894ab277f42b0a8761.png"/><Relationship Id="rId26" Type="http://schemas.openxmlformats.org/officeDocument/2006/relationships/image" Target="media/10b26e9d6c8d23a78c3f2e6510424442da1d839d.png"/><Relationship Id="rId27" Type="http://schemas.openxmlformats.org/officeDocument/2006/relationships/image" Target="media/9ede01a2d450f09fe70e5cb3b6148d9022efaa03.png"/><Relationship Id="rId28" Type="http://schemas.openxmlformats.org/officeDocument/2006/relationships/image" Target="media/962df53d4a12890e4ca84b5c89acd32de7d1f592.png"/><Relationship Id="rId29" Type="http://schemas.openxmlformats.org/officeDocument/2006/relationships/image" Target="media/423281a11d587b00b204ba302a9859b4e2cd5713.png"/><Relationship Id="rId30" Type="http://schemas.openxmlformats.org/officeDocument/2006/relationships/image" Target="media/ba4fbbd9be7a1243e7b56d174e21d12635d76e46.png"/><Relationship Id="rId31" Type="http://schemas.openxmlformats.org/officeDocument/2006/relationships/image" Target="media/238dbe185736ea1183812cb384555a25001189b9.png"/><Relationship Id="rId32" Type="http://schemas.openxmlformats.org/officeDocument/2006/relationships/image" Target="media/6d696eab695861d5d3b886386b8d9d328cf1b300.png"/><Relationship Id="rId33" Type="http://schemas.openxmlformats.org/officeDocument/2006/relationships/image" Target="media/34a56502e7ade1881efd3f5bb236b668d7cfc8d1.png"/><Relationship Id="rId34" Type="http://schemas.openxmlformats.org/officeDocument/2006/relationships/image" Target="media/a12267166e0b72087957d4dcbce2777dc4d2619e.png"/><Relationship Id="rId35" Type="http://schemas.openxmlformats.org/officeDocument/2006/relationships/image" Target="media/562ee522b4357990c5577cebc798fbb25429de19.jpg"/><Relationship Id="rId36" Type="http://schemas.openxmlformats.org/officeDocument/2006/relationships/image" Target="media/22ae65b677205e9bcc55a2c822921cf56e4e2307.jpg"/><Relationship Id="rId37" Type="http://schemas.openxmlformats.org/officeDocument/2006/relationships/image" Target="media/deac0b086443346ef49ae5952d0d6207253c90eb.jpg"/><Relationship Id="rId38" Type="http://schemas.openxmlformats.org/officeDocument/2006/relationships/image" Target="media/a382055da9b9e2cd045ce09a518a69bdef1d7cb5.jpg"/><Relationship Id="rId39" Type="http://schemas.openxmlformats.org/officeDocument/2006/relationships/image" Target="media/37c3c45e653ca8dc04bb579726e17c90808a02d8.png"/><Relationship Id="rId40" Type="http://schemas.openxmlformats.org/officeDocument/2006/relationships/image" Target="media/44344f1331ee3053aa82c66dedb9ff327ecd04b0.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Pollution-Prevention Actions and Next-Year Toxic Release Reduction in U.S. Manufacturing: Final Report</dc:title>
  <dc:creator>Somnath Das</dc:creator>
  <dc:description>QM640 Data Analytics Capstone Final Report</dc:description>
  <cp:lastModifiedBy>Un-named</cp:lastModifiedBy>
  <cp:revision>1</cp:revision>
  <dcterms:created xsi:type="dcterms:W3CDTF">2026-09-12T04:00:20.042Z</dcterms:created>
  <dcterms:modified xsi:type="dcterms:W3CDTF">2026-09-12T04:00:20.043Z</dcterms:modified>
</cp:coreProperties>
</file>

<file path=docProps/custom.xml><?xml version="1.0" encoding="utf-8"?>
<Properties xmlns="http://schemas.openxmlformats.org/officeDocument/2006/custom-properties" xmlns:vt="http://schemas.openxmlformats.org/officeDocument/2006/docPropsVTypes"/>
</file>