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2E28E" w14:textId="77777777" w:rsidR="00C006A0" w:rsidRPr="002A617D" w:rsidRDefault="00C006A0" w:rsidP="002A617D">
      <w:pPr>
        <w:ind w:firstLine="0"/>
        <w:jc w:val="center"/>
        <w:rPr>
          <w:rFonts w:asciiTheme="majorHAnsi" w:hAnsiTheme="majorHAnsi" w:cstheme="majorHAnsi"/>
        </w:rPr>
      </w:pPr>
    </w:p>
    <w:p w14:paraId="743A483C" w14:textId="77777777" w:rsidR="00C006A0" w:rsidRPr="002A617D" w:rsidRDefault="00C006A0" w:rsidP="002A617D">
      <w:pPr>
        <w:ind w:firstLine="0"/>
        <w:jc w:val="center"/>
        <w:rPr>
          <w:rFonts w:asciiTheme="majorHAnsi" w:hAnsiTheme="majorHAnsi" w:cstheme="majorHAnsi"/>
        </w:rPr>
      </w:pPr>
    </w:p>
    <w:p w14:paraId="7AF2204D" w14:textId="77777777" w:rsidR="00C006A0" w:rsidRPr="002A617D" w:rsidRDefault="00FC0C83" w:rsidP="002A617D">
      <w:pPr>
        <w:ind w:firstLine="0"/>
        <w:jc w:val="center"/>
        <w:rPr>
          <w:rFonts w:asciiTheme="majorHAnsi" w:hAnsiTheme="majorHAnsi" w:cstheme="majorHAnsi"/>
        </w:rPr>
      </w:pPr>
      <w:r w:rsidRPr="002A617D">
        <w:rPr>
          <w:rFonts w:asciiTheme="majorHAnsi" w:hAnsiTheme="majorHAnsi" w:cstheme="majorHAnsi"/>
          <w:lang w:val="en-IN"/>
        </w:rPr>
        <w:t>Data Analytics Capstone</w:t>
      </w:r>
    </w:p>
    <w:p w14:paraId="35CE2994" w14:textId="77777777" w:rsidR="00C006A0" w:rsidRPr="002A617D" w:rsidRDefault="00000000" w:rsidP="002A617D">
      <w:pPr>
        <w:ind w:firstLine="0"/>
        <w:jc w:val="center"/>
        <w:rPr>
          <w:rFonts w:asciiTheme="majorHAnsi" w:hAnsiTheme="majorHAnsi" w:cstheme="majorHAnsi"/>
          <w:b/>
        </w:rPr>
      </w:pPr>
      <w:r w:rsidRPr="002A617D">
        <w:rPr>
          <w:rFonts w:asciiTheme="majorHAnsi" w:hAnsiTheme="majorHAnsi" w:cstheme="majorHAnsi"/>
          <w:b/>
        </w:rPr>
        <w:t>Pollution-Prevention Actions and Next-Year Toxic Release Reduction in U.S. Manufacturing</w:t>
      </w:r>
    </w:p>
    <w:p w14:paraId="411DD321" w14:textId="77777777" w:rsidR="00970538" w:rsidRPr="002A617D" w:rsidRDefault="00970538" w:rsidP="002A617D">
      <w:pPr>
        <w:ind w:firstLine="0"/>
        <w:jc w:val="center"/>
        <w:rPr>
          <w:rFonts w:asciiTheme="majorHAnsi" w:hAnsiTheme="majorHAnsi" w:cstheme="majorHAnsi"/>
        </w:rPr>
      </w:pPr>
    </w:p>
    <w:p w14:paraId="303973F4" w14:textId="77777777" w:rsidR="005134E3" w:rsidRPr="002A617D" w:rsidRDefault="005134E3" w:rsidP="002A617D">
      <w:pPr>
        <w:ind w:firstLine="0"/>
        <w:jc w:val="center"/>
        <w:rPr>
          <w:rFonts w:asciiTheme="majorHAnsi" w:hAnsiTheme="majorHAnsi" w:cstheme="majorHAnsi"/>
        </w:rPr>
      </w:pPr>
    </w:p>
    <w:p w14:paraId="27221EC0" w14:textId="77777777" w:rsidR="005134E3" w:rsidRPr="002A617D" w:rsidRDefault="005134E3" w:rsidP="002A617D">
      <w:pPr>
        <w:ind w:firstLine="0"/>
        <w:jc w:val="center"/>
        <w:rPr>
          <w:rFonts w:asciiTheme="majorHAnsi" w:hAnsiTheme="majorHAnsi" w:cstheme="majorHAnsi"/>
        </w:rPr>
      </w:pPr>
    </w:p>
    <w:p w14:paraId="63026DAF" w14:textId="77777777" w:rsidR="005134E3" w:rsidRPr="002A617D" w:rsidRDefault="005134E3" w:rsidP="002A617D">
      <w:pPr>
        <w:ind w:firstLine="0"/>
        <w:jc w:val="center"/>
        <w:rPr>
          <w:rFonts w:asciiTheme="majorHAnsi" w:hAnsiTheme="majorHAnsi" w:cstheme="majorHAnsi"/>
        </w:rPr>
      </w:pPr>
    </w:p>
    <w:p w14:paraId="6F36CCC8" w14:textId="77777777" w:rsidR="005134E3" w:rsidRPr="002A617D" w:rsidRDefault="005134E3" w:rsidP="002A617D">
      <w:pPr>
        <w:ind w:firstLine="0"/>
        <w:jc w:val="center"/>
        <w:rPr>
          <w:rFonts w:asciiTheme="majorHAnsi" w:hAnsiTheme="majorHAnsi" w:cstheme="majorHAnsi"/>
        </w:rPr>
      </w:pPr>
    </w:p>
    <w:p w14:paraId="245AF850"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rPr>
        <w:t>Synopsis</w:t>
      </w:r>
    </w:p>
    <w:p w14:paraId="50F4DF04"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rPr>
        <w:t>Somnath Das</w:t>
      </w:r>
    </w:p>
    <w:p w14:paraId="5D1C8101"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rPr>
        <w:t>Walsh College</w:t>
      </w:r>
    </w:p>
    <w:p w14:paraId="298DFA6D"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rPr>
        <w:t>QM640: Data Analytics Capstone</w:t>
      </w:r>
    </w:p>
    <w:p w14:paraId="46CCF320" w14:textId="77777777" w:rsidR="00C006A0" w:rsidRPr="002A617D" w:rsidRDefault="00970538" w:rsidP="002A617D">
      <w:pPr>
        <w:ind w:firstLine="0"/>
        <w:jc w:val="center"/>
        <w:rPr>
          <w:rFonts w:asciiTheme="majorHAnsi" w:hAnsiTheme="majorHAnsi" w:cstheme="majorHAnsi"/>
        </w:rPr>
      </w:pPr>
      <w:r w:rsidRPr="002A617D">
        <w:rPr>
          <w:rFonts w:asciiTheme="majorHAnsi" w:hAnsiTheme="majorHAnsi" w:cstheme="majorHAnsi"/>
        </w:rPr>
        <w:t>Rishab Pandey</w:t>
      </w:r>
    </w:p>
    <w:p w14:paraId="3F97F010"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rPr>
        <w:t>Summer 2026 Term</w:t>
      </w:r>
    </w:p>
    <w:p w14:paraId="42E15CB2" w14:textId="77777777" w:rsidR="00C006A0" w:rsidRPr="002A617D" w:rsidRDefault="00970538" w:rsidP="002A617D">
      <w:pPr>
        <w:ind w:firstLine="0"/>
        <w:jc w:val="center"/>
        <w:rPr>
          <w:rFonts w:asciiTheme="majorHAnsi" w:hAnsiTheme="majorHAnsi" w:cstheme="majorHAnsi"/>
        </w:rPr>
      </w:pPr>
      <w:r w:rsidRPr="002A617D">
        <w:rPr>
          <w:rFonts w:asciiTheme="majorHAnsi" w:hAnsiTheme="majorHAnsi" w:cstheme="majorHAnsi"/>
        </w:rPr>
        <w:t xml:space="preserve">July </w:t>
      </w:r>
      <w:r w:rsidR="00FC0C83" w:rsidRPr="002A617D">
        <w:rPr>
          <w:rFonts w:asciiTheme="majorHAnsi" w:hAnsiTheme="majorHAnsi" w:cstheme="majorHAnsi"/>
        </w:rPr>
        <w:t>14, 2026</w:t>
      </w:r>
    </w:p>
    <w:p w14:paraId="5AADEC0F"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rPr>
        <w:br w:type="page"/>
      </w:r>
    </w:p>
    <w:p w14:paraId="5D45DBA8" w14:textId="77777777" w:rsidR="00C006A0" w:rsidRPr="002A617D" w:rsidRDefault="00000000" w:rsidP="002A617D">
      <w:pPr>
        <w:pStyle w:val="Heading1"/>
        <w:ind w:firstLine="0"/>
        <w:rPr>
          <w:rFonts w:cstheme="majorHAnsi"/>
          <w:szCs w:val="22"/>
        </w:rPr>
      </w:pPr>
      <w:r w:rsidRPr="002A617D">
        <w:rPr>
          <w:rFonts w:cstheme="majorHAnsi"/>
          <w:szCs w:val="22"/>
        </w:rPr>
        <w:lastRenderedPageBreak/>
        <w:t>Pollution-Prevention Actions and Next-Year Toxic Release Reduction in U.S. Manufacturing</w:t>
      </w:r>
    </w:p>
    <w:p w14:paraId="5C089E90" w14:textId="77777777" w:rsidR="00C006A0" w:rsidRPr="002A617D" w:rsidRDefault="00000000" w:rsidP="002A617D">
      <w:pPr>
        <w:pStyle w:val="Heading2"/>
        <w:ind w:firstLine="0"/>
        <w:rPr>
          <w:rFonts w:cstheme="majorHAnsi"/>
          <w:szCs w:val="22"/>
        </w:rPr>
      </w:pPr>
      <w:r w:rsidRPr="002A617D">
        <w:rPr>
          <w:rFonts w:cstheme="majorHAnsi"/>
          <w:szCs w:val="22"/>
        </w:rPr>
        <w:t>Background and Context</w:t>
      </w:r>
    </w:p>
    <w:p w14:paraId="51B7CEAE"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The U.S. Environmental Protection Agency (EPA) Toxics Release Inventory (TRI) provides annual facility- and chemical-level information on toxic releases, waste management, and source-reduction activities. The TRI does not cover every chemical or every manufacturing facility, but it is a detailed, public, and reproducible source for studying reported environmental performance. Under the Pollution Prevention Act, source reduction is preferred to recycling, treatment, and disposal because it seeks to prevent waste before it is created (U.S. Environmental Protection Agency [EPA], 2025a, 2025b).</w:t>
      </w:r>
    </w:p>
    <w:p w14:paraId="1380D749"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Manufacturing leaders face a practical question: do reported pollution-prevention actions correspond with a lower release of the same chemical in the following year? A simple before-and-after comparison is not enough because production changes, starting release level, chemical type, industry process, reporting differences, and unusual events can also affect annual releases. Plant managers, environmental health and safety (EHS) leaders, and process engineers need a simple way to compare records, understand which action types show stronger relationships with improvement, and identify records that may need closer review.</w:t>
      </w:r>
    </w:p>
    <w:p w14:paraId="50CFB87A"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Past TRI research has examined public disclosure, regulatory pressure, facility behavior, and source reduction (Gamper-Rabindran, 2006; Hamilton, 1995; Konar &amp; Cohen, 1997; Ranson et al., 2015)</w:t>
      </w:r>
      <w:r w:rsidR="00485B07" w:rsidRPr="002A617D">
        <w:rPr>
          <w:rFonts w:asciiTheme="majorHAnsi" w:hAnsiTheme="majorHAnsi" w:cstheme="majorHAnsi"/>
        </w:rPr>
        <w:t>, as well as the business case for cleaner production and profitable pollution reduction (Cagno et al</w:t>
      </w:r>
      <w:r w:rsidRPr="002A617D">
        <w:rPr>
          <w:rFonts w:asciiTheme="majorHAnsi" w:hAnsiTheme="majorHAnsi" w:cstheme="majorHAnsi"/>
        </w:rPr>
        <w:t>.</w:t>
      </w:r>
      <w:r w:rsidR="00485B07" w:rsidRPr="002A617D">
        <w:rPr>
          <w:rFonts w:asciiTheme="majorHAnsi" w:hAnsiTheme="majorHAnsi" w:cstheme="majorHAnsi"/>
        </w:rPr>
        <w:t>, 2005; King &amp; Lenox, 2002).</w:t>
      </w:r>
      <w:r w:rsidRPr="002A617D">
        <w:rPr>
          <w:rFonts w:asciiTheme="majorHAnsi" w:hAnsiTheme="majorHAnsi" w:cstheme="majorHAnsi"/>
        </w:rPr>
        <w:t xml:space="preserve"> Much of that work used long historical periods or causal research designs. This study has a narrower business purpose. It uses recent data, defines one practical next-year outcome, and combines statistical explanation with an interpretable prediction model. The study will estimate associations and predictive performance; it will not claim that a reported action caused a release reduction.</w:t>
      </w:r>
    </w:p>
    <w:p w14:paraId="4BE4F98F" w14:textId="09EECC97" w:rsidR="00C006A0" w:rsidRPr="002A617D" w:rsidRDefault="00000000" w:rsidP="002A617D">
      <w:pPr>
        <w:rPr>
          <w:rFonts w:asciiTheme="majorHAnsi" w:hAnsiTheme="majorHAnsi" w:cstheme="majorHAnsi"/>
        </w:rPr>
      </w:pPr>
      <w:r w:rsidRPr="002A617D">
        <w:rPr>
          <w:rFonts w:asciiTheme="majorHAnsi" w:hAnsiTheme="majorHAnsi" w:cstheme="majorHAnsi"/>
        </w:rPr>
        <w:lastRenderedPageBreak/>
        <w:t xml:space="preserve">The analysis will use reporting years </w:t>
      </w:r>
      <w:r w:rsidR="00313756" w:rsidRPr="002A617D">
        <w:rPr>
          <w:rFonts w:asciiTheme="majorHAnsi" w:hAnsiTheme="majorHAnsi" w:cstheme="majorHAnsi"/>
        </w:rPr>
        <w:t>from 2020 to 2024.</w:t>
      </w:r>
      <w:r w:rsidRPr="002A617D">
        <w:rPr>
          <w:rFonts w:asciiTheme="majorHAnsi" w:hAnsiTheme="majorHAnsi" w:cstheme="majorHAnsi"/>
        </w:rPr>
        <w:t xml:space="preserve"> Action-year records from 2020, 2021, 2022, and 2023 will be matched with the same facility and chemical in the next year, creating four transitions: 2020 to 2021, 2021 to 2022, 2022 to 2023, and 2023 to 2024. The first three transitions will support model development. The 2023 to 2024 transition will remain untouched until final testing. This time-based design keeps the project realistic for six weeks and reduces the risk of using future information during model development.</w:t>
      </w:r>
    </w:p>
    <w:p w14:paraId="2A46C99A" w14:textId="77777777" w:rsidR="00C006A0" w:rsidRPr="002A617D" w:rsidRDefault="00000000" w:rsidP="002A617D">
      <w:pPr>
        <w:pStyle w:val="Heading2"/>
        <w:ind w:firstLine="0"/>
        <w:rPr>
          <w:rFonts w:cstheme="majorHAnsi"/>
          <w:szCs w:val="22"/>
        </w:rPr>
      </w:pPr>
      <w:r w:rsidRPr="002A617D">
        <w:rPr>
          <w:rFonts w:cstheme="majorHAnsi"/>
          <w:szCs w:val="22"/>
        </w:rPr>
        <w:t>Problem Statement</w:t>
      </w:r>
    </w:p>
    <w:p w14:paraId="78B0ECF0" w14:textId="1BCB054C" w:rsidR="00C006A0" w:rsidRPr="002A617D" w:rsidRDefault="00000000" w:rsidP="002A617D">
      <w:pPr>
        <w:rPr>
          <w:rFonts w:asciiTheme="majorHAnsi" w:hAnsiTheme="majorHAnsi" w:cstheme="majorHAnsi"/>
        </w:rPr>
      </w:pPr>
      <w:r w:rsidRPr="002A617D">
        <w:rPr>
          <w:rFonts w:asciiTheme="majorHAnsi" w:hAnsiTheme="majorHAnsi" w:cstheme="majorHAnsi"/>
        </w:rPr>
        <w:t xml:space="preserve">U.S. manufacturing facilities report many pollution-prevention actions, yet EHS and plant leaders lack a simple recent-data framework for judging whether records with those actions are more likely to achieve a meaningful reduction in the same chemical's on-site release in the following year. </w:t>
      </w:r>
      <w:r w:rsidR="00634492" w:rsidRPr="00634492">
        <w:rPr>
          <w:rFonts w:asciiTheme="majorHAnsi" w:hAnsiTheme="majorHAnsi" w:cstheme="majorHAnsi"/>
        </w:rPr>
        <w:t>This project addresses that gap by examining manufacturing Form R records, measuring a meaningful next-year reduction as at least 10%, comparing reported pollution-prevention action types with records reporting no action, controlling for a small set of relevant factors in the main association model, and developing an interpretable screening model</w:t>
      </w:r>
      <w:r w:rsidRPr="002A617D">
        <w:rPr>
          <w:rFonts w:asciiTheme="majorHAnsi" w:hAnsiTheme="majorHAnsi" w:cstheme="majorHAnsi"/>
        </w:rPr>
        <w:t>. The result is intended to support review and prioritization, not replace engineering judgment or establish causality.</w:t>
      </w:r>
    </w:p>
    <w:p w14:paraId="367EA4C8" w14:textId="77777777" w:rsidR="00C006A0" w:rsidRPr="002A617D" w:rsidRDefault="00000000" w:rsidP="002A617D">
      <w:pPr>
        <w:pStyle w:val="Heading2"/>
        <w:ind w:firstLine="0"/>
        <w:rPr>
          <w:rFonts w:cstheme="majorHAnsi"/>
          <w:szCs w:val="22"/>
        </w:rPr>
      </w:pPr>
      <w:r w:rsidRPr="002A617D">
        <w:rPr>
          <w:rFonts w:cstheme="majorHAnsi"/>
          <w:szCs w:val="22"/>
        </w:rPr>
        <w:t>Purpose of the Study</w:t>
      </w:r>
    </w:p>
    <w:p w14:paraId="33844E38" w14:textId="7F86414B" w:rsidR="00C006A0" w:rsidRPr="002A617D" w:rsidRDefault="00000000" w:rsidP="002A617D">
      <w:pPr>
        <w:rPr>
          <w:rFonts w:asciiTheme="majorHAnsi" w:hAnsiTheme="majorHAnsi" w:cstheme="majorHAnsi"/>
        </w:rPr>
      </w:pPr>
      <w:r w:rsidRPr="002A617D">
        <w:rPr>
          <w:rFonts w:asciiTheme="majorHAnsi" w:hAnsiTheme="majorHAnsi" w:cstheme="majorHAnsi"/>
        </w:rPr>
        <w:t xml:space="preserve">The purpose of this study is to explain and predict meaningful next-year toxic-release </w:t>
      </w:r>
      <w:r w:rsidR="00313756" w:rsidRPr="002A617D">
        <w:rPr>
          <w:rFonts w:asciiTheme="majorHAnsi" w:hAnsiTheme="majorHAnsi" w:cstheme="majorHAnsi"/>
        </w:rPr>
        <w:t>reductions at the facility-chemical-year level using EPA TRI Basic Plus data.</w:t>
      </w:r>
      <w:r w:rsidRPr="002A617D">
        <w:rPr>
          <w:rFonts w:asciiTheme="majorHAnsi" w:hAnsiTheme="majorHAnsi" w:cstheme="majorHAnsi"/>
        </w:rPr>
        <w:t xml:space="preserve"> </w:t>
      </w:r>
      <w:r w:rsidR="00634492" w:rsidRPr="00634492">
        <w:rPr>
          <w:rFonts w:asciiTheme="majorHAnsi" w:hAnsiTheme="majorHAnsi" w:cstheme="majorHAnsi"/>
        </w:rPr>
        <w:t>The study will describe recent patterns, test the adjusted association between reporting any pollution-prevention action and next-year reduction, compare the reduction rates of individual action types with the no-reported-action group, and evaluate a regularized logistic-regression model on a future-year holdout</w:t>
      </w:r>
      <w:r w:rsidRPr="002A617D">
        <w:rPr>
          <w:rFonts w:asciiTheme="majorHAnsi" w:hAnsiTheme="majorHAnsi" w:cstheme="majorHAnsi"/>
        </w:rPr>
        <w:t>. The business output will be a transparent screening approach that can help EHS teams focus limited review time on facility-chemical records that appear less likely to improve.</w:t>
      </w:r>
    </w:p>
    <w:p w14:paraId="75B991B5" w14:textId="77777777" w:rsidR="00C006A0" w:rsidRPr="002A617D" w:rsidRDefault="00000000" w:rsidP="002A617D">
      <w:pPr>
        <w:pStyle w:val="Heading2"/>
        <w:ind w:firstLine="0"/>
        <w:rPr>
          <w:rFonts w:cstheme="majorHAnsi"/>
          <w:szCs w:val="22"/>
        </w:rPr>
      </w:pPr>
      <w:r w:rsidRPr="002A617D">
        <w:rPr>
          <w:rFonts w:cstheme="majorHAnsi"/>
          <w:szCs w:val="22"/>
        </w:rPr>
        <w:lastRenderedPageBreak/>
        <w:t>Scope and Objectives</w:t>
      </w:r>
    </w:p>
    <w:p w14:paraId="6B17C503"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The study population includes U.S. TRI-reporting manufacturing facilities whose primary North American Industry Classification System (NAICS) code begins with 31, 32, or 33. The unit of analysis is one facility, one TRI chemical, and one reporting year. Only Form R records will be retained because the analysis needs detailed release and source-reduction information. The core files are File 1A and File 2A for each year from 2020 through 2024. Other Basic Plus files will be excluded from the main analysis because they are not required to answer the four research questions.</w:t>
      </w:r>
    </w:p>
    <w:p w14:paraId="09EDF276" w14:textId="11E2BB62" w:rsidR="00C006A0" w:rsidRPr="002A617D" w:rsidRDefault="00000000" w:rsidP="002A617D">
      <w:pPr>
        <w:rPr>
          <w:rFonts w:asciiTheme="majorHAnsi" w:hAnsiTheme="majorHAnsi" w:cstheme="majorHAnsi"/>
        </w:rPr>
      </w:pPr>
      <w:r w:rsidRPr="002A617D">
        <w:rPr>
          <w:rFonts w:asciiTheme="majorHAnsi" w:hAnsiTheme="majorHAnsi" w:cstheme="majorHAnsi"/>
        </w:rPr>
        <w:t xml:space="preserve">The primary outcome, REDUCTION_10, equals 1 when the next-year total on-site release is no more than 90% of the current-year release and equals 0 otherwise. Percentage reduction is defined only when the current-year release </w:t>
      </w:r>
      <w:r w:rsidR="00313756" w:rsidRPr="002A617D">
        <w:rPr>
          <w:rFonts w:asciiTheme="majorHAnsi" w:hAnsiTheme="majorHAnsi" w:cstheme="majorHAnsi"/>
        </w:rPr>
        <w:t>exceeds</w:t>
      </w:r>
      <w:r w:rsidRPr="002A617D">
        <w:rPr>
          <w:rFonts w:asciiTheme="majorHAnsi" w:hAnsiTheme="majorHAnsi" w:cstheme="majorHAnsi"/>
        </w:rPr>
        <w:t xml:space="preserve"> zero. A missing next-year record will not be treated as a zero release. Dioxin and dioxin-like compounds reported in grams will not be combined with chemicals reported in pounds. A sensitivity analysis will exclude gram-reported chemicals.</w:t>
      </w:r>
    </w:p>
    <w:p w14:paraId="087B61C7" w14:textId="77777777" w:rsidR="00C006A0" w:rsidRPr="002A617D" w:rsidRDefault="00000000" w:rsidP="002A617D">
      <w:pPr>
        <w:pStyle w:val="Heading2"/>
        <w:ind w:firstLine="0"/>
        <w:rPr>
          <w:rFonts w:cstheme="majorHAnsi"/>
          <w:szCs w:val="22"/>
        </w:rPr>
      </w:pPr>
      <w:r w:rsidRPr="002A617D">
        <w:rPr>
          <w:rFonts w:cstheme="majorHAnsi"/>
          <w:szCs w:val="22"/>
        </w:rPr>
        <w:t>Main Research Question</w:t>
      </w:r>
    </w:p>
    <w:p w14:paraId="0062B8A8"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To what extent can recent EPA TRI information on reported pollution-prevention actions help explain and predict whether a U.S. manufacturing facility will reduce the same chemical's on-site release by at least 10% in the following year?</w:t>
      </w:r>
    </w:p>
    <w:p w14:paraId="6652C2B2" w14:textId="77777777" w:rsidR="00C006A0" w:rsidRPr="002A617D" w:rsidRDefault="00000000" w:rsidP="002A617D">
      <w:pPr>
        <w:pStyle w:val="Heading2"/>
        <w:ind w:firstLine="0"/>
        <w:rPr>
          <w:rFonts w:cstheme="majorHAnsi"/>
          <w:szCs w:val="22"/>
        </w:rPr>
      </w:pPr>
      <w:r w:rsidRPr="002A617D">
        <w:rPr>
          <w:rFonts w:cstheme="majorHAnsi"/>
          <w:szCs w:val="22"/>
        </w:rPr>
        <w:t>Research Questions and Hypotheses</w:t>
      </w:r>
    </w:p>
    <w:p w14:paraId="1004135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RQ1: </w:t>
      </w:r>
      <w:r w:rsidRPr="002A617D">
        <w:rPr>
          <w:rFonts w:asciiTheme="majorHAnsi" w:hAnsiTheme="majorHAnsi" w:cstheme="majorHAnsi"/>
        </w:rPr>
        <w:t>Do meaningful next-year reduction rates differ across action years and major manufacturing subsectors?</w:t>
      </w:r>
    </w:p>
    <w:p w14:paraId="0765B47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H0₁: </w:t>
      </w:r>
      <w:r w:rsidRPr="002A617D">
        <w:rPr>
          <w:rFonts w:asciiTheme="majorHAnsi" w:hAnsiTheme="majorHAnsi" w:cstheme="majorHAnsi"/>
        </w:rPr>
        <w:t>The proportion of eligible records achieving REDUCTION_10 is equal across the compared years and subsectors.</w:t>
      </w:r>
    </w:p>
    <w:p w14:paraId="63C8E8E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H1₁: </w:t>
      </w:r>
      <w:r w:rsidRPr="002A617D">
        <w:rPr>
          <w:rFonts w:asciiTheme="majorHAnsi" w:hAnsiTheme="majorHAnsi" w:cstheme="majorHAnsi"/>
        </w:rPr>
        <w:t>At least one compared year or subsector has a different proportion of records achieving REDUCTION_10.</w:t>
      </w:r>
    </w:p>
    <w:p w14:paraId="2D9B140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lastRenderedPageBreak/>
        <w:t xml:space="preserve">RQ2: </w:t>
      </w:r>
      <w:r w:rsidRPr="002A617D">
        <w:rPr>
          <w:rFonts w:asciiTheme="majorHAnsi" w:hAnsiTheme="majorHAnsi" w:cstheme="majorHAnsi"/>
        </w:rPr>
        <w:t>After controlling for current release level, production/activity ratio, manufacturing subsector, selected chemical characteristics, and action year, is reporting at least one pollution-prevention action associated with achieving REDUCTION_10?</w:t>
      </w:r>
    </w:p>
    <w:p w14:paraId="315BEF9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H0₂: </w:t>
      </w:r>
      <w:r w:rsidRPr="002A617D">
        <w:rPr>
          <w:rFonts w:asciiTheme="majorHAnsi" w:hAnsiTheme="majorHAnsi" w:cstheme="majorHAnsi"/>
        </w:rPr>
        <w:t>The adjusted odds ratio for REPORTED_ANY_SOURCE_REDUCTION_ACTION equals 1.00 (β₁ = 0).</w:t>
      </w:r>
    </w:p>
    <w:p w14:paraId="2F0248C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H1₂: </w:t>
      </w:r>
      <w:r w:rsidRPr="002A617D">
        <w:rPr>
          <w:rFonts w:asciiTheme="majorHAnsi" w:hAnsiTheme="majorHAnsi" w:cstheme="majorHAnsi"/>
        </w:rPr>
        <w:t>The adjusted odds ratio for REPORTED_ANY_SOURCE_REDUCTION_ACTION differs from 1.00 (β₁ ≠ 0).</w:t>
      </w:r>
    </w:p>
    <w:p w14:paraId="05AF79A7" w14:textId="57A0F120"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RQ3: </w:t>
      </w:r>
      <w:r w:rsidR="00634492" w:rsidRPr="00634492">
        <w:rPr>
          <w:rFonts w:asciiTheme="majorHAnsi" w:hAnsiTheme="majorHAnsi" w:cstheme="majorHAnsi"/>
        </w:rPr>
        <w:t>Do next-year toxic-release reduction rates differ between each reported pollution-prevention action type and records with no reported action?</w:t>
      </w:r>
    </w:p>
    <w:p w14:paraId="4E2A1CD7" w14:textId="2EC502F6" w:rsidR="00514406" w:rsidRPr="00514406" w:rsidRDefault="00000000" w:rsidP="00634492">
      <w:pPr>
        <w:ind w:firstLine="0"/>
        <w:rPr>
          <w:rFonts w:asciiTheme="majorHAnsi" w:hAnsiTheme="majorHAnsi" w:cstheme="majorHAnsi"/>
          <w:lang w:val="en-IN"/>
        </w:rPr>
      </w:pPr>
      <w:r w:rsidRPr="002A617D">
        <w:rPr>
          <w:rFonts w:asciiTheme="majorHAnsi" w:hAnsiTheme="majorHAnsi" w:cstheme="majorHAnsi"/>
          <w:b/>
        </w:rPr>
        <w:t xml:space="preserve">H0₃: </w:t>
      </w:r>
      <w:r w:rsidR="00634492" w:rsidRPr="00634492">
        <w:rPr>
          <w:rFonts w:asciiTheme="majorHAnsi" w:hAnsiTheme="majorHAnsi" w:cstheme="majorHAnsi"/>
          <w:lang w:val="en-IN"/>
        </w:rPr>
        <w:t>For each pollution-prevention action type, the next-year reduction rate is the same as the rate for records with no reported action.</w:t>
      </w:r>
      <w:r w:rsidR="00634492">
        <w:rPr>
          <w:rFonts w:asciiTheme="majorHAnsi" w:hAnsiTheme="majorHAnsi" w:cstheme="majorHAnsi"/>
          <w:lang w:val="en-IN"/>
        </w:rPr>
        <w:t xml:space="preserve">  </w:t>
      </w:r>
      <m:oMath>
        <m:sSub>
          <m:sSubPr>
            <m:ctrlPr>
              <w:rPr>
                <w:rFonts w:ascii="Cambria Math" w:hAnsi="Cambria Math" w:cstheme="majorHAnsi"/>
                <w:lang w:val="en-IN"/>
              </w:rPr>
            </m:ctrlPr>
          </m:sSubPr>
          <m:e>
            <m:r>
              <w:rPr>
                <w:rFonts w:ascii="Cambria Math" w:hAnsi="Cambria Math" w:cstheme="majorHAnsi"/>
                <w:lang w:val="en-IN"/>
              </w:rPr>
              <m:t>H</m:t>
            </m:r>
          </m:e>
          <m:sub>
            <m:r>
              <w:rPr>
                <w:rFonts w:ascii="Cambria Math" w:hAnsi="Cambria Math" w:cstheme="majorHAnsi"/>
                <w:lang w:val="en-IN"/>
              </w:rPr>
              <m:t>0k</m:t>
            </m:r>
          </m:sub>
        </m:sSub>
        <m:r>
          <w:rPr>
            <w:rFonts w:ascii="Cambria Math" w:hAnsi="Cambria Math" w:cstheme="majorHAnsi"/>
            <w:lang w:val="en-IN"/>
          </w:rPr>
          <m:t>:</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k</m:t>
            </m:r>
          </m:sub>
        </m:sSub>
        <m:r>
          <w:rPr>
            <w:rFonts w:ascii="Cambria Math" w:hAnsi="Cambria Math" w:cstheme="majorHAnsi"/>
            <w:lang w:val="en-IN"/>
          </w:rPr>
          <m:t>=</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0</m:t>
            </m:r>
          </m:sub>
        </m:sSub>
      </m:oMath>
    </w:p>
    <w:p w14:paraId="097F3DFE" w14:textId="2E62147D" w:rsidR="00634492" w:rsidRPr="00634492" w:rsidRDefault="00000000" w:rsidP="00634492">
      <w:pPr>
        <w:ind w:firstLine="0"/>
        <w:rPr>
          <w:rFonts w:asciiTheme="majorHAnsi" w:hAnsiTheme="majorHAnsi" w:cstheme="majorHAnsi"/>
          <w:lang w:val="en-IN"/>
        </w:rPr>
      </w:pPr>
      <w:r w:rsidRPr="002A617D">
        <w:rPr>
          <w:rFonts w:asciiTheme="majorHAnsi" w:hAnsiTheme="majorHAnsi" w:cstheme="majorHAnsi"/>
          <w:b/>
        </w:rPr>
        <w:t xml:space="preserve">H1₃: </w:t>
      </w:r>
      <w:r w:rsidR="00634492" w:rsidRPr="00634492">
        <w:rPr>
          <w:rFonts w:asciiTheme="majorHAnsi" w:hAnsiTheme="majorHAnsi" w:cstheme="majorHAnsi"/>
          <w:lang w:val="en-IN"/>
        </w:rPr>
        <w:t>For at least one pollution-prevention action type, the next-year reduction rate differs from the rate for records with no reported action.</w:t>
      </w:r>
      <w:r w:rsidR="00634492">
        <w:rPr>
          <w:rFonts w:asciiTheme="majorHAnsi" w:hAnsiTheme="majorHAnsi" w:cstheme="majorHAnsi"/>
          <w:lang w:val="en-IN"/>
        </w:rPr>
        <w:t xml:space="preserve"> </w:t>
      </w:r>
      <m:oMath>
        <m:sSub>
          <m:sSubPr>
            <m:ctrlPr>
              <w:rPr>
                <w:rFonts w:ascii="Cambria Math" w:hAnsi="Cambria Math" w:cstheme="majorHAnsi"/>
                <w:lang w:val="en-IN"/>
              </w:rPr>
            </m:ctrlPr>
          </m:sSubPr>
          <m:e>
            <m:r>
              <w:rPr>
                <w:rFonts w:ascii="Cambria Math" w:hAnsi="Cambria Math" w:cstheme="majorHAnsi"/>
                <w:lang w:val="en-IN"/>
              </w:rPr>
              <m:t>H</m:t>
            </m:r>
          </m:e>
          <m:sub>
            <m:r>
              <w:rPr>
                <w:rFonts w:ascii="Cambria Math" w:hAnsi="Cambria Math" w:cstheme="majorHAnsi"/>
                <w:lang w:val="en-IN"/>
              </w:rPr>
              <m:t>1k</m:t>
            </m:r>
          </m:sub>
        </m:sSub>
        <m:r>
          <w:rPr>
            <w:rFonts w:ascii="Cambria Math" w:hAnsi="Cambria Math" w:cstheme="majorHAnsi"/>
            <w:lang w:val="en-IN"/>
          </w:rPr>
          <m:t>:</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k</m:t>
            </m:r>
          </m:sub>
        </m:sSub>
        <m:r>
          <m:rPr>
            <m:sty m:val="p"/>
          </m:rPr>
          <w:rPr>
            <w:rFonts w:ascii="Cambria Math" w:hAnsi="Cambria Math" w:cstheme="majorHAnsi"/>
            <w:lang w:val="en-IN"/>
          </w:rPr>
          <m:t>≠</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0</m:t>
            </m:r>
          </m:sub>
        </m:sSub>
      </m:oMath>
      <w:r w:rsidR="00634492" w:rsidRPr="00634492">
        <w:rPr>
          <w:rFonts w:asciiTheme="majorHAnsi" w:hAnsiTheme="majorHAnsi" w:cstheme="majorHAnsi"/>
          <w:lang w:val="en-IN"/>
        </w:rPr>
        <w:br/>
        <w:t>Where:</w:t>
      </w:r>
    </w:p>
    <w:p w14:paraId="7179E9C0" w14:textId="329B7E83" w:rsidR="00634492" w:rsidRPr="00634492" w:rsidRDefault="00634492" w:rsidP="00634492">
      <w:pPr>
        <w:numPr>
          <w:ilvl w:val="0"/>
          <w:numId w:val="12"/>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k</m:t>
            </m:r>
          </m:sub>
        </m:sSub>
      </m:oMath>
      <w:r w:rsidRPr="00634492">
        <w:rPr>
          <w:rFonts w:asciiTheme="majorHAnsi" w:hAnsiTheme="majorHAnsi" w:cstheme="majorHAnsi"/>
          <w:lang w:val="en-IN"/>
        </w:rPr>
        <w:t xml:space="preserve">is the next-year reduction rate for action type </w:t>
      </w:r>
      <m:oMath>
        <m:r>
          <w:rPr>
            <w:rFonts w:ascii="Cambria Math" w:hAnsi="Cambria Math" w:cstheme="majorHAnsi"/>
            <w:lang w:val="en-IN"/>
          </w:rPr>
          <m:t>k</m:t>
        </m:r>
      </m:oMath>
    </w:p>
    <w:p w14:paraId="6D095898" w14:textId="42167381" w:rsidR="00634492" w:rsidRPr="00634492" w:rsidRDefault="00634492" w:rsidP="00634492">
      <w:pPr>
        <w:numPr>
          <w:ilvl w:val="0"/>
          <w:numId w:val="12"/>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0</m:t>
            </m:r>
          </m:sub>
        </m:sSub>
      </m:oMath>
      <w:r w:rsidRPr="00634492">
        <w:rPr>
          <w:rFonts w:asciiTheme="majorHAnsi" w:hAnsiTheme="majorHAnsi" w:cstheme="majorHAnsi"/>
          <w:lang w:val="en-IN"/>
        </w:rPr>
        <w:t>is the next-year reduction rate for records with no reported action</w:t>
      </w:r>
    </w:p>
    <w:p w14:paraId="6DD8002C" w14:textId="03B8CACB"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RQ4: </w:t>
      </w:r>
      <w:r w:rsidRPr="002A617D">
        <w:rPr>
          <w:rFonts w:asciiTheme="majorHAnsi" w:hAnsiTheme="majorHAnsi" w:cstheme="majorHAnsi"/>
        </w:rPr>
        <w:t xml:space="preserve">Can an interpretable model using only action-year information predict which facility-chemical records will </w:t>
      </w:r>
      <w:r w:rsidR="00313756" w:rsidRPr="002A617D">
        <w:rPr>
          <w:rFonts w:asciiTheme="majorHAnsi" w:hAnsiTheme="majorHAnsi" w:cstheme="majorHAnsi"/>
        </w:rPr>
        <w:t>fail to</w:t>
      </w:r>
      <w:r w:rsidRPr="002A617D">
        <w:rPr>
          <w:rFonts w:asciiTheme="majorHAnsi" w:hAnsiTheme="majorHAnsi" w:cstheme="majorHAnsi"/>
        </w:rPr>
        <w:t xml:space="preserve"> achieve REDUCTION_10 in the following year better than chance?</w:t>
      </w:r>
    </w:p>
    <w:p w14:paraId="128B929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H0₄: </w:t>
      </w:r>
      <w:r w:rsidRPr="002A617D">
        <w:rPr>
          <w:rFonts w:asciiTheme="majorHAnsi" w:hAnsiTheme="majorHAnsi" w:cstheme="majorHAnsi"/>
        </w:rPr>
        <w:t>The holdout receiver operating characteristic area under the curve equals 0.50 (AUC = 0.50).</w:t>
      </w:r>
    </w:p>
    <w:p w14:paraId="0F82A4D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H1₄: </w:t>
      </w:r>
      <w:r w:rsidRPr="002A617D">
        <w:rPr>
          <w:rFonts w:asciiTheme="majorHAnsi" w:hAnsiTheme="majorHAnsi" w:cstheme="majorHAnsi"/>
        </w:rPr>
        <w:t>The holdout receiver operating characteristic area under the curve is greater than 0.50 (AUC &gt; 0.50).</w:t>
      </w:r>
    </w:p>
    <w:p w14:paraId="21F974C4" w14:textId="77777777" w:rsidR="00C006A0" w:rsidRPr="002A617D" w:rsidRDefault="00C006A0" w:rsidP="002A617D">
      <w:pPr>
        <w:rPr>
          <w:rFonts w:asciiTheme="majorHAnsi" w:hAnsiTheme="majorHAnsi" w:cstheme="majorHAnsi"/>
        </w:rPr>
      </w:pPr>
    </w:p>
    <w:p w14:paraId="7A013554"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1 shows how each research question contributes to the main research question and identifies the planned analytical method.</w:t>
      </w:r>
    </w:p>
    <w:p w14:paraId="1B67C537"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lastRenderedPageBreak/>
        <w:t>Table 1</w:t>
      </w:r>
    </w:p>
    <w:p w14:paraId="77057F75"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How the Four Questions Support the Main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008"/>
        <w:gridCol w:w="5328"/>
        <w:gridCol w:w="3024"/>
      </w:tblGrid>
      <w:tr w:rsidR="00C006A0" w:rsidRPr="002A617D" w14:paraId="57DC103D" w14:textId="77777777">
        <w:trPr>
          <w:tblHeader/>
          <w:jc w:val="center"/>
        </w:trPr>
        <w:tc>
          <w:tcPr>
            <w:tcW w:w="1008" w:type="dxa"/>
            <w:tcBorders>
              <w:bottom w:val="single" w:sz="8" w:space="0" w:color="000000"/>
            </w:tcBorders>
            <w:tcMar>
              <w:top w:w="80" w:type="dxa"/>
              <w:left w:w="80" w:type="dxa"/>
              <w:bottom w:w="80" w:type="dxa"/>
              <w:right w:w="80" w:type="dxa"/>
            </w:tcMar>
            <w:vAlign w:val="center"/>
          </w:tcPr>
          <w:p w14:paraId="28F7995A"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Research question</w:t>
            </w:r>
          </w:p>
        </w:tc>
        <w:tc>
          <w:tcPr>
            <w:tcW w:w="5328" w:type="dxa"/>
            <w:tcBorders>
              <w:bottom w:val="single" w:sz="8" w:space="0" w:color="000000"/>
            </w:tcBorders>
            <w:tcMar>
              <w:top w:w="80" w:type="dxa"/>
              <w:left w:w="80" w:type="dxa"/>
              <w:bottom w:w="80" w:type="dxa"/>
              <w:right w:w="80" w:type="dxa"/>
            </w:tcMar>
            <w:vAlign w:val="center"/>
          </w:tcPr>
          <w:p w14:paraId="3DC2D043"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Contribution to the main research question</w:t>
            </w:r>
          </w:p>
        </w:tc>
        <w:tc>
          <w:tcPr>
            <w:tcW w:w="3024" w:type="dxa"/>
            <w:tcBorders>
              <w:bottom w:val="single" w:sz="8" w:space="0" w:color="000000"/>
            </w:tcBorders>
            <w:tcMar>
              <w:top w:w="80" w:type="dxa"/>
              <w:left w:w="80" w:type="dxa"/>
              <w:bottom w:w="80" w:type="dxa"/>
              <w:right w:w="80" w:type="dxa"/>
            </w:tcMar>
            <w:vAlign w:val="center"/>
          </w:tcPr>
          <w:p w14:paraId="75BC6783"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Statistical or predictive method</w:t>
            </w:r>
          </w:p>
        </w:tc>
      </w:tr>
      <w:tr w:rsidR="00C006A0" w:rsidRPr="002A617D" w14:paraId="1F33709B" w14:textId="77777777">
        <w:trPr>
          <w:jc w:val="center"/>
        </w:trPr>
        <w:tc>
          <w:tcPr>
            <w:tcW w:w="1008" w:type="dxa"/>
            <w:tcMar>
              <w:top w:w="80" w:type="dxa"/>
              <w:left w:w="80" w:type="dxa"/>
              <w:bottom w:w="80" w:type="dxa"/>
              <w:right w:w="80" w:type="dxa"/>
            </w:tcMar>
            <w:vAlign w:val="center"/>
          </w:tcPr>
          <w:p w14:paraId="3067D38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RQ1</w:t>
            </w:r>
          </w:p>
        </w:tc>
        <w:tc>
          <w:tcPr>
            <w:tcW w:w="5328" w:type="dxa"/>
            <w:tcMar>
              <w:top w:w="80" w:type="dxa"/>
              <w:left w:w="80" w:type="dxa"/>
              <w:bottom w:w="80" w:type="dxa"/>
              <w:right w:w="80" w:type="dxa"/>
            </w:tcMar>
            <w:vAlign w:val="center"/>
          </w:tcPr>
          <w:p w14:paraId="1A2B5E1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Establishes where and when meaningful reductions differ.</w:t>
            </w:r>
          </w:p>
        </w:tc>
        <w:tc>
          <w:tcPr>
            <w:tcW w:w="3024" w:type="dxa"/>
            <w:tcMar>
              <w:top w:w="80" w:type="dxa"/>
              <w:left w:w="80" w:type="dxa"/>
              <w:bottom w:w="80" w:type="dxa"/>
              <w:right w:w="80" w:type="dxa"/>
            </w:tcMar>
            <w:vAlign w:val="center"/>
          </w:tcPr>
          <w:p w14:paraId="0CC5E6C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Chi-square test (descriptive statistics)</w:t>
            </w:r>
          </w:p>
        </w:tc>
      </w:tr>
      <w:tr w:rsidR="00C006A0" w:rsidRPr="002A617D" w14:paraId="0D8E0FB8" w14:textId="77777777">
        <w:trPr>
          <w:jc w:val="center"/>
        </w:trPr>
        <w:tc>
          <w:tcPr>
            <w:tcW w:w="1008" w:type="dxa"/>
            <w:tcMar>
              <w:top w:w="80" w:type="dxa"/>
              <w:left w:w="80" w:type="dxa"/>
              <w:bottom w:w="80" w:type="dxa"/>
              <w:right w:w="80" w:type="dxa"/>
            </w:tcMar>
            <w:vAlign w:val="center"/>
          </w:tcPr>
          <w:p w14:paraId="1373BE0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RQ2</w:t>
            </w:r>
          </w:p>
        </w:tc>
        <w:tc>
          <w:tcPr>
            <w:tcW w:w="5328" w:type="dxa"/>
            <w:tcMar>
              <w:top w:w="80" w:type="dxa"/>
              <w:left w:w="80" w:type="dxa"/>
              <w:bottom w:w="80" w:type="dxa"/>
              <w:right w:w="80" w:type="dxa"/>
            </w:tcMar>
            <w:vAlign w:val="center"/>
          </w:tcPr>
          <w:p w14:paraId="5A4D021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Tests whether any reported action has an adjusted association with reduction.</w:t>
            </w:r>
          </w:p>
        </w:tc>
        <w:tc>
          <w:tcPr>
            <w:tcW w:w="3024" w:type="dxa"/>
            <w:tcMar>
              <w:top w:w="80" w:type="dxa"/>
              <w:left w:w="80" w:type="dxa"/>
              <w:bottom w:w="80" w:type="dxa"/>
              <w:right w:w="80" w:type="dxa"/>
            </w:tcMar>
            <w:vAlign w:val="center"/>
          </w:tcPr>
          <w:p w14:paraId="5755B1AD" w14:textId="77777777" w:rsidR="00C006A0" w:rsidRPr="002A617D" w:rsidRDefault="005134E3" w:rsidP="002A617D">
            <w:pPr>
              <w:ind w:firstLine="0"/>
              <w:rPr>
                <w:rFonts w:asciiTheme="majorHAnsi" w:hAnsiTheme="majorHAnsi" w:cstheme="majorHAnsi"/>
              </w:rPr>
            </w:pPr>
            <w:r w:rsidRPr="002A617D">
              <w:rPr>
                <w:rFonts w:asciiTheme="majorHAnsi" w:hAnsiTheme="majorHAnsi" w:cstheme="majorHAnsi"/>
              </w:rPr>
              <w:t>Logistic regression (binary)</w:t>
            </w:r>
          </w:p>
        </w:tc>
      </w:tr>
      <w:tr w:rsidR="00C006A0" w:rsidRPr="002A617D" w14:paraId="49F19AD4" w14:textId="77777777">
        <w:trPr>
          <w:jc w:val="center"/>
        </w:trPr>
        <w:tc>
          <w:tcPr>
            <w:tcW w:w="1008" w:type="dxa"/>
            <w:tcMar>
              <w:top w:w="80" w:type="dxa"/>
              <w:left w:w="80" w:type="dxa"/>
              <w:bottom w:w="80" w:type="dxa"/>
              <w:right w:w="80" w:type="dxa"/>
            </w:tcMar>
            <w:vAlign w:val="center"/>
          </w:tcPr>
          <w:p w14:paraId="1DFDBF7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RQ3</w:t>
            </w:r>
          </w:p>
        </w:tc>
        <w:tc>
          <w:tcPr>
            <w:tcW w:w="5328" w:type="dxa"/>
            <w:tcMar>
              <w:top w:w="80" w:type="dxa"/>
              <w:left w:w="80" w:type="dxa"/>
              <w:bottom w:w="80" w:type="dxa"/>
              <w:right w:w="80" w:type="dxa"/>
            </w:tcMar>
            <w:vAlign w:val="center"/>
          </w:tcPr>
          <w:p w14:paraId="2AA705DC" w14:textId="3679520D" w:rsidR="00C006A0" w:rsidRPr="002A617D" w:rsidRDefault="00634492" w:rsidP="002A617D">
            <w:pPr>
              <w:ind w:firstLine="0"/>
              <w:rPr>
                <w:rFonts w:asciiTheme="majorHAnsi" w:hAnsiTheme="majorHAnsi" w:cstheme="majorHAnsi"/>
              </w:rPr>
            </w:pPr>
            <w:r w:rsidRPr="00634492">
              <w:rPr>
                <w:rFonts w:asciiTheme="majorHAnsi" w:hAnsiTheme="majorHAnsi" w:cstheme="majorHAnsi"/>
              </w:rPr>
              <w:t>Compares the next-year reduction rate for each action type with the rate for records reporting no action</w:t>
            </w:r>
            <w:r w:rsidR="00514406" w:rsidRPr="00514406">
              <w:rPr>
                <w:rFonts w:asciiTheme="majorHAnsi" w:hAnsiTheme="majorHAnsi" w:cstheme="majorHAnsi"/>
              </w:rPr>
              <w:t>.</w:t>
            </w:r>
          </w:p>
        </w:tc>
        <w:tc>
          <w:tcPr>
            <w:tcW w:w="3024" w:type="dxa"/>
            <w:tcMar>
              <w:top w:w="80" w:type="dxa"/>
              <w:left w:w="80" w:type="dxa"/>
              <w:bottom w:w="80" w:type="dxa"/>
              <w:right w:w="80" w:type="dxa"/>
            </w:tcMar>
            <w:vAlign w:val="center"/>
          </w:tcPr>
          <w:p w14:paraId="6498834A" w14:textId="723E9347" w:rsidR="00C006A0" w:rsidRPr="002A617D" w:rsidRDefault="00634492" w:rsidP="002A617D">
            <w:pPr>
              <w:ind w:firstLine="0"/>
              <w:rPr>
                <w:rFonts w:asciiTheme="majorHAnsi" w:hAnsiTheme="majorHAnsi" w:cstheme="majorHAnsi"/>
              </w:rPr>
            </w:pPr>
            <w:r w:rsidRPr="00634492">
              <w:rPr>
                <w:rFonts w:asciiTheme="majorHAnsi" w:hAnsiTheme="majorHAnsi" w:cstheme="majorHAnsi"/>
              </w:rPr>
              <w:t>Chi-square test / Fisher's exact test (with Holm correction)</w:t>
            </w:r>
          </w:p>
        </w:tc>
      </w:tr>
      <w:tr w:rsidR="00C006A0" w:rsidRPr="002A617D" w14:paraId="71F612E6" w14:textId="77777777">
        <w:trPr>
          <w:jc w:val="center"/>
        </w:trPr>
        <w:tc>
          <w:tcPr>
            <w:tcW w:w="1008" w:type="dxa"/>
            <w:tcMar>
              <w:top w:w="80" w:type="dxa"/>
              <w:left w:w="80" w:type="dxa"/>
              <w:bottom w:w="80" w:type="dxa"/>
              <w:right w:w="80" w:type="dxa"/>
            </w:tcMar>
            <w:vAlign w:val="center"/>
          </w:tcPr>
          <w:p w14:paraId="54CD94E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RQ4</w:t>
            </w:r>
          </w:p>
        </w:tc>
        <w:tc>
          <w:tcPr>
            <w:tcW w:w="5328" w:type="dxa"/>
            <w:tcMar>
              <w:top w:w="80" w:type="dxa"/>
              <w:left w:w="80" w:type="dxa"/>
              <w:bottom w:w="80" w:type="dxa"/>
              <w:right w:w="80" w:type="dxa"/>
            </w:tcMar>
            <w:vAlign w:val="center"/>
          </w:tcPr>
          <w:p w14:paraId="6DD62C3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Tests whether action-year information can screen future nonreduction risk.</w:t>
            </w:r>
          </w:p>
        </w:tc>
        <w:tc>
          <w:tcPr>
            <w:tcW w:w="3024" w:type="dxa"/>
            <w:tcMar>
              <w:top w:w="80" w:type="dxa"/>
              <w:left w:w="80" w:type="dxa"/>
              <w:bottom w:w="80" w:type="dxa"/>
              <w:right w:w="80" w:type="dxa"/>
            </w:tcMar>
            <w:vAlign w:val="center"/>
          </w:tcPr>
          <w:p w14:paraId="4C6C4DE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Logistic regression (regularized/penalized)</w:t>
            </w:r>
          </w:p>
        </w:tc>
      </w:tr>
    </w:tbl>
    <w:p w14:paraId="0DB84AA8" w14:textId="77777777" w:rsidR="00313756" w:rsidRPr="002A617D" w:rsidRDefault="00313756" w:rsidP="002A617D">
      <w:pPr>
        <w:pStyle w:val="Heading1"/>
        <w:ind w:firstLine="0"/>
        <w:rPr>
          <w:rFonts w:cstheme="majorHAnsi"/>
          <w:szCs w:val="22"/>
        </w:rPr>
      </w:pPr>
      <w:r w:rsidRPr="002A617D">
        <w:rPr>
          <w:rFonts w:cstheme="majorHAnsi"/>
          <w:szCs w:val="22"/>
        </w:rPr>
        <w:t>Sample Size Calculation</w:t>
      </w:r>
    </w:p>
    <w:p w14:paraId="19BE6ABE" w14:textId="2431A6D6" w:rsidR="00C006A0" w:rsidRPr="002A617D" w:rsidRDefault="00000000" w:rsidP="002A617D">
      <w:pPr>
        <w:rPr>
          <w:rFonts w:asciiTheme="majorHAnsi" w:hAnsiTheme="majorHAnsi" w:cstheme="majorHAnsi"/>
        </w:rPr>
      </w:pPr>
      <w:r w:rsidRPr="002A617D">
        <w:rPr>
          <w:rFonts w:asciiTheme="majorHAnsi" w:hAnsiTheme="majorHAnsi" w:cstheme="majorHAnsi"/>
        </w:rPr>
        <w:t>The study will use a separate planning calculation for each research question and will adopt the largest minimum requirement. Table 2 presents only the decision inputs and results needed in the synopsis. Appendix B provides the full concepts, formulas, variable definitions, substitutions, rounding rules, assumptions, and diagnostic limitations. Moving these technical details to an appendix keeps the main text readable while preserving a complete audit trail, consistent with the synopsis page-count rule that excludes appendices.</w:t>
      </w:r>
    </w:p>
    <w:p w14:paraId="3911B5EB" w14:textId="77777777" w:rsidR="00C006A0" w:rsidRPr="002A617D" w:rsidRDefault="00C006A0" w:rsidP="002A617D">
      <w:pPr>
        <w:rPr>
          <w:rFonts w:asciiTheme="majorHAnsi" w:hAnsiTheme="majorHAnsi" w:cstheme="majorHAnsi"/>
        </w:rPr>
      </w:pPr>
    </w:p>
    <w:p w14:paraId="777CC95E"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lastRenderedPageBreak/>
        <w:t>Table 2 summarizes the sample-size method, planning parameters, and minimum eligible-record requirement for each research question.</w:t>
      </w:r>
    </w:p>
    <w:p w14:paraId="0946028E"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2</w:t>
      </w:r>
    </w:p>
    <w:p w14:paraId="5DDCA82C"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Minimum Sample-Size Requirements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343"/>
        <w:gridCol w:w="2236"/>
        <w:gridCol w:w="4221"/>
        <w:gridCol w:w="1560"/>
      </w:tblGrid>
      <w:tr w:rsidR="00C006A0" w:rsidRPr="002A617D" w14:paraId="4218CACD" w14:textId="77777777">
        <w:trPr>
          <w:tblHeader/>
          <w:jc w:val="center"/>
        </w:trPr>
        <w:tc>
          <w:tcPr>
            <w:tcW w:w="1440" w:type="dxa"/>
            <w:tcBorders>
              <w:bottom w:val="single" w:sz="8" w:space="0" w:color="000000"/>
            </w:tcBorders>
            <w:tcMar>
              <w:top w:w="80" w:type="dxa"/>
              <w:left w:w="80" w:type="dxa"/>
              <w:bottom w:w="80" w:type="dxa"/>
              <w:right w:w="80" w:type="dxa"/>
            </w:tcMar>
            <w:vAlign w:val="center"/>
          </w:tcPr>
          <w:p w14:paraId="752C8EBA"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Research question</w:t>
            </w:r>
          </w:p>
        </w:tc>
        <w:tc>
          <w:tcPr>
            <w:tcW w:w="2448" w:type="dxa"/>
            <w:tcBorders>
              <w:bottom w:val="single" w:sz="8" w:space="0" w:color="000000"/>
            </w:tcBorders>
            <w:tcMar>
              <w:top w:w="80" w:type="dxa"/>
              <w:left w:w="80" w:type="dxa"/>
              <w:bottom w:w="80" w:type="dxa"/>
              <w:right w:w="80" w:type="dxa"/>
            </w:tcMar>
            <w:vAlign w:val="center"/>
          </w:tcPr>
          <w:p w14:paraId="496C613E"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Sample-size planning method</w:t>
            </w:r>
          </w:p>
        </w:tc>
        <w:tc>
          <w:tcPr>
            <w:tcW w:w="4896" w:type="dxa"/>
            <w:tcBorders>
              <w:bottom w:val="single" w:sz="8" w:space="0" w:color="000000"/>
            </w:tcBorders>
            <w:tcMar>
              <w:top w:w="80" w:type="dxa"/>
              <w:left w:w="80" w:type="dxa"/>
              <w:bottom w:w="80" w:type="dxa"/>
              <w:right w:w="80" w:type="dxa"/>
            </w:tcMar>
            <w:vAlign w:val="center"/>
          </w:tcPr>
          <w:p w14:paraId="5DDB621C"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Assumed or preliminary parameter values</w:t>
            </w:r>
          </w:p>
        </w:tc>
        <w:tc>
          <w:tcPr>
            <w:tcW w:w="1584" w:type="dxa"/>
            <w:tcBorders>
              <w:bottom w:val="single" w:sz="8" w:space="0" w:color="000000"/>
            </w:tcBorders>
            <w:tcMar>
              <w:top w:w="80" w:type="dxa"/>
              <w:left w:w="80" w:type="dxa"/>
              <w:bottom w:w="80" w:type="dxa"/>
              <w:right w:w="80" w:type="dxa"/>
            </w:tcMar>
            <w:vAlign w:val="center"/>
          </w:tcPr>
          <w:p w14:paraId="444FBD2A"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Minimum eligible records required</w:t>
            </w:r>
          </w:p>
        </w:tc>
      </w:tr>
      <w:tr w:rsidR="00C006A0" w:rsidRPr="002A617D" w14:paraId="42179E57" w14:textId="77777777">
        <w:trPr>
          <w:jc w:val="center"/>
        </w:trPr>
        <w:tc>
          <w:tcPr>
            <w:tcW w:w="1440" w:type="dxa"/>
            <w:tcMar>
              <w:top w:w="80" w:type="dxa"/>
              <w:left w:w="80" w:type="dxa"/>
              <w:bottom w:w="80" w:type="dxa"/>
              <w:right w:w="80" w:type="dxa"/>
            </w:tcMar>
            <w:vAlign w:val="center"/>
          </w:tcPr>
          <w:p w14:paraId="4C28EC7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RQ1</w:t>
            </w:r>
          </w:p>
        </w:tc>
        <w:tc>
          <w:tcPr>
            <w:tcW w:w="2448" w:type="dxa"/>
            <w:tcMar>
              <w:top w:w="80" w:type="dxa"/>
              <w:left w:w="80" w:type="dxa"/>
              <w:bottom w:w="80" w:type="dxa"/>
              <w:right w:w="80" w:type="dxa"/>
            </w:tcMar>
            <w:vAlign w:val="center"/>
          </w:tcPr>
          <w:p w14:paraId="5903A05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95% confidence interval for a proportion</w:t>
            </w:r>
          </w:p>
        </w:tc>
        <w:tc>
          <w:tcPr>
            <w:tcW w:w="4896" w:type="dxa"/>
            <w:tcMar>
              <w:top w:w="80" w:type="dxa"/>
              <w:left w:w="80" w:type="dxa"/>
              <w:bottom w:w="80" w:type="dxa"/>
              <w:right w:w="80" w:type="dxa"/>
            </w:tcMar>
            <w:vAlign w:val="center"/>
          </w:tcPr>
          <w:p w14:paraId="7B2A012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 = .50 (conservative assumption); Z = 1.96 (95% CI); e = .03 (chosen precision)</w:t>
            </w:r>
          </w:p>
        </w:tc>
        <w:tc>
          <w:tcPr>
            <w:tcW w:w="1584" w:type="dxa"/>
            <w:tcMar>
              <w:top w:w="80" w:type="dxa"/>
              <w:left w:w="80" w:type="dxa"/>
              <w:bottom w:w="80" w:type="dxa"/>
              <w:right w:w="80" w:type="dxa"/>
            </w:tcMar>
            <w:vAlign w:val="center"/>
          </w:tcPr>
          <w:p w14:paraId="157B9BE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1,068</w:t>
            </w:r>
          </w:p>
        </w:tc>
      </w:tr>
      <w:tr w:rsidR="00C006A0" w:rsidRPr="002A617D" w14:paraId="4DDC9BBB" w14:textId="77777777">
        <w:trPr>
          <w:jc w:val="center"/>
        </w:trPr>
        <w:tc>
          <w:tcPr>
            <w:tcW w:w="1440" w:type="dxa"/>
            <w:tcMar>
              <w:top w:w="80" w:type="dxa"/>
              <w:left w:w="80" w:type="dxa"/>
              <w:bottom w:w="80" w:type="dxa"/>
              <w:right w:w="80" w:type="dxa"/>
            </w:tcMar>
            <w:vAlign w:val="center"/>
          </w:tcPr>
          <w:p w14:paraId="1F2251C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RQ2</w:t>
            </w:r>
          </w:p>
        </w:tc>
        <w:tc>
          <w:tcPr>
            <w:tcW w:w="2448" w:type="dxa"/>
            <w:tcMar>
              <w:top w:w="80" w:type="dxa"/>
              <w:left w:w="80" w:type="dxa"/>
              <w:bottom w:w="80" w:type="dxa"/>
              <w:right w:w="80" w:type="dxa"/>
            </w:tcMar>
            <w:vAlign w:val="center"/>
          </w:tcPr>
          <w:p w14:paraId="02A77DB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Power approximation for a binary association</w:t>
            </w:r>
          </w:p>
        </w:tc>
        <w:tc>
          <w:tcPr>
            <w:tcW w:w="4896" w:type="dxa"/>
            <w:tcMar>
              <w:top w:w="80" w:type="dxa"/>
              <w:left w:w="80" w:type="dxa"/>
              <w:bottom w:w="80" w:type="dxa"/>
              <w:right w:w="80" w:type="dxa"/>
            </w:tcMar>
            <w:vAlign w:val="center"/>
          </w:tcPr>
          <w:p w14:paraId="6E8F4B3E" w14:textId="77777777" w:rsidR="00C006A0" w:rsidRPr="002A617D" w:rsidRDefault="00FC0C83" w:rsidP="002A617D">
            <w:pPr>
              <w:ind w:firstLine="0"/>
              <w:rPr>
                <w:rFonts w:asciiTheme="majorHAnsi" w:hAnsiTheme="majorHAnsi" w:cstheme="majorHAnsi"/>
              </w:rPr>
            </w:pPr>
            <w:r w:rsidRPr="002A617D">
              <w:rPr>
                <w:rFonts w:asciiTheme="majorHAnsi" w:hAnsiTheme="majorHAnsi" w:cstheme="majorHAnsi"/>
              </w:rPr>
              <w:t>α = .05 and power = .80 (design choices); OR = 1.30 (planning effect); action prevalence = 4.86% (preliminary data)</w:t>
            </w:r>
          </w:p>
        </w:tc>
        <w:tc>
          <w:tcPr>
            <w:tcW w:w="1584" w:type="dxa"/>
            <w:tcMar>
              <w:top w:w="80" w:type="dxa"/>
              <w:left w:w="80" w:type="dxa"/>
              <w:bottom w:w="80" w:type="dxa"/>
              <w:right w:w="80" w:type="dxa"/>
            </w:tcMar>
            <w:vAlign w:val="center"/>
          </w:tcPr>
          <w:p w14:paraId="0A46815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10,789</w:t>
            </w:r>
          </w:p>
        </w:tc>
      </w:tr>
      <w:tr w:rsidR="00C006A0" w:rsidRPr="002A617D" w14:paraId="3BCDC677" w14:textId="77777777">
        <w:trPr>
          <w:jc w:val="center"/>
        </w:trPr>
        <w:tc>
          <w:tcPr>
            <w:tcW w:w="1440" w:type="dxa"/>
            <w:tcMar>
              <w:top w:w="80" w:type="dxa"/>
              <w:left w:w="80" w:type="dxa"/>
              <w:bottom w:w="80" w:type="dxa"/>
              <w:right w:w="80" w:type="dxa"/>
            </w:tcMar>
            <w:vAlign w:val="center"/>
          </w:tcPr>
          <w:p w14:paraId="234F267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RQ3</w:t>
            </w:r>
          </w:p>
        </w:tc>
        <w:tc>
          <w:tcPr>
            <w:tcW w:w="2448" w:type="dxa"/>
            <w:tcMar>
              <w:top w:w="80" w:type="dxa"/>
              <w:left w:w="80" w:type="dxa"/>
              <w:bottom w:w="80" w:type="dxa"/>
              <w:right w:w="80" w:type="dxa"/>
            </w:tcMar>
            <w:vAlign w:val="center"/>
          </w:tcPr>
          <w:p w14:paraId="2E8321F5" w14:textId="579BCDFC"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Two-proportion comparison</w:t>
            </w:r>
          </w:p>
        </w:tc>
        <w:tc>
          <w:tcPr>
            <w:tcW w:w="4896" w:type="dxa"/>
            <w:tcMar>
              <w:top w:w="80" w:type="dxa"/>
              <w:left w:w="80" w:type="dxa"/>
              <w:bottom w:w="80" w:type="dxa"/>
              <w:right w:w="80" w:type="dxa"/>
            </w:tcMar>
            <w:vAlign w:val="center"/>
          </w:tcPr>
          <w:p w14:paraId="77BA8A78" w14:textId="1EA02FD7"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Baseline reduction rate = .313; detectable difference = .10; α = .01 after conservative adjustment for five comparisons; power = .80</w:t>
            </w:r>
          </w:p>
        </w:tc>
        <w:tc>
          <w:tcPr>
            <w:tcW w:w="1584" w:type="dxa"/>
            <w:tcMar>
              <w:top w:w="80" w:type="dxa"/>
              <w:left w:w="80" w:type="dxa"/>
              <w:bottom w:w="80" w:type="dxa"/>
              <w:right w:w="80" w:type="dxa"/>
            </w:tcMar>
            <w:vAlign w:val="center"/>
          </w:tcPr>
          <w:p w14:paraId="4A5F0EF6" w14:textId="5C79E060"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Approximately 290 exposed records per action type</w:t>
            </w:r>
          </w:p>
        </w:tc>
      </w:tr>
      <w:tr w:rsidR="00C006A0" w:rsidRPr="002A617D" w14:paraId="58A8557D" w14:textId="77777777">
        <w:trPr>
          <w:jc w:val="center"/>
        </w:trPr>
        <w:tc>
          <w:tcPr>
            <w:tcW w:w="1440" w:type="dxa"/>
            <w:tcMar>
              <w:top w:w="80" w:type="dxa"/>
              <w:left w:w="80" w:type="dxa"/>
              <w:bottom w:w="80" w:type="dxa"/>
              <w:right w:w="80" w:type="dxa"/>
            </w:tcMar>
            <w:vAlign w:val="center"/>
          </w:tcPr>
          <w:p w14:paraId="6043879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RQ4</w:t>
            </w:r>
          </w:p>
        </w:tc>
        <w:tc>
          <w:tcPr>
            <w:tcW w:w="2448" w:type="dxa"/>
            <w:tcMar>
              <w:top w:w="80" w:type="dxa"/>
              <w:left w:w="80" w:type="dxa"/>
              <w:bottom w:w="80" w:type="dxa"/>
              <w:right w:w="80" w:type="dxa"/>
            </w:tcMar>
            <w:vAlign w:val="center"/>
          </w:tcPr>
          <w:p w14:paraId="19B4925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Prediction-model event requirement</w:t>
            </w:r>
          </w:p>
        </w:tc>
        <w:tc>
          <w:tcPr>
            <w:tcW w:w="4896" w:type="dxa"/>
            <w:tcMar>
              <w:top w:w="80" w:type="dxa"/>
              <w:left w:w="80" w:type="dxa"/>
              <w:bottom w:w="80" w:type="dxa"/>
              <w:right w:w="80" w:type="dxa"/>
            </w:tcMar>
            <w:vAlign w:val="center"/>
          </w:tcPr>
          <w:p w14:paraId="3F5E736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 parameters and 20 events/parameter (planning limits); event rate = 31.5% (preliminary data)</w:t>
            </w:r>
          </w:p>
        </w:tc>
        <w:tc>
          <w:tcPr>
            <w:tcW w:w="1584" w:type="dxa"/>
            <w:tcMar>
              <w:top w:w="80" w:type="dxa"/>
              <w:left w:w="80" w:type="dxa"/>
              <w:bottom w:w="80" w:type="dxa"/>
              <w:right w:w="80" w:type="dxa"/>
            </w:tcMar>
            <w:vAlign w:val="center"/>
          </w:tcPr>
          <w:p w14:paraId="257D72C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1,270</w:t>
            </w:r>
          </w:p>
        </w:tc>
      </w:tr>
    </w:tbl>
    <w:p w14:paraId="4F50FDF7" w14:textId="77777777" w:rsidR="00313756" w:rsidRPr="002A617D" w:rsidRDefault="00313756" w:rsidP="002A617D">
      <w:pPr>
        <w:rPr>
          <w:rFonts w:asciiTheme="majorHAnsi" w:hAnsiTheme="majorHAnsi" w:cstheme="majorHAnsi"/>
        </w:rPr>
      </w:pPr>
    </w:p>
    <w:p w14:paraId="4CE49485" w14:textId="76E7F38F" w:rsidR="00C006A0" w:rsidRPr="002A617D" w:rsidRDefault="00765918" w:rsidP="002A617D">
      <w:pPr>
        <w:rPr>
          <w:rFonts w:asciiTheme="majorHAnsi" w:hAnsiTheme="majorHAnsi" w:cstheme="majorHAnsi"/>
        </w:rPr>
      </w:pPr>
      <w:r w:rsidRPr="00765918">
        <w:rPr>
          <w:rFonts w:asciiTheme="majorHAnsi" w:hAnsiTheme="majorHAnsi" w:cstheme="majorHAnsi"/>
        </w:rPr>
        <w:t xml:space="preserve">RQ2 produces the largest overall minimum requirement of approximately 10,789 eligible development records. The development transitions contain 123,688 eligible records and therefore </w:t>
      </w:r>
      <w:r w:rsidRPr="00765918">
        <w:rPr>
          <w:rFonts w:asciiTheme="majorHAnsi" w:hAnsiTheme="majorHAnsi" w:cstheme="majorHAnsi"/>
        </w:rPr>
        <w:lastRenderedPageBreak/>
        <w:t xml:space="preserve">exceed the overall requirement. For RQ3, adequacy must also be checked within each action type because the action groups are uneven in size. </w:t>
      </w:r>
      <w:r w:rsidR="00A26932" w:rsidRPr="00A26932">
        <w:rPr>
          <w:rFonts w:asciiTheme="majorHAnsi" w:hAnsiTheme="majorHAnsi" w:cstheme="majorHAnsi"/>
        </w:rPr>
        <w:t>For RQ3, adequacy must also be checked within each action type because the action groups are uneven in size. The rarest action type contains approximately 245 development records, slightly below the planning target of approximately 290 exposed records. This comparison may have limited power to detect a 10-percentage-point difference and will therefore be treated as exploratory. The observed reduction-rate difference, relative risk, confidence interval, effect size, and adjusted p-value will still be reported</w:t>
      </w:r>
      <w:r w:rsidR="00000000" w:rsidRPr="002A617D">
        <w:rPr>
          <w:rFonts w:asciiTheme="majorHAnsi" w:hAnsiTheme="majorHAnsi" w:cstheme="majorHAnsi"/>
        </w:rPr>
        <w:t xml:space="preserve">. The preliminary analysis contains 123,688 eligible development records and 40,002 eligible </w:t>
      </w:r>
      <w:r w:rsidR="00313756" w:rsidRPr="002A617D">
        <w:rPr>
          <w:rFonts w:asciiTheme="majorHAnsi" w:hAnsiTheme="majorHAnsi" w:cstheme="majorHAnsi"/>
        </w:rPr>
        <w:t>holdout records for 2023 to 2024.</w:t>
      </w:r>
      <w:r w:rsidR="00000000" w:rsidRPr="002A617D">
        <w:rPr>
          <w:rFonts w:asciiTheme="majorHAnsi" w:hAnsiTheme="majorHAnsi" w:cstheme="majorHAnsi"/>
        </w:rPr>
        <w:t xml:space="preserve"> Therefore, the study will retain all eligible records rather than sample them. See Appendix B for the derivation of every value shown in Table 2.</w:t>
      </w:r>
    </w:p>
    <w:p w14:paraId="782292AC" w14:textId="77777777" w:rsidR="00C006A0" w:rsidRPr="002A617D" w:rsidRDefault="00000000" w:rsidP="002A617D">
      <w:pPr>
        <w:pStyle w:val="Heading1"/>
        <w:ind w:firstLine="0"/>
        <w:rPr>
          <w:rFonts w:cstheme="majorHAnsi"/>
          <w:szCs w:val="22"/>
        </w:rPr>
      </w:pPr>
      <w:r w:rsidRPr="002A617D">
        <w:rPr>
          <w:rFonts w:cstheme="majorHAnsi"/>
          <w:szCs w:val="22"/>
        </w:rPr>
        <w:t>Data Description</w:t>
      </w:r>
    </w:p>
    <w:p w14:paraId="6161C0F3"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The official sources are the EPA TRI Basic Plus Data Files webpage and the related field guides (EPA, 2025a, 2025b).</w:t>
      </w:r>
      <w:r w:rsidR="00485B07" w:rsidRPr="002A617D">
        <w:rPr>
          <w:rFonts w:asciiTheme="majorHAnsi" w:hAnsiTheme="majorHAnsi" w:cstheme="majorHAnsi"/>
        </w:rPr>
        <w:t xml:space="preserve"> Broader program context on source reduction and national release trends is available through EPA resources on pollution prevention and the annual TRI National Analysis (EPA, 2025c, 2025d).</w:t>
      </w:r>
      <w:r w:rsidRPr="002A617D">
        <w:rPr>
          <w:rFonts w:asciiTheme="majorHAnsi" w:hAnsiTheme="majorHAnsi" w:cstheme="majorHAnsi"/>
        </w:rPr>
        <w:t xml:space="preserve"> File 1A supplies release, chemical, facility, unit, and industry fields. File 2A supplies production or activity information and up to four reported Source Reduction Activity Codes. The two files will be joined within each reporting year using DOCUMENT CONTROL NUMBER after applying the Form R and manufacturing filters.</w:t>
      </w:r>
    </w:p>
    <w:p w14:paraId="7E341CD7" w14:textId="77777777" w:rsidR="00860885" w:rsidRPr="002A617D" w:rsidRDefault="00000000" w:rsidP="002A617D">
      <w:pPr>
        <w:rPr>
          <w:rFonts w:asciiTheme="majorHAnsi" w:hAnsiTheme="majorHAnsi" w:cstheme="majorHAnsi"/>
        </w:rPr>
      </w:pPr>
      <w:r w:rsidRPr="002A617D">
        <w:rPr>
          <w:rFonts w:asciiTheme="majorHAnsi" w:hAnsiTheme="majorHAnsi" w:cstheme="majorHAnsi"/>
        </w:rPr>
        <w:t xml:space="preserve">Per course requirements, this project provides open access to the complete code and data pipeline through a public GitHub repository: </w:t>
      </w:r>
      <w:r w:rsidRPr="002A617D">
        <w:rPr>
          <w:rFonts w:asciiTheme="majorHAnsi" w:hAnsiTheme="majorHAnsi" w:cstheme="majorHAnsi"/>
          <w:color w:val="0550AE"/>
        </w:rPr>
        <w:t>https://github.com/somndas3/qm640-tri-pollution-prevention-capstone</w:t>
      </w:r>
      <w:r w:rsidRPr="002A617D">
        <w:rPr>
          <w:rFonts w:asciiTheme="majorHAnsi" w:hAnsiTheme="majorHAnsi" w:cstheme="majorHAnsi"/>
        </w:rPr>
        <w:t>. The repository contains the README (problem statement and dataset source), a data dictionary and download instructions with a 200-row sample per reporting year, an exploratory-analysis notebook, a data-preparation script, and this synopsis. The repository folder-tree structure and a reconciliation of GitHub data counts with Table 3 are provided in Appendix D.</w:t>
      </w:r>
    </w:p>
    <w:p w14:paraId="304359E5"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lastRenderedPageBreak/>
        <w:t>The study will preserve the exact ZIP files and checksums used. Duplicate facility-chemical forms will be consolidated before consecutive years are matched. The detailed inclusion rules, field-level sources, code positions, formulas, numerator and denominator definitions, duplicate handling, and exclusion logic are documented in Appendix A. This keeps the main data section compact without leaving any table value undefined.</w:t>
      </w:r>
    </w:p>
    <w:p w14:paraId="22DC6E59" w14:textId="77777777" w:rsidR="00C006A0" w:rsidRPr="002A617D" w:rsidRDefault="00C006A0" w:rsidP="002A617D">
      <w:pPr>
        <w:rPr>
          <w:rFonts w:asciiTheme="majorHAnsi" w:hAnsiTheme="majorHAnsi" w:cstheme="majorHAnsi"/>
        </w:rPr>
      </w:pPr>
    </w:p>
    <w:p w14:paraId="2B9F4B8F" w14:textId="77777777" w:rsidR="00313756" w:rsidRPr="002A617D" w:rsidRDefault="00313756" w:rsidP="002A617D">
      <w:pPr>
        <w:rPr>
          <w:rFonts w:asciiTheme="majorHAnsi" w:hAnsiTheme="majorHAnsi" w:cstheme="majorHAnsi"/>
        </w:rPr>
      </w:pPr>
    </w:p>
    <w:p w14:paraId="5B8E7115" w14:textId="77777777" w:rsidR="00313756" w:rsidRPr="002A617D" w:rsidRDefault="00313756" w:rsidP="002A617D">
      <w:pPr>
        <w:rPr>
          <w:rFonts w:asciiTheme="majorHAnsi" w:hAnsiTheme="majorHAnsi" w:cstheme="majorHAnsi"/>
        </w:rPr>
      </w:pPr>
    </w:p>
    <w:p w14:paraId="2AEC8AB1" w14:textId="77777777" w:rsidR="00313756" w:rsidRPr="002A617D" w:rsidRDefault="00313756" w:rsidP="002A617D">
      <w:pPr>
        <w:rPr>
          <w:rFonts w:asciiTheme="majorHAnsi" w:hAnsiTheme="majorHAnsi" w:cstheme="majorHAnsi"/>
        </w:rPr>
      </w:pPr>
    </w:p>
    <w:p w14:paraId="1774DEB8" w14:textId="77777777" w:rsidR="00313756" w:rsidRPr="002A617D" w:rsidRDefault="00313756" w:rsidP="002A617D">
      <w:pPr>
        <w:rPr>
          <w:rFonts w:asciiTheme="majorHAnsi" w:hAnsiTheme="majorHAnsi" w:cstheme="majorHAnsi"/>
        </w:rPr>
      </w:pPr>
    </w:p>
    <w:p w14:paraId="7D822318"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3 presents the preliminary data-preparation counts for each TRI reporting year.</w:t>
      </w:r>
    </w:p>
    <w:p w14:paraId="04895CF6"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3</w:t>
      </w:r>
    </w:p>
    <w:p w14:paraId="24C00BFB"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33"/>
        <w:gridCol w:w="2932"/>
        <w:gridCol w:w="2669"/>
        <w:gridCol w:w="2626"/>
      </w:tblGrid>
      <w:tr w:rsidR="00C006A0" w:rsidRPr="002A617D" w14:paraId="228EDDF8" w14:textId="77777777">
        <w:trPr>
          <w:tblHeader/>
          <w:jc w:val="center"/>
        </w:trPr>
        <w:tc>
          <w:tcPr>
            <w:tcW w:w="1152" w:type="dxa"/>
            <w:tcBorders>
              <w:bottom w:val="single" w:sz="8" w:space="0" w:color="000000"/>
            </w:tcBorders>
            <w:tcMar>
              <w:top w:w="80" w:type="dxa"/>
              <w:left w:w="80" w:type="dxa"/>
              <w:bottom w:w="80" w:type="dxa"/>
              <w:right w:w="80" w:type="dxa"/>
            </w:tcMar>
            <w:vAlign w:val="center"/>
          </w:tcPr>
          <w:p w14:paraId="76986204"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TRI reporting year</w:t>
            </w:r>
          </w:p>
        </w:tc>
        <w:tc>
          <w:tcPr>
            <w:tcW w:w="3168" w:type="dxa"/>
            <w:tcBorders>
              <w:bottom w:val="single" w:sz="8" w:space="0" w:color="000000"/>
            </w:tcBorders>
            <w:tcMar>
              <w:top w:w="80" w:type="dxa"/>
              <w:left w:w="80" w:type="dxa"/>
              <w:bottom w:w="80" w:type="dxa"/>
              <w:right w:w="80" w:type="dxa"/>
            </w:tcMar>
            <w:vAlign w:val="center"/>
          </w:tcPr>
          <w:p w14:paraId="4EF51862"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Form R manufacturing records before consolidation</w:t>
            </w:r>
          </w:p>
        </w:tc>
        <w:tc>
          <w:tcPr>
            <w:tcW w:w="2880" w:type="dxa"/>
            <w:tcBorders>
              <w:bottom w:val="single" w:sz="8" w:space="0" w:color="000000"/>
            </w:tcBorders>
            <w:tcMar>
              <w:top w:w="80" w:type="dxa"/>
              <w:left w:w="80" w:type="dxa"/>
              <w:bottom w:w="80" w:type="dxa"/>
              <w:right w:w="80" w:type="dxa"/>
            </w:tcMar>
            <w:vAlign w:val="center"/>
          </w:tcPr>
          <w:p w14:paraId="2BB534DB"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Unique facility-chemical-year records after consolidation</w:t>
            </w:r>
          </w:p>
        </w:tc>
        <w:tc>
          <w:tcPr>
            <w:tcW w:w="2880" w:type="dxa"/>
            <w:tcBorders>
              <w:bottom w:val="single" w:sz="8" w:space="0" w:color="000000"/>
            </w:tcBorders>
            <w:tcMar>
              <w:top w:w="80" w:type="dxa"/>
              <w:left w:w="80" w:type="dxa"/>
              <w:bottom w:w="80" w:type="dxa"/>
              <w:right w:w="80" w:type="dxa"/>
            </w:tcMar>
            <w:vAlign w:val="center"/>
          </w:tcPr>
          <w:p w14:paraId="61B97373"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Records reporting at least one Source Reduction Activity Code (%)</w:t>
            </w:r>
          </w:p>
        </w:tc>
      </w:tr>
      <w:tr w:rsidR="00C006A0" w:rsidRPr="002A617D" w14:paraId="6E36EF97" w14:textId="77777777">
        <w:trPr>
          <w:jc w:val="center"/>
        </w:trPr>
        <w:tc>
          <w:tcPr>
            <w:tcW w:w="1152" w:type="dxa"/>
            <w:tcMar>
              <w:top w:w="80" w:type="dxa"/>
              <w:left w:w="80" w:type="dxa"/>
              <w:bottom w:w="80" w:type="dxa"/>
              <w:right w:w="80" w:type="dxa"/>
            </w:tcMar>
            <w:vAlign w:val="center"/>
          </w:tcPr>
          <w:p w14:paraId="5DE628B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2020</w:t>
            </w:r>
          </w:p>
        </w:tc>
        <w:tc>
          <w:tcPr>
            <w:tcW w:w="3168" w:type="dxa"/>
            <w:tcMar>
              <w:top w:w="80" w:type="dxa"/>
              <w:left w:w="80" w:type="dxa"/>
              <w:bottom w:w="80" w:type="dxa"/>
              <w:right w:w="80" w:type="dxa"/>
            </w:tcMar>
            <w:vAlign w:val="center"/>
          </w:tcPr>
          <w:p w14:paraId="61B5DCF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57,004</w:t>
            </w:r>
          </w:p>
        </w:tc>
        <w:tc>
          <w:tcPr>
            <w:tcW w:w="2880" w:type="dxa"/>
            <w:tcMar>
              <w:top w:w="80" w:type="dxa"/>
              <w:left w:w="80" w:type="dxa"/>
              <w:bottom w:w="80" w:type="dxa"/>
              <w:right w:w="80" w:type="dxa"/>
            </w:tcMar>
            <w:vAlign w:val="center"/>
          </w:tcPr>
          <w:p w14:paraId="18EA9E5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56,462</w:t>
            </w:r>
          </w:p>
        </w:tc>
        <w:tc>
          <w:tcPr>
            <w:tcW w:w="2880" w:type="dxa"/>
            <w:tcMar>
              <w:top w:w="80" w:type="dxa"/>
              <w:left w:w="80" w:type="dxa"/>
              <w:bottom w:w="80" w:type="dxa"/>
              <w:right w:w="80" w:type="dxa"/>
            </w:tcMar>
            <w:vAlign w:val="center"/>
          </w:tcPr>
          <w:p w14:paraId="7BC9225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4.08%</w:t>
            </w:r>
          </w:p>
        </w:tc>
      </w:tr>
      <w:tr w:rsidR="00C006A0" w:rsidRPr="002A617D" w14:paraId="595E53F4" w14:textId="77777777">
        <w:trPr>
          <w:jc w:val="center"/>
        </w:trPr>
        <w:tc>
          <w:tcPr>
            <w:tcW w:w="1152" w:type="dxa"/>
            <w:tcMar>
              <w:top w:w="80" w:type="dxa"/>
              <w:left w:w="80" w:type="dxa"/>
              <w:bottom w:w="80" w:type="dxa"/>
              <w:right w:w="80" w:type="dxa"/>
            </w:tcMar>
            <w:vAlign w:val="center"/>
          </w:tcPr>
          <w:p w14:paraId="4C92767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2021</w:t>
            </w:r>
          </w:p>
        </w:tc>
        <w:tc>
          <w:tcPr>
            <w:tcW w:w="3168" w:type="dxa"/>
            <w:tcMar>
              <w:top w:w="80" w:type="dxa"/>
              <w:left w:w="80" w:type="dxa"/>
              <w:bottom w:w="80" w:type="dxa"/>
              <w:right w:w="80" w:type="dxa"/>
            </w:tcMar>
            <w:vAlign w:val="center"/>
          </w:tcPr>
          <w:p w14:paraId="29D7310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56,750</w:t>
            </w:r>
          </w:p>
        </w:tc>
        <w:tc>
          <w:tcPr>
            <w:tcW w:w="2880" w:type="dxa"/>
            <w:tcMar>
              <w:top w:w="80" w:type="dxa"/>
              <w:left w:w="80" w:type="dxa"/>
              <w:bottom w:w="80" w:type="dxa"/>
              <w:right w:w="80" w:type="dxa"/>
            </w:tcMar>
            <w:vAlign w:val="center"/>
          </w:tcPr>
          <w:p w14:paraId="3F81DC0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56,219</w:t>
            </w:r>
          </w:p>
        </w:tc>
        <w:tc>
          <w:tcPr>
            <w:tcW w:w="2880" w:type="dxa"/>
            <w:tcMar>
              <w:top w:w="80" w:type="dxa"/>
              <w:left w:w="80" w:type="dxa"/>
              <w:bottom w:w="80" w:type="dxa"/>
              <w:right w:w="80" w:type="dxa"/>
            </w:tcMar>
            <w:vAlign w:val="center"/>
          </w:tcPr>
          <w:p w14:paraId="73E2A84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5.61%</w:t>
            </w:r>
          </w:p>
        </w:tc>
      </w:tr>
      <w:tr w:rsidR="00C006A0" w:rsidRPr="002A617D" w14:paraId="79455D02" w14:textId="77777777">
        <w:trPr>
          <w:jc w:val="center"/>
        </w:trPr>
        <w:tc>
          <w:tcPr>
            <w:tcW w:w="1152" w:type="dxa"/>
            <w:tcMar>
              <w:top w:w="80" w:type="dxa"/>
              <w:left w:w="80" w:type="dxa"/>
              <w:bottom w:w="80" w:type="dxa"/>
              <w:right w:w="80" w:type="dxa"/>
            </w:tcMar>
            <w:vAlign w:val="center"/>
          </w:tcPr>
          <w:p w14:paraId="12C79F4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2022</w:t>
            </w:r>
          </w:p>
        </w:tc>
        <w:tc>
          <w:tcPr>
            <w:tcW w:w="3168" w:type="dxa"/>
            <w:tcMar>
              <w:top w:w="80" w:type="dxa"/>
              <w:left w:w="80" w:type="dxa"/>
              <w:bottom w:w="80" w:type="dxa"/>
              <w:right w:w="80" w:type="dxa"/>
            </w:tcMar>
            <w:vAlign w:val="center"/>
          </w:tcPr>
          <w:p w14:paraId="0F35D59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56,725</w:t>
            </w:r>
          </w:p>
        </w:tc>
        <w:tc>
          <w:tcPr>
            <w:tcW w:w="2880" w:type="dxa"/>
            <w:tcMar>
              <w:top w:w="80" w:type="dxa"/>
              <w:left w:w="80" w:type="dxa"/>
              <w:bottom w:w="80" w:type="dxa"/>
              <w:right w:w="80" w:type="dxa"/>
            </w:tcMar>
            <w:vAlign w:val="center"/>
          </w:tcPr>
          <w:p w14:paraId="1F4EB15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56,155</w:t>
            </w:r>
          </w:p>
        </w:tc>
        <w:tc>
          <w:tcPr>
            <w:tcW w:w="2880" w:type="dxa"/>
            <w:tcMar>
              <w:top w:w="80" w:type="dxa"/>
              <w:left w:w="80" w:type="dxa"/>
              <w:bottom w:w="80" w:type="dxa"/>
              <w:right w:w="80" w:type="dxa"/>
            </w:tcMar>
            <w:vAlign w:val="center"/>
          </w:tcPr>
          <w:p w14:paraId="28F5D05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5.88%</w:t>
            </w:r>
          </w:p>
        </w:tc>
      </w:tr>
      <w:tr w:rsidR="00C006A0" w:rsidRPr="002A617D" w14:paraId="52546781" w14:textId="77777777">
        <w:trPr>
          <w:jc w:val="center"/>
        </w:trPr>
        <w:tc>
          <w:tcPr>
            <w:tcW w:w="1152" w:type="dxa"/>
            <w:tcMar>
              <w:top w:w="80" w:type="dxa"/>
              <w:left w:w="80" w:type="dxa"/>
              <w:bottom w:w="80" w:type="dxa"/>
              <w:right w:w="80" w:type="dxa"/>
            </w:tcMar>
            <w:vAlign w:val="center"/>
          </w:tcPr>
          <w:p w14:paraId="750E0EA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2023</w:t>
            </w:r>
          </w:p>
        </w:tc>
        <w:tc>
          <w:tcPr>
            <w:tcW w:w="3168" w:type="dxa"/>
            <w:tcMar>
              <w:top w:w="80" w:type="dxa"/>
              <w:left w:w="80" w:type="dxa"/>
              <w:bottom w:w="80" w:type="dxa"/>
              <w:right w:w="80" w:type="dxa"/>
            </w:tcMar>
            <w:vAlign w:val="center"/>
          </w:tcPr>
          <w:p w14:paraId="375549D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55,882</w:t>
            </w:r>
          </w:p>
        </w:tc>
        <w:tc>
          <w:tcPr>
            <w:tcW w:w="2880" w:type="dxa"/>
            <w:tcMar>
              <w:top w:w="80" w:type="dxa"/>
              <w:left w:w="80" w:type="dxa"/>
              <w:bottom w:w="80" w:type="dxa"/>
              <w:right w:w="80" w:type="dxa"/>
            </w:tcMar>
            <w:vAlign w:val="center"/>
          </w:tcPr>
          <w:p w14:paraId="5DFE1B2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55,349</w:t>
            </w:r>
          </w:p>
        </w:tc>
        <w:tc>
          <w:tcPr>
            <w:tcW w:w="2880" w:type="dxa"/>
            <w:tcMar>
              <w:top w:w="80" w:type="dxa"/>
              <w:left w:w="80" w:type="dxa"/>
              <w:bottom w:w="80" w:type="dxa"/>
              <w:right w:w="80" w:type="dxa"/>
            </w:tcMar>
            <w:vAlign w:val="center"/>
          </w:tcPr>
          <w:p w14:paraId="7864E93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5.95%</w:t>
            </w:r>
          </w:p>
        </w:tc>
      </w:tr>
      <w:tr w:rsidR="00C006A0" w:rsidRPr="002A617D" w14:paraId="00E02FAA" w14:textId="77777777">
        <w:trPr>
          <w:jc w:val="center"/>
        </w:trPr>
        <w:tc>
          <w:tcPr>
            <w:tcW w:w="1152" w:type="dxa"/>
            <w:tcMar>
              <w:top w:w="80" w:type="dxa"/>
              <w:left w:w="80" w:type="dxa"/>
              <w:bottom w:w="80" w:type="dxa"/>
              <w:right w:w="80" w:type="dxa"/>
            </w:tcMar>
            <w:vAlign w:val="center"/>
          </w:tcPr>
          <w:p w14:paraId="0B13AF6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2024</w:t>
            </w:r>
          </w:p>
        </w:tc>
        <w:tc>
          <w:tcPr>
            <w:tcW w:w="3168" w:type="dxa"/>
            <w:tcMar>
              <w:top w:w="80" w:type="dxa"/>
              <w:left w:w="80" w:type="dxa"/>
              <w:bottom w:w="80" w:type="dxa"/>
              <w:right w:w="80" w:type="dxa"/>
            </w:tcMar>
            <w:vAlign w:val="center"/>
          </w:tcPr>
          <w:p w14:paraId="0D3DFA9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54,595</w:t>
            </w:r>
          </w:p>
        </w:tc>
        <w:tc>
          <w:tcPr>
            <w:tcW w:w="2880" w:type="dxa"/>
            <w:tcMar>
              <w:top w:w="80" w:type="dxa"/>
              <w:left w:w="80" w:type="dxa"/>
              <w:bottom w:w="80" w:type="dxa"/>
              <w:right w:w="80" w:type="dxa"/>
            </w:tcMar>
            <w:vAlign w:val="center"/>
          </w:tcPr>
          <w:p w14:paraId="1DC2137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54,115</w:t>
            </w:r>
          </w:p>
        </w:tc>
        <w:tc>
          <w:tcPr>
            <w:tcW w:w="2880" w:type="dxa"/>
            <w:tcMar>
              <w:top w:w="80" w:type="dxa"/>
              <w:left w:w="80" w:type="dxa"/>
              <w:bottom w:w="80" w:type="dxa"/>
              <w:right w:w="80" w:type="dxa"/>
            </w:tcMar>
            <w:vAlign w:val="center"/>
          </w:tcPr>
          <w:p w14:paraId="3972B6E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5.58%</w:t>
            </w:r>
          </w:p>
        </w:tc>
      </w:tr>
    </w:tbl>
    <w:p w14:paraId="35E3D26E" w14:textId="77777777" w:rsidR="00313756" w:rsidRPr="002A617D" w:rsidRDefault="00313756" w:rsidP="002A617D">
      <w:pPr>
        <w:rPr>
          <w:rFonts w:asciiTheme="majorHAnsi" w:hAnsiTheme="majorHAnsi" w:cstheme="majorHAnsi"/>
          <w:i/>
        </w:rPr>
      </w:pPr>
    </w:p>
    <w:p w14:paraId="33913B84" w14:textId="57211951" w:rsidR="00C006A0" w:rsidRPr="002A617D" w:rsidRDefault="00000000" w:rsidP="002A617D">
      <w:pPr>
        <w:rPr>
          <w:rFonts w:asciiTheme="majorHAnsi" w:hAnsiTheme="majorHAnsi" w:cstheme="majorHAnsi"/>
        </w:rPr>
      </w:pPr>
      <w:r w:rsidRPr="002A617D">
        <w:rPr>
          <w:rFonts w:asciiTheme="majorHAnsi" w:hAnsiTheme="majorHAnsi" w:cstheme="majorHAnsi"/>
          <w:i/>
        </w:rPr>
        <w:lastRenderedPageBreak/>
        <w:t xml:space="preserve">Note. Counts and rates are preliminary. The reported-action percentage equals the number of consolidated facility-chemical-year records containing at least one valid Source Reduction Activity </w:t>
      </w:r>
      <w:r w:rsidR="00313756" w:rsidRPr="002A617D">
        <w:rPr>
          <w:rFonts w:asciiTheme="majorHAnsi" w:hAnsiTheme="majorHAnsi" w:cstheme="majorHAnsi"/>
          <w:i/>
        </w:rPr>
        <w:t>Code, divided by all consolidated facility-chemical-year records in that year.</w:t>
      </w:r>
      <w:r w:rsidRPr="002A617D">
        <w:rPr>
          <w:rFonts w:asciiTheme="majorHAnsi" w:hAnsiTheme="majorHAnsi" w:cstheme="majorHAnsi"/>
          <w:i/>
        </w:rPr>
        <w:t xml:space="preserve"> The displayed rounded rates imply approximately 2,304 of 56,462 records in 2020, 3,154 of 56,219 in 2021, 3,302 of 56,155 in 2022, 3,293 of 55,349 in 2023, and 3,020 of 54,115 in 2024. The final validation script will report exact numerators before submission. See Appendix A, Tables A1 and A2.</w:t>
      </w:r>
    </w:p>
    <w:p w14:paraId="65A4F79E" w14:textId="77777777" w:rsidR="00C006A0" w:rsidRPr="002A617D" w:rsidRDefault="00C006A0" w:rsidP="002A617D">
      <w:pPr>
        <w:rPr>
          <w:rFonts w:asciiTheme="majorHAnsi" w:hAnsiTheme="majorHAnsi" w:cstheme="majorHAnsi"/>
        </w:rPr>
      </w:pPr>
    </w:p>
    <w:p w14:paraId="4A1CBC90" w14:textId="77777777" w:rsidR="00313756" w:rsidRPr="002A617D" w:rsidRDefault="00313756" w:rsidP="002A617D">
      <w:pPr>
        <w:rPr>
          <w:rFonts w:asciiTheme="majorHAnsi" w:hAnsiTheme="majorHAnsi" w:cstheme="majorHAnsi"/>
        </w:rPr>
      </w:pPr>
    </w:p>
    <w:p w14:paraId="3C3ED31E" w14:textId="77777777" w:rsidR="00313756" w:rsidRPr="002A617D" w:rsidRDefault="00313756" w:rsidP="002A617D">
      <w:pPr>
        <w:rPr>
          <w:rFonts w:asciiTheme="majorHAnsi" w:hAnsiTheme="majorHAnsi" w:cstheme="majorHAnsi"/>
        </w:rPr>
      </w:pPr>
    </w:p>
    <w:p w14:paraId="217DF1DE" w14:textId="77777777" w:rsidR="00313756" w:rsidRPr="002A617D" w:rsidRDefault="00313756" w:rsidP="002A617D">
      <w:pPr>
        <w:rPr>
          <w:rFonts w:asciiTheme="majorHAnsi" w:hAnsiTheme="majorHAnsi" w:cstheme="majorHAnsi"/>
        </w:rPr>
      </w:pPr>
    </w:p>
    <w:p w14:paraId="04BC4460" w14:textId="51360C2D" w:rsidR="00C006A0" w:rsidRPr="002A617D" w:rsidRDefault="00000000" w:rsidP="002A617D">
      <w:pPr>
        <w:rPr>
          <w:rFonts w:asciiTheme="majorHAnsi" w:hAnsiTheme="majorHAnsi" w:cstheme="majorHAnsi"/>
        </w:rPr>
      </w:pPr>
      <w:r w:rsidRPr="002A617D">
        <w:rPr>
          <w:rFonts w:asciiTheme="majorHAnsi" w:hAnsiTheme="majorHAnsi" w:cstheme="majorHAnsi"/>
        </w:rPr>
        <w:t>Table 4 presents the preliminary counts produced by matching facility-chemical records across consecutive reporting years.</w:t>
      </w:r>
    </w:p>
    <w:p w14:paraId="4597DC1C"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4</w:t>
      </w:r>
    </w:p>
    <w:p w14:paraId="6DE3F1B7"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Preliminary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699"/>
        <w:gridCol w:w="1911"/>
        <w:gridCol w:w="1913"/>
        <w:gridCol w:w="2024"/>
        <w:gridCol w:w="1813"/>
      </w:tblGrid>
      <w:tr w:rsidR="00C006A0" w:rsidRPr="002A617D" w14:paraId="089A524E" w14:textId="77777777">
        <w:trPr>
          <w:tblHeader/>
          <w:jc w:val="center"/>
        </w:trPr>
        <w:tc>
          <w:tcPr>
            <w:tcW w:w="1872" w:type="dxa"/>
            <w:tcBorders>
              <w:bottom w:val="single" w:sz="8" w:space="0" w:color="000000"/>
            </w:tcBorders>
            <w:tcMar>
              <w:top w:w="80" w:type="dxa"/>
              <w:left w:w="80" w:type="dxa"/>
              <w:bottom w:w="80" w:type="dxa"/>
              <w:right w:w="80" w:type="dxa"/>
            </w:tcMar>
            <w:vAlign w:val="center"/>
          </w:tcPr>
          <w:p w14:paraId="5CBCE7A0"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Action-year to outcome-year transition</w:t>
            </w:r>
          </w:p>
        </w:tc>
        <w:tc>
          <w:tcPr>
            <w:tcW w:w="2160" w:type="dxa"/>
            <w:tcBorders>
              <w:bottom w:val="single" w:sz="8" w:space="0" w:color="000000"/>
            </w:tcBorders>
            <w:tcMar>
              <w:top w:w="80" w:type="dxa"/>
              <w:left w:w="80" w:type="dxa"/>
              <w:bottom w:w="80" w:type="dxa"/>
              <w:right w:w="80" w:type="dxa"/>
            </w:tcMar>
            <w:vAlign w:val="center"/>
          </w:tcPr>
          <w:p w14:paraId="560EBF90"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Facility-chemical records present in both years</w:t>
            </w:r>
          </w:p>
        </w:tc>
        <w:tc>
          <w:tcPr>
            <w:tcW w:w="2160" w:type="dxa"/>
            <w:tcBorders>
              <w:bottom w:val="single" w:sz="8" w:space="0" w:color="000000"/>
            </w:tcBorders>
            <w:tcMar>
              <w:top w:w="80" w:type="dxa"/>
              <w:left w:w="80" w:type="dxa"/>
              <w:bottom w:w="80" w:type="dxa"/>
              <w:right w:w="80" w:type="dxa"/>
            </w:tcMar>
            <w:vAlign w:val="center"/>
          </w:tcPr>
          <w:p w14:paraId="0ED7DA5F"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Matched records with current-year release equal to zero</w:t>
            </w:r>
          </w:p>
        </w:tc>
        <w:tc>
          <w:tcPr>
            <w:tcW w:w="2304" w:type="dxa"/>
            <w:tcBorders>
              <w:bottom w:val="single" w:sz="8" w:space="0" w:color="000000"/>
            </w:tcBorders>
            <w:tcMar>
              <w:top w:w="80" w:type="dxa"/>
              <w:left w:w="80" w:type="dxa"/>
              <w:bottom w:w="80" w:type="dxa"/>
              <w:right w:w="80" w:type="dxa"/>
            </w:tcMar>
            <w:vAlign w:val="center"/>
          </w:tcPr>
          <w:p w14:paraId="09E126F0"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Eligible matched records with current-year release greater than zero</w:t>
            </w:r>
          </w:p>
        </w:tc>
        <w:tc>
          <w:tcPr>
            <w:tcW w:w="2016" w:type="dxa"/>
            <w:tcBorders>
              <w:bottom w:val="single" w:sz="8" w:space="0" w:color="000000"/>
            </w:tcBorders>
            <w:tcMar>
              <w:top w:w="80" w:type="dxa"/>
              <w:left w:w="80" w:type="dxa"/>
              <w:bottom w:w="80" w:type="dxa"/>
              <w:right w:w="80" w:type="dxa"/>
            </w:tcMar>
            <w:vAlign w:val="center"/>
          </w:tcPr>
          <w:p w14:paraId="1D9F700D"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Eligible records achieving at least a 10% next-year reduction (%)</w:t>
            </w:r>
          </w:p>
        </w:tc>
      </w:tr>
      <w:tr w:rsidR="00C006A0" w:rsidRPr="002A617D" w14:paraId="5536DB31" w14:textId="77777777">
        <w:trPr>
          <w:jc w:val="center"/>
        </w:trPr>
        <w:tc>
          <w:tcPr>
            <w:tcW w:w="1872" w:type="dxa"/>
            <w:tcMar>
              <w:top w:w="80" w:type="dxa"/>
              <w:left w:w="80" w:type="dxa"/>
              <w:bottom w:w="80" w:type="dxa"/>
              <w:right w:w="80" w:type="dxa"/>
            </w:tcMar>
            <w:vAlign w:val="center"/>
          </w:tcPr>
          <w:p w14:paraId="23543AE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2020 to 2021</w:t>
            </w:r>
          </w:p>
        </w:tc>
        <w:tc>
          <w:tcPr>
            <w:tcW w:w="2160" w:type="dxa"/>
            <w:tcMar>
              <w:top w:w="80" w:type="dxa"/>
              <w:left w:w="80" w:type="dxa"/>
              <w:bottom w:w="80" w:type="dxa"/>
              <w:right w:w="80" w:type="dxa"/>
            </w:tcMar>
            <w:vAlign w:val="center"/>
          </w:tcPr>
          <w:p w14:paraId="71655F9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51,907</w:t>
            </w:r>
          </w:p>
        </w:tc>
        <w:tc>
          <w:tcPr>
            <w:tcW w:w="2160" w:type="dxa"/>
            <w:tcMar>
              <w:top w:w="80" w:type="dxa"/>
              <w:left w:w="80" w:type="dxa"/>
              <w:bottom w:w="80" w:type="dxa"/>
              <w:right w:w="80" w:type="dxa"/>
            </w:tcMar>
            <w:vAlign w:val="center"/>
          </w:tcPr>
          <w:p w14:paraId="5911780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10,579</w:t>
            </w:r>
          </w:p>
        </w:tc>
        <w:tc>
          <w:tcPr>
            <w:tcW w:w="2304" w:type="dxa"/>
            <w:tcMar>
              <w:top w:w="80" w:type="dxa"/>
              <w:left w:w="80" w:type="dxa"/>
              <w:bottom w:w="80" w:type="dxa"/>
              <w:right w:w="80" w:type="dxa"/>
            </w:tcMar>
            <w:vAlign w:val="center"/>
          </w:tcPr>
          <w:p w14:paraId="0E37742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41,328</w:t>
            </w:r>
          </w:p>
        </w:tc>
        <w:tc>
          <w:tcPr>
            <w:tcW w:w="2016" w:type="dxa"/>
            <w:tcMar>
              <w:top w:w="80" w:type="dxa"/>
              <w:left w:w="80" w:type="dxa"/>
              <w:bottom w:w="80" w:type="dxa"/>
              <w:right w:w="80" w:type="dxa"/>
            </w:tcMar>
            <w:vAlign w:val="center"/>
          </w:tcPr>
          <w:p w14:paraId="006F9F1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27.52%</w:t>
            </w:r>
          </w:p>
        </w:tc>
      </w:tr>
      <w:tr w:rsidR="00C006A0" w:rsidRPr="002A617D" w14:paraId="436BB035" w14:textId="77777777">
        <w:trPr>
          <w:jc w:val="center"/>
        </w:trPr>
        <w:tc>
          <w:tcPr>
            <w:tcW w:w="1872" w:type="dxa"/>
            <w:tcMar>
              <w:top w:w="80" w:type="dxa"/>
              <w:left w:w="80" w:type="dxa"/>
              <w:bottom w:w="80" w:type="dxa"/>
              <w:right w:w="80" w:type="dxa"/>
            </w:tcMar>
            <w:vAlign w:val="center"/>
          </w:tcPr>
          <w:p w14:paraId="3483DC9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2021 to 2022</w:t>
            </w:r>
          </w:p>
        </w:tc>
        <w:tc>
          <w:tcPr>
            <w:tcW w:w="2160" w:type="dxa"/>
            <w:tcMar>
              <w:top w:w="80" w:type="dxa"/>
              <w:left w:w="80" w:type="dxa"/>
              <w:bottom w:w="80" w:type="dxa"/>
              <w:right w:w="80" w:type="dxa"/>
            </w:tcMar>
            <w:vAlign w:val="center"/>
          </w:tcPr>
          <w:p w14:paraId="41B2607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51,962</w:t>
            </w:r>
          </w:p>
        </w:tc>
        <w:tc>
          <w:tcPr>
            <w:tcW w:w="2160" w:type="dxa"/>
            <w:tcMar>
              <w:top w:w="80" w:type="dxa"/>
              <w:left w:w="80" w:type="dxa"/>
              <w:bottom w:w="80" w:type="dxa"/>
              <w:right w:w="80" w:type="dxa"/>
            </w:tcMar>
            <w:vAlign w:val="center"/>
          </w:tcPr>
          <w:p w14:paraId="732BF71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10,563</w:t>
            </w:r>
          </w:p>
        </w:tc>
        <w:tc>
          <w:tcPr>
            <w:tcW w:w="2304" w:type="dxa"/>
            <w:tcMar>
              <w:top w:w="80" w:type="dxa"/>
              <w:left w:w="80" w:type="dxa"/>
              <w:bottom w:w="80" w:type="dxa"/>
              <w:right w:w="80" w:type="dxa"/>
            </w:tcMar>
            <w:vAlign w:val="center"/>
          </w:tcPr>
          <w:p w14:paraId="78B243B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41,399</w:t>
            </w:r>
          </w:p>
        </w:tc>
        <w:tc>
          <w:tcPr>
            <w:tcW w:w="2016" w:type="dxa"/>
            <w:tcMar>
              <w:top w:w="80" w:type="dxa"/>
              <w:left w:w="80" w:type="dxa"/>
              <w:bottom w:w="80" w:type="dxa"/>
              <w:right w:w="80" w:type="dxa"/>
            </w:tcMar>
            <w:vAlign w:val="center"/>
          </w:tcPr>
          <w:p w14:paraId="69DC4C6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31.11%</w:t>
            </w:r>
          </w:p>
        </w:tc>
      </w:tr>
      <w:tr w:rsidR="00C006A0" w:rsidRPr="002A617D" w14:paraId="39889E56" w14:textId="77777777">
        <w:trPr>
          <w:jc w:val="center"/>
        </w:trPr>
        <w:tc>
          <w:tcPr>
            <w:tcW w:w="1872" w:type="dxa"/>
            <w:tcMar>
              <w:top w:w="80" w:type="dxa"/>
              <w:left w:w="80" w:type="dxa"/>
              <w:bottom w:w="80" w:type="dxa"/>
              <w:right w:w="80" w:type="dxa"/>
            </w:tcMar>
            <w:vAlign w:val="center"/>
          </w:tcPr>
          <w:p w14:paraId="1553C23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2022 to 2023</w:t>
            </w:r>
          </w:p>
        </w:tc>
        <w:tc>
          <w:tcPr>
            <w:tcW w:w="2160" w:type="dxa"/>
            <w:tcMar>
              <w:top w:w="80" w:type="dxa"/>
              <w:left w:w="80" w:type="dxa"/>
              <w:bottom w:w="80" w:type="dxa"/>
              <w:right w:w="80" w:type="dxa"/>
            </w:tcMar>
            <w:vAlign w:val="center"/>
          </w:tcPr>
          <w:p w14:paraId="494E6D1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51,510</w:t>
            </w:r>
          </w:p>
        </w:tc>
        <w:tc>
          <w:tcPr>
            <w:tcW w:w="2160" w:type="dxa"/>
            <w:tcMar>
              <w:top w:w="80" w:type="dxa"/>
              <w:left w:w="80" w:type="dxa"/>
              <w:bottom w:w="80" w:type="dxa"/>
              <w:right w:w="80" w:type="dxa"/>
            </w:tcMar>
            <w:vAlign w:val="center"/>
          </w:tcPr>
          <w:p w14:paraId="60BC765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10,549</w:t>
            </w:r>
          </w:p>
        </w:tc>
        <w:tc>
          <w:tcPr>
            <w:tcW w:w="2304" w:type="dxa"/>
            <w:tcMar>
              <w:top w:w="80" w:type="dxa"/>
              <w:left w:w="80" w:type="dxa"/>
              <w:bottom w:w="80" w:type="dxa"/>
              <w:right w:w="80" w:type="dxa"/>
            </w:tcMar>
            <w:vAlign w:val="center"/>
          </w:tcPr>
          <w:p w14:paraId="3914665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40,961</w:t>
            </w:r>
          </w:p>
        </w:tc>
        <w:tc>
          <w:tcPr>
            <w:tcW w:w="2016" w:type="dxa"/>
            <w:tcMar>
              <w:top w:w="80" w:type="dxa"/>
              <w:left w:w="80" w:type="dxa"/>
              <w:bottom w:w="80" w:type="dxa"/>
              <w:right w:w="80" w:type="dxa"/>
            </w:tcMar>
            <w:vAlign w:val="center"/>
          </w:tcPr>
          <w:p w14:paraId="5EA6A15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35.90%</w:t>
            </w:r>
          </w:p>
        </w:tc>
      </w:tr>
      <w:tr w:rsidR="00C006A0" w:rsidRPr="002A617D" w14:paraId="2CB1F2D5" w14:textId="77777777">
        <w:trPr>
          <w:jc w:val="center"/>
        </w:trPr>
        <w:tc>
          <w:tcPr>
            <w:tcW w:w="1872" w:type="dxa"/>
            <w:tcMar>
              <w:top w:w="80" w:type="dxa"/>
              <w:left w:w="80" w:type="dxa"/>
              <w:bottom w:w="80" w:type="dxa"/>
              <w:right w:w="80" w:type="dxa"/>
            </w:tcMar>
            <w:vAlign w:val="center"/>
          </w:tcPr>
          <w:p w14:paraId="492F1C4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2023 to 2024</w:t>
            </w:r>
          </w:p>
        </w:tc>
        <w:tc>
          <w:tcPr>
            <w:tcW w:w="2160" w:type="dxa"/>
            <w:tcMar>
              <w:top w:w="80" w:type="dxa"/>
              <w:left w:w="80" w:type="dxa"/>
              <w:bottom w:w="80" w:type="dxa"/>
              <w:right w:w="80" w:type="dxa"/>
            </w:tcMar>
            <w:vAlign w:val="center"/>
          </w:tcPr>
          <w:p w14:paraId="2F5C1A1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50,068</w:t>
            </w:r>
          </w:p>
        </w:tc>
        <w:tc>
          <w:tcPr>
            <w:tcW w:w="2160" w:type="dxa"/>
            <w:tcMar>
              <w:top w:w="80" w:type="dxa"/>
              <w:left w:w="80" w:type="dxa"/>
              <w:bottom w:w="80" w:type="dxa"/>
              <w:right w:w="80" w:type="dxa"/>
            </w:tcMar>
            <w:vAlign w:val="center"/>
          </w:tcPr>
          <w:p w14:paraId="7B60F54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10,066</w:t>
            </w:r>
          </w:p>
        </w:tc>
        <w:tc>
          <w:tcPr>
            <w:tcW w:w="2304" w:type="dxa"/>
            <w:tcMar>
              <w:top w:w="80" w:type="dxa"/>
              <w:left w:w="80" w:type="dxa"/>
              <w:bottom w:w="80" w:type="dxa"/>
              <w:right w:w="80" w:type="dxa"/>
            </w:tcMar>
            <w:vAlign w:val="center"/>
          </w:tcPr>
          <w:p w14:paraId="51AFD08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40,002</w:t>
            </w:r>
          </w:p>
        </w:tc>
        <w:tc>
          <w:tcPr>
            <w:tcW w:w="2016" w:type="dxa"/>
            <w:tcMar>
              <w:top w:w="80" w:type="dxa"/>
              <w:left w:w="80" w:type="dxa"/>
              <w:bottom w:w="80" w:type="dxa"/>
              <w:right w:w="80" w:type="dxa"/>
            </w:tcMar>
            <w:vAlign w:val="center"/>
          </w:tcPr>
          <w:p w14:paraId="60E0D75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31.94%</w:t>
            </w:r>
          </w:p>
        </w:tc>
      </w:tr>
    </w:tbl>
    <w:p w14:paraId="7DAC208A" w14:textId="77777777" w:rsidR="00313756" w:rsidRPr="002A617D" w:rsidRDefault="00313756" w:rsidP="002A617D">
      <w:pPr>
        <w:rPr>
          <w:rFonts w:asciiTheme="majorHAnsi" w:hAnsiTheme="majorHAnsi" w:cstheme="majorHAnsi"/>
          <w:i/>
        </w:rPr>
      </w:pPr>
    </w:p>
    <w:p w14:paraId="41BDA122" w14:textId="000C9491" w:rsidR="00C006A0" w:rsidRPr="002A617D" w:rsidRDefault="00000000" w:rsidP="002A617D">
      <w:pPr>
        <w:rPr>
          <w:rFonts w:asciiTheme="majorHAnsi" w:hAnsiTheme="majorHAnsi" w:cstheme="majorHAnsi"/>
          <w:i/>
        </w:rPr>
      </w:pPr>
      <w:r w:rsidRPr="002A617D">
        <w:rPr>
          <w:rFonts w:asciiTheme="majorHAnsi" w:hAnsiTheme="majorHAnsi" w:cstheme="majorHAnsi"/>
          <w:i/>
        </w:rPr>
        <w:lastRenderedPageBreak/>
        <w:t>Note. A missing next-year record is excluded rather than treated as a zero release. REDUCTION_10 is calculated only for matched records with a positive current-year release and consistent units. In the preliminary counts shown, eligible records equal matched records minus current-year zero-release records; the final validation log will separately report any exclusions for missing values, unit conflicts, or identifier conflicts. See Appendix A, Tables A3 and A4.</w:t>
      </w:r>
    </w:p>
    <w:p w14:paraId="22DB6155" w14:textId="77777777" w:rsidR="00C006A0" w:rsidRPr="002A617D" w:rsidRDefault="00000000" w:rsidP="002A617D">
      <w:pPr>
        <w:pStyle w:val="Heading2"/>
        <w:ind w:firstLine="0"/>
        <w:rPr>
          <w:rFonts w:cstheme="majorHAnsi"/>
          <w:szCs w:val="22"/>
        </w:rPr>
      </w:pPr>
      <w:r w:rsidRPr="002A617D">
        <w:rPr>
          <w:rFonts w:cstheme="majorHAnsi"/>
          <w:szCs w:val="22"/>
        </w:rPr>
        <w:t>Core Variables</w:t>
      </w:r>
    </w:p>
    <w:p w14:paraId="6EE28192"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5 summarizes the core analysis variables, their EPA sources or derivation rules, and their analytical roles.</w:t>
      </w:r>
    </w:p>
    <w:p w14:paraId="0291BA0D"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5</w:t>
      </w:r>
    </w:p>
    <w:p w14:paraId="2B9B2984"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Core Analysis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22"/>
        <w:gridCol w:w="3915"/>
        <w:gridCol w:w="3123"/>
      </w:tblGrid>
      <w:tr w:rsidR="00C006A0" w:rsidRPr="002A617D" w14:paraId="40D5CD72" w14:textId="77777777" w:rsidTr="00313756">
        <w:trPr>
          <w:tblHeader/>
          <w:jc w:val="center"/>
        </w:trPr>
        <w:tc>
          <w:tcPr>
            <w:tcW w:w="2322" w:type="dxa"/>
            <w:tcBorders>
              <w:bottom w:val="single" w:sz="8" w:space="0" w:color="000000"/>
            </w:tcBorders>
            <w:tcMar>
              <w:top w:w="80" w:type="dxa"/>
              <w:left w:w="80" w:type="dxa"/>
              <w:bottom w:w="80" w:type="dxa"/>
              <w:right w:w="80" w:type="dxa"/>
            </w:tcMar>
            <w:vAlign w:val="center"/>
          </w:tcPr>
          <w:p w14:paraId="7A94678C"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Analysis variable or identifier</w:t>
            </w:r>
          </w:p>
        </w:tc>
        <w:tc>
          <w:tcPr>
            <w:tcW w:w="3915" w:type="dxa"/>
            <w:tcBorders>
              <w:bottom w:val="single" w:sz="8" w:space="0" w:color="000000"/>
            </w:tcBorders>
            <w:tcMar>
              <w:top w:w="80" w:type="dxa"/>
              <w:left w:w="80" w:type="dxa"/>
              <w:bottom w:w="80" w:type="dxa"/>
              <w:right w:w="80" w:type="dxa"/>
            </w:tcMar>
            <w:vAlign w:val="center"/>
          </w:tcPr>
          <w:p w14:paraId="2A55585A"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Exact EPA source field or derivation rule</w:t>
            </w:r>
          </w:p>
        </w:tc>
        <w:tc>
          <w:tcPr>
            <w:tcW w:w="3123" w:type="dxa"/>
            <w:tcBorders>
              <w:bottom w:val="single" w:sz="8" w:space="0" w:color="000000"/>
            </w:tcBorders>
            <w:tcMar>
              <w:top w:w="80" w:type="dxa"/>
              <w:left w:w="80" w:type="dxa"/>
              <w:bottom w:w="80" w:type="dxa"/>
              <w:right w:w="80" w:type="dxa"/>
            </w:tcMar>
            <w:vAlign w:val="center"/>
          </w:tcPr>
          <w:p w14:paraId="272B3D27"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Analytical role and treatment</w:t>
            </w:r>
          </w:p>
        </w:tc>
      </w:tr>
      <w:tr w:rsidR="00C006A0" w:rsidRPr="002A617D" w14:paraId="7B91A38A" w14:textId="77777777" w:rsidTr="00313756">
        <w:trPr>
          <w:jc w:val="center"/>
        </w:trPr>
        <w:tc>
          <w:tcPr>
            <w:tcW w:w="2322" w:type="dxa"/>
            <w:tcMar>
              <w:top w:w="80" w:type="dxa"/>
              <w:left w:w="80" w:type="dxa"/>
              <w:bottom w:w="80" w:type="dxa"/>
              <w:right w:w="80" w:type="dxa"/>
            </w:tcMar>
            <w:vAlign w:val="center"/>
          </w:tcPr>
          <w:p w14:paraId="653764C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Facility identifier</w:t>
            </w:r>
          </w:p>
        </w:tc>
        <w:tc>
          <w:tcPr>
            <w:tcW w:w="3915" w:type="dxa"/>
            <w:tcMar>
              <w:top w:w="80" w:type="dxa"/>
              <w:left w:w="80" w:type="dxa"/>
              <w:bottom w:w="80" w:type="dxa"/>
              <w:right w:w="80" w:type="dxa"/>
            </w:tcMar>
            <w:vAlign w:val="center"/>
          </w:tcPr>
          <w:p w14:paraId="19231D3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TRIFD, Files 1A and 2A</w:t>
            </w:r>
          </w:p>
        </w:tc>
        <w:tc>
          <w:tcPr>
            <w:tcW w:w="3123" w:type="dxa"/>
            <w:tcMar>
              <w:top w:w="80" w:type="dxa"/>
              <w:left w:w="80" w:type="dxa"/>
              <w:bottom w:w="80" w:type="dxa"/>
              <w:right w:w="80" w:type="dxa"/>
            </w:tcMar>
            <w:vAlign w:val="center"/>
          </w:tcPr>
          <w:p w14:paraId="73255DF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Cross-year facility match and clustered standard errors.</w:t>
            </w:r>
          </w:p>
        </w:tc>
      </w:tr>
      <w:tr w:rsidR="00C006A0" w:rsidRPr="002A617D" w14:paraId="4235C192" w14:textId="77777777" w:rsidTr="00313756">
        <w:trPr>
          <w:jc w:val="center"/>
        </w:trPr>
        <w:tc>
          <w:tcPr>
            <w:tcW w:w="2322" w:type="dxa"/>
            <w:tcMar>
              <w:top w:w="80" w:type="dxa"/>
              <w:left w:w="80" w:type="dxa"/>
              <w:bottom w:w="80" w:type="dxa"/>
              <w:right w:w="80" w:type="dxa"/>
            </w:tcMar>
            <w:vAlign w:val="center"/>
          </w:tcPr>
          <w:p w14:paraId="1D3BDFF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Chemical identifier</w:t>
            </w:r>
          </w:p>
        </w:tc>
        <w:tc>
          <w:tcPr>
            <w:tcW w:w="3915" w:type="dxa"/>
            <w:tcMar>
              <w:top w:w="80" w:type="dxa"/>
              <w:left w:w="80" w:type="dxa"/>
              <w:bottom w:w="80" w:type="dxa"/>
              <w:right w:w="80" w:type="dxa"/>
            </w:tcMar>
            <w:vAlign w:val="center"/>
          </w:tcPr>
          <w:p w14:paraId="1D0AEF4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TRI_CHEM_ID, Files 1A and 2A</w:t>
            </w:r>
          </w:p>
        </w:tc>
        <w:tc>
          <w:tcPr>
            <w:tcW w:w="3123" w:type="dxa"/>
            <w:tcMar>
              <w:top w:w="80" w:type="dxa"/>
              <w:left w:w="80" w:type="dxa"/>
              <w:bottom w:w="80" w:type="dxa"/>
              <w:right w:w="80" w:type="dxa"/>
            </w:tcMar>
            <w:vAlign w:val="center"/>
          </w:tcPr>
          <w:p w14:paraId="478B332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Matches the same reported chemical across years.</w:t>
            </w:r>
          </w:p>
        </w:tc>
      </w:tr>
      <w:tr w:rsidR="00C006A0" w:rsidRPr="002A617D" w14:paraId="0B4BA528" w14:textId="77777777" w:rsidTr="00313756">
        <w:trPr>
          <w:jc w:val="center"/>
        </w:trPr>
        <w:tc>
          <w:tcPr>
            <w:tcW w:w="2322" w:type="dxa"/>
            <w:tcMar>
              <w:top w:w="80" w:type="dxa"/>
              <w:left w:w="80" w:type="dxa"/>
              <w:bottom w:w="80" w:type="dxa"/>
              <w:right w:w="80" w:type="dxa"/>
            </w:tcMar>
            <w:vAlign w:val="center"/>
          </w:tcPr>
          <w:p w14:paraId="234FE18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Current and next-year on-site release</w:t>
            </w:r>
          </w:p>
        </w:tc>
        <w:tc>
          <w:tcPr>
            <w:tcW w:w="3915" w:type="dxa"/>
            <w:tcMar>
              <w:top w:w="80" w:type="dxa"/>
              <w:left w:w="80" w:type="dxa"/>
              <w:bottom w:w="80" w:type="dxa"/>
              <w:right w:w="80" w:type="dxa"/>
            </w:tcMar>
            <w:vAlign w:val="center"/>
          </w:tcPr>
          <w:p w14:paraId="4A8C73B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TOTAL ON-SITE RELEASES, File 1A</w:t>
            </w:r>
          </w:p>
        </w:tc>
        <w:tc>
          <w:tcPr>
            <w:tcW w:w="3123" w:type="dxa"/>
            <w:tcMar>
              <w:top w:w="80" w:type="dxa"/>
              <w:left w:w="80" w:type="dxa"/>
              <w:bottom w:w="80" w:type="dxa"/>
              <w:right w:w="80" w:type="dxa"/>
            </w:tcMar>
            <w:vAlign w:val="center"/>
          </w:tcPr>
          <w:p w14:paraId="0940856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Constructs the outcome and current-release control.</w:t>
            </w:r>
          </w:p>
        </w:tc>
      </w:tr>
      <w:tr w:rsidR="00C006A0" w:rsidRPr="002A617D" w14:paraId="2F8454D1" w14:textId="77777777" w:rsidTr="00313756">
        <w:trPr>
          <w:jc w:val="center"/>
        </w:trPr>
        <w:tc>
          <w:tcPr>
            <w:tcW w:w="2322" w:type="dxa"/>
            <w:tcMar>
              <w:top w:w="80" w:type="dxa"/>
              <w:left w:w="80" w:type="dxa"/>
              <w:bottom w:w="80" w:type="dxa"/>
              <w:right w:w="80" w:type="dxa"/>
            </w:tcMar>
            <w:vAlign w:val="center"/>
          </w:tcPr>
          <w:p w14:paraId="700B9AF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Reported any source-reduction action</w:t>
            </w:r>
          </w:p>
        </w:tc>
        <w:tc>
          <w:tcPr>
            <w:tcW w:w="3915" w:type="dxa"/>
            <w:tcMar>
              <w:top w:w="80" w:type="dxa"/>
              <w:left w:w="80" w:type="dxa"/>
              <w:bottom w:w="80" w:type="dxa"/>
              <w:right w:w="80" w:type="dxa"/>
            </w:tcMar>
            <w:vAlign w:val="center"/>
          </w:tcPr>
          <w:p w14:paraId="0845C33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Derived from the first, second, third, and fourth Source Reduction Activity Code fields in File 2A</w:t>
            </w:r>
          </w:p>
        </w:tc>
        <w:tc>
          <w:tcPr>
            <w:tcW w:w="3123" w:type="dxa"/>
            <w:tcMar>
              <w:top w:w="80" w:type="dxa"/>
              <w:left w:w="80" w:type="dxa"/>
              <w:bottom w:w="80" w:type="dxa"/>
              <w:right w:w="80" w:type="dxa"/>
            </w:tcMar>
            <w:vAlign w:val="center"/>
          </w:tcPr>
          <w:p w14:paraId="775FC13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Main RQ2 predictor.</w:t>
            </w:r>
          </w:p>
        </w:tc>
      </w:tr>
      <w:tr w:rsidR="00C006A0" w:rsidRPr="002A617D" w14:paraId="64A3DE1C" w14:textId="77777777" w:rsidTr="00313756">
        <w:trPr>
          <w:jc w:val="center"/>
        </w:trPr>
        <w:tc>
          <w:tcPr>
            <w:tcW w:w="2322" w:type="dxa"/>
            <w:tcMar>
              <w:top w:w="80" w:type="dxa"/>
              <w:left w:w="80" w:type="dxa"/>
              <w:bottom w:w="80" w:type="dxa"/>
              <w:right w:w="80" w:type="dxa"/>
            </w:tcMar>
            <w:vAlign w:val="center"/>
          </w:tcPr>
          <w:p w14:paraId="02B696E5" w14:textId="671A01A2"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Action-type indicators</w:t>
            </w:r>
          </w:p>
        </w:tc>
        <w:tc>
          <w:tcPr>
            <w:tcW w:w="3915" w:type="dxa"/>
            <w:tcMar>
              <w:top w:w="80" w:type="dxa"/>
              <w:left w:w="80" w:type="dxa"/>
              <w:bottom w:w="80" w:type="dxa"/>
              <w:right w:w="80" w:type="dxa"/>
            </w:tcMar>
            <w:vAlign w:val="center"/>
          </w:tcPr>
          <w:p w14:paraId="31C76ED0" w14:textId="33AFB577"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Derived by mapping valid Source Reduction Activity Codes to five prespecified action types</w:t>
            </w:r>
          </w:p>
        </w:tc>
        <w:tc>
          <w:tcPr>
            <w:tcW w:w="3123" w:type="dxa"/>
            <w:tcMar>
              <w:top w:w="80" w:type="dxa"/>
              <w:left w:w="80" w:type="dxa"/>
              <w:bottom w:w="80" w:type="dxa"/>
              <w:right w:w="80" w:type="dxa"/>
            </w:tcMar>
            <w:vAlign w:val="center"/>
          </w:tcPr>
          <w:p w14:paraId="4AF2EE11" w14:textId="7C8724A2"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Binary indicators used to compare each action type with the no-reported-action group in RQ3</w:t>
            </w:r>
            <w:r w:rsidR="00000000" w:rsidRPr="002A617D">
              <w:rPr>
                <w:rFonts w:asciiTheme="majorHAnsi" w:hAnsiTheme="majorHAnsi" w:cstheme="majorHAnsi"/>
              </w:rPr>
              <w:t>.</w:t>
            </w:r>
          </w:p>
        </w:tc>
      </w:tr>
      <w:tr w:rsidR="00C006A0" w:rsidRPr="002A617D" w14:paraId="53BAF82A" w14:textId="77777777" w:rsidTr="00313756">
        <w:trPr>
          <w:jc w:val="center"/>
        </w:trPr>
        <w:tc>
          <w:tcPr>
            <w:tcW w:w="2322" w:type="dxa"/>
            <w:tcMar>
              <w:top w:w="80" w:type="dxa"/>
              <w:left w:w="80" w:type="dxa"/>
              <w:bottom w:w="80" w:type="dxa"/>
              <w:right w:w="80" w:type="dxa"/>
            </w:tcMar>
            <w:vAlign w:val="center"/>
          </w:tcPr>
          <w:p w14:paraId="7D8CD38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REDUCTION_10</w:t>
            </w:r>
          </w:p>
        </w:tc>
        <w:tc>
          <w:tcPr>
            <w:tcW w:w="3915" w:type="dxa"/>
            <w:tcMar>
              <w:top w:w="80" w:type="dxa"/>
              <w:left w:w="80" w:type="dxa"/>
              <w:bottom w:w="80" w:type="dxa"/>
              <w:right w:w="80" w:type="dxa"/>
            </w:tcMar>
            <w:vAlign w:val="center"/>
          </w:tcPr>
          <w:p w14:paraId="1E9AD4F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Derived from current and next-year releases</w:t>
            </w:r>
          </w:p>
        </w:tc>
        <w:tc>
          <w:tcPr>
            <w:tcW w:w="3123" w:type="dxa"/>
            <w:tcMar>
              <w:top w:w="80" w:type="dxa"/>
              <w:left w:w="80" w:type="dxa"/>
              <w:bottom w:w="80" w:type="dxa"/>
              <w:right w:w="80" w:type="dxa"/>
            </w:tcMar>
            <w:vAlign w:val="center"/>
          </w:tcPr>
          <w:p w14:paraId="34E86D6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Binary outcome for RQ1 to RQ4.</w:t>
            </w:r>
          </w:p>
        </w:tc>
      </w:tr>
    </w:tbl>
    <w:p w14:paraId="46CF4FFB"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Appendix A contains the full data dictionary, exact EPA header labels, transformation rules, and examples. In particular, it distinguishes reported actions from unobserved actions: a value of 0 means that no valid action code was present in the selected TRI fields, not that the facility performed no environmental activity.</w:t>
      </w:r>
    </w:p>
    <w:p w14:paraId="1A3C192B" w14:textId="77777777" w:rsidR="00C006A0" w:rsidRPr="002A617D" w:rsidRDefault="00000000" w:rsidP="002A617D">
      <w:pPr>
        <w:pStyle w:val="Heading1"/>
        <w:ind w:firstLine="0"/>
        <w:rPr>
          <w:rFonts w:cstheme="majorHAnsi"/>
          <w:szCs w:val="22"/>
        </w:rPr>
      </w:pPr>
      <w:r w:rsidRPr="002A617D">
        <w:rPr>
          <w:rFonts w:cstheme="majorHAnsi"/>
          <w:szCs w:val="22"/>
        </w:rPr>
        <w:t>Analytic Approach</w:t>
      </w:r>
    </w:p>
    <w:p w14:paraId="0E9E36F4"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The main text summarizes the method chosen for each question. Appendix C provides the full examiner-safe structure for every question: concept, mathematical principle, variable definitions, setup, decision rule, business interpretation, and diagnostic limitations. Placing symbolic specifications and metric formulas in Appendix C avoids repeating technical detail in the main narrative.</w:t>
      </w:r>
    </w:p>
    <w:p w14:paraId="66AEE82F" w14:textId="77777777" w:rsidR="00C006A0" w:rsidRPr="002A617D" w:rsidRDefault="00C006A0" w:rsidP="002A617D">
      <w:pPr>
        <w:rPr>
          <w:rFonts w:asciiTheme="majorHAnsi" w:hAnsiTheme="majorHAnsi" w:cstheme="majorHAnsi"/>
        </w:rPr>
      </w:pPr>
    </w:p>
    <w:p w14:paraId="5F0E4018"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lastRenderedPageBreak/>
        <w:t>Table 6 summarizes the statistical or predictive method and hypothesis decision rule for each research question.</w:t>
      </w:r>
    </w:p>
    <w:p w14:paraId="40BDBD93"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6</w:t>
      </w:r>
    </w:p>
    <w:p w14:paraId="4A1E769C"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Analysis Plan by Research Question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101"/>
        <w:gridCol w:w="3771"/>
        <w:gridCol w:w="4488"/>
      </w:tblGrid>
      <w:tr w:rsidR="00C006A0" w:rsidRPr="002A617D" w14:paraId="5B05B2A3" w14:textId="77777777" w:rsidTr="00514406">
        <w:trPr>
          <w:tblHeader/>
          <w:jc w:val="center"/>
        </w:trPr>
        <w:tc>
          <w:tcPr>
            <w:tcW w:w="1117" w:type="dxa"/>
            <w:tcBorders>
              <w:bottom w:val="single" w:sz="8" w:space="0" w:color="000000"/>
            </w:tcBorders>
            <w:tcMar>
              <w:top w:w="80" w:type="dxa"/>
              <w:left w:w="80" w:type="dxa"/>
              <w:bottom w:w="80" w:type="dxa"/>
              <w:right w:w="80" w:type="dxa"/>
            </w:tcMar>
            <w:vAlign w:val="center"/>
          </w:tcPr>
          <w:p w14:paraId="0DB92015"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Research question</w:t>
            </w:r>
          </w:p>
        </w:tc>
        <w:tc>
          <w:tcPr>
            <w:tcW w:w="4128" w:type="dxa"/>
            <w:tcBorders>
              <w:bottom w:val="single" w:sz="8" w:space="0" w:color="000000"/>
            </w:tcBorders>
            <w:tcMar>
              <w:top w:w="80" w:type="dxa"/>
              <w:left w:w="80" w:type="dxa"/>
              <w:bottom w:w="80" w:type="dxa"/>
              <w:right w:w="80" w:type="dxa"/>
            </w:tcMar>
            <w:vAlign w:val="center"/>
          </w:tcPr>
          <w:p w14:paraId="12107E34"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Statistical or predictive method</w:t>
            </w:r>
          </w:p>
        </w:tc>
        <w:tc>
          <w:tcPr>
            <w:tcW w:w="4115" w:type="dxa"/>
            <w:tcBorders>
              <w:bottom w:val="single" w:sz="8" w:space="0" w:color="000000"/>
            </w:tcBorders>
            <w:tcMar>
              <w:top w:w="80" w:type="dxa"/>
              <w:left w:w="80" w:type="dxa"/>
              <w:bottom w:w="80" w:type="dxa"/>
              <w:right w:w="80" w:type="dxa"/>
            </w:tcMar>
            <w:vAlign w:val="center"/>
          </w:tcPr>
          <w:p w14:paraId="1DC649B0"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Reported result and hypothesis decision rule</w:t>
            </w:r>
          </w:p>
        </w:tc>
      </w:tr>
      <w:tr w:rsidR="00C006A0" w:rsidRPr="002A617D" w14:paraId="725ED688" w14:textId="77777777" w:rsidTr="00514406">
        <w:trPr>
          <w:jc w:val="center"/>
        </w:trPr>
        <w:tc>
          <w:tcPr>
            <w:tcW w:w="1117" w:type="dxa"/>
            <w:tcMar>
              <w:top w:w="80" w:type="dxa"/>
              <w:left w:w="80" w:type="dxa"/>
              <w:bottom w:w="80" w:type="dxa"/>
              <w:right w:w="80" w:type="dxa"/>
            </w:tcMar>
            <w:vAlign w:val="center"/>
          </w:tcPr>
          <w:p w14:paraId="04A2FEE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RQ1</w:t>
            </w:r>
          </w:p>
        </w:tc>
        <w:tc>
          <w:tcPr>
            <w:tcW w:w="4128" w:type="dxa"/>
            <w:tcMar>
              <w:top w:w="80" w:type="dxa"/>
              <w:left w:w="80" w:type="dxa"/>
              <w:bottom w:w="80" w:type="dxa"/>
              <w:right w:w="80" w:type="dxa"/>
            </w:tcMar>
            <w:vAlign w:val="center"/>
          </w:tcPr>
          <w:p w14:paraId="7C1A3FD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Chi-square test. Year and subsector proportions, confidence intervals, Pearson chi-square test, and Cramer's V.</w:t>
            </w:r>
          </w:p>
        </w:tc>
        <w:tc>
          <w:tcPr>
            <w:tcW w:w="4115" w:type="dxa"/>
            <w:tcMar>
              <w:top w:w="80" w:type="dxa"/>
              <w:left w:w="80" w:type="dxa"/>
              <w:bottom w:w="80" w:type="dxa"/>
              <w:right w:w="80" w:type="dxa"/>
            </w:tcMar>
            <w:vAlign w:val="center"/>
          </w:tcPr>
          <w:p w14:paraId="160FACA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Report differences in REDUCTION_10 rates; reject </w:t>
            </w:r>
            <w:r w:rsidR="00FC0C83" w:rsidRPr="002A617D">
              <w:rPr>
                <w:rFonts w:asciiTheme="majorHAnsi" w:hAnsiTheme="majorHAnsi" w:cstheme="majorHAnsi"/>
              </w:rPr>
              <w:t>H0₁</w:t>
            </w:r>
            <w:r w:rsidRPr="002A617D">
              <w:rPr>
                <w:rFonts w:asciiTheme="majorHAnsi" w:hAnsiTheme="majorHAnsi" w:cstheme="majorHAnsi"/>
              </w:rPr>
              <w:t xml:space="preserve"> when p &lt; .05, while emphasizing effect size.</w:t>
            </w:r>
          </w:p>
        </w:tc>
      </w:tr>
      <w:tr w:rsidR="00C006A0" w:rsidRPr="002A617D" w14:paraId="70D3BED8" w14:textId="77777777" w:rsidTr="00514406">
        <w:trPr>
          <w:jc w:val="center"/>
        </w:trPr>
        <w:tc>
          <w:tcPr>
            <w:tcW w:w="1117" w:type="dxa"/>
            <w:tcMar>
              <w:top w:w="80" w:type="dxa"/>
              <w:left w:w="80" w:type="dxa"/>
              <w:bottom w:w="80" w:type="dxa"/>
              <w:right w:w="80" w:type="dxa"/>
            </w:tcMar>
            <w:vAlign w:val="center"/>
          </w:tcPr>
          <w:p w14:paraId="3B59202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RQ2</w:t>
            </w:r>
          </w:p>
        </w:tc>
        <w:tc>
          <w:tcPr>
            <w:tcW w:w="4128" w:type="dxa"/>
            <w:tcMar>
              <w:top w:w="80" w:type="dxa"/>
              <w:left w:w="80" w:type="dxa"/>
              <w:bottom w:w="80" w:type="dxa"/>
              <w:right w:w="80" w:type="dxa"/>
            </w:tcMar>
            <w:vAlign w:val="center"/>
          </w:tcPr>
          <w:p w14:paraId="6532949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Logistic regression. Binary logistic regression with facility-clustered standard errors.</w:t>
            </w:r>
          </w:p>
        </w:tc>
        <w:tc>
          <w:tcPr>
            <w:tcW w:w="4115" w:type="dxa"/>
            <w:tcMar>
              <w:top w:w="80" w:type="dxa"/>
              <w:left w:w="80" w:type="dxa"/>
              <w:bottom w:w="80" w:type="dxa"/>
              <w:right w:w="80" w:type="dxa"/>
            </w:tcMar>
            <w:vAlign w:val="center"/>
          </w:tcPr>
          <w:p w14:paraId="607B2F55" w14:textId="77777777" w:rsidR="00C006A0" w:rsidRPr="002A617D" w:rsidRDefault="005134E3" w:rsidP="002A617D">
            <w:pPr>
              <w:ind w:firstLine="0"/>
              <w:rPr>
                <w:rFonts w:asciiTheme="majorHAnsi" w:hAnsiTheme="majorHAnsi" w:cstheme="majorHAnsi"/>
              </w:rPr>
            </w:pPr>
            <w:r w:rsidRPr="002A617D">
              <w:rPr>
                <w:rFonts w:asciiTheme="majorHAnsi" w:hAnsiTheme="majorHAnsi" w:cstheme="majorHAnsi"/>
              </w:rPr>
              <w:t>Report the adjusted odds ratio and 95% confidence interval for REPORTED_ANY_SOURCE_REDUCTION_ACTION; reject H0₂ when the interval excludes 1.00 and p &lt; .05.</w:t>
            </w:r>
          </w:p>
        </w:tc>
      </w:tr>
      <w:tr w:rsidR="00C006A0" w:rsidRPr="002A617D" w14:paraId="069823FA" w14:textId="77777777" w:rsidTr="00514406">
        <w:trPr>
          <w:jc w:val="center"/>
        </w:trPr>
        <w:tc>
          <w:tcPr>
            <w:tcW w:w="1117" w:type="dxa"/>
            <w:tcMar>
              <w:top w:w="80" w:type="dxa"/>
              <w:left w:w="80" w:type="dxa"/>
              <w:bottom w:w="80" w:type="dxa"/>
              <w:right w:w="80" w:type="dxa"/>
            </w:tcMar>
            <w:vAlign w:val="center"/>
          </w:tcPr>
          <w:p w14:paraId="064D650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RQ3</w:t>
            </w:r>
          </w:p>
        </w:tc>
        <w:tc>
          <w:tcPr>
            <w:tcW w:w="4128" w:type="dxa"/>
            <w:tcMar>
              <w:top w:w="80" w:type="dxa"/>
              <w:left w:w="80" w:type="dxa"/>
              <w:bottom w:w="80" w:type="dxa"/>
              <w:right w:w="80" w:type="dxa"/>
            </w:tcMar>
            <w:vAlign w:val="center"/>
          </w:tcPr>
          <w:p w14:paraId="622A4B82" w14:textId="2663EEB0"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Chi-square test / Fisher's exact test. Separate 2 × 2 comparisons of each action type with the no-reported-action group. Pearson chi-square will be used when expected cell counts are adequate; Fisher’s exact test will be used when counts are small. Holm-adjusted p-values will address multiple comparisons</w:t>
            </w:r>
            <w:r w:rsidR="00514406" w:rsidRPr="00514406">
              <w:rPr>
                <w:rFonts w:asciiTheme="majorHAnsi" w:hAnsiTheme="majorHAnsi" w:cstheme="majorHAnsi"/>
              </w:rPr>
              <w:t>.</w:t>
            </w:r>
          </w:p>
        </w:tc>
        <w:tc>
          <w:tcPr>
            <w:tcW w:w="4115" w:type="dxa"/>
            <w:tcMar>
              <w:top w:w="80" w:type="dxa"/>
              <w:left w:w="80" w:type="dxa"/>
              <w:bottom w:w="80" w:type="dxa"/>
              <w:right w:w="80" w:type="dxa"/>
            </w:tcMar>
            <w:vAlign w:val="center"/>
          </w:tcPr>
          <w:p w14:paraId="0B9FA561" w14:textId="70CAC8A7" w:rsidR="00C006A0" w:rsidRPr="002A617D" w:rsidRDefault="00765918" w:rsidP="002A617D">
            <w:pPr>
              <w:ind w:firstLine="0"/>
              <w:rPr>
                <w:rFonts w:asciiTheme="majorHAnsi" w:hAnsiTheme="majorHAnsi" w:cstheme="majorHAnsi"/>
              </w:rPr>
            </w:pPr>
            <w:r w:rsidRPr="00765918">
              <w:rPr>
                <w:rFonts w:asciiTheme="majorHAnsi" w:hAnsiTheme="majorHAnsi" w:cstheme="majorHAnsi"/>
              </w:rPr>
              <w:t xml:space="preserve">Report group counts, reduction rates, percentage-point differences, relative risks, 95% confidence intervals, effect sizes, and Holm-adjusted p-values. </w:t>
            </w:r>
            <w:r w:rsidR="00A26932" w:rsidRPr="00A26932">
              <w:rPr>
                <w:rFonts w:asciiTheme="majorHAnsi" w:hAnsiTheme="majorHAnsi" w:cstheme="majorHAnsi"/>
              </w:rPr>
              <w:t>Reject an action-type-specific null hypothesis when the Holm-adjusted p-value is below .05.</w:t>
            </w:r>
          </w:p>
        </w:tc>
      </w:tr>
      <w:tr w:rsidR="00C006A0" w:rsidRPr="002A617D" w14:paraId="19A8E422" w14:textId="77777777" w:rsidTr="00514406">
        <w:trPr>
          <w:jc w:val="center"/>
        </w:trPr>
        <w:tc>
          <w:tcPr>
            <w:tcW w:w="1117" w:type="dxa"/>
            <w:tcMar>
              <w:top w:w="80" w:type="dxa"/>
              <w:left w:w="80" w:type="dxa"/>
              <w:bottom w:w="80" w:type="dxa"/>
              <w:right w:w="80" w:type="dxa"/>
            </w:tcMar>
            <w:vAlign w:val="center"/>
          </w:tcPr>
          <w:p w14:paraId="15A8E7F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RQ4</w:t>
            </w:r>
          </w:p>
        </w:tc>
        <w:tc>
          <w:tcPr>
            <w:tcW w:w="4128" w:type="dxa"/>
            <w:tcMar>
              <w:top w:w="80" w:type="dxa"/>
              <w:left w:w="80" w:type="dxa"/>
              <w:bottom w:w="80" w:type="dxa"/>
              <w:right w:w="80" w:type="dxa"/>
            </w:tcMar>
            <w:vAlign w:val="center"/>
          </w:tcPr>
          <w:p w14:paraId="0BD7C6C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Logistic regression (regularized/penalized). Trained on 2020 to 2022 action years and tested once on 2023 to 2024.</w:t>
            </w:r>
          </w:p>
        </w:tc>
        <w:tc>
          <w:tcPr>
            <w:tcW w:w="4115" w:type="dxa"/>
            <w:tcMar>
              <w:top w:w="80" w:type="dxa"/>
              <w:left w:w="80" w:type="dxa"/>
              <w:bottom w:w="80" w:type="dxa"/>
              <w:right w:w="80" w:type="dxa"/>
            </w:tcMar>
            <w:vAlign w:val="center"/>
          </w:tcPr>
          <w:p w14:paraId="6FF15DD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Test AUC against .50 and assess Brier score, calibration, precision, recall, and F1 against simple benchmarks.</w:t>
            </w:r>
          </w:p>
        </w:tc>
      </w:tr>
    </w:tbl>
    <w:p w14:paraId="37674013" w14:textId="77777777" w:rsidR="00313756" w:rsidRPr="002A617D" w:rsidRDefault="00313756" w:rsidP="002A617D">
      <w:pPr>
        <w:rPr>
          <w:rFonts w:asciiTheme="majorHAnsi" w:hAnsiTheme="majorHAnsi" w:cstheme="majorHAnsi"/>
        </w:rPr>
      </w:pPr>
    </w:p>
    <w:p w14:paraId="7F44B1A8" w14:textId="0A9E5E9B" w:rsidR="00C006A0" w:rsidRPr="002A617D" w:rsidRDefault="00765918" w:rsidP="002A617D">
      <w:pPr>
        <w:rPr>
          <w:rFonts w:asciiTheme="majorHAnsi" w:hAnsiTheme="majorHAnsi" w:cstheme="majorHAnsi"/>
        </w:rPr>
      </w:pPr>
      <w:r w:rsidRPr="00765918">
        <w:rPr>
          <w:rFonts w:asciiTheme="majorHAnsi" w:hAnsiTheme="majorHAnsi" w:cstheme="majorHAnsi"/>
        </w:rPr>
        <w:t>Action types are not mutually exclusive. A record reporting more than one action type may appear in more than one separate comparison, but the reference group will always contain records reporting no valid action.</w:t>
      </w:r>
      <w:r>
        <w:rPr>
          <w:rFonts w:asciiTheme="majorHAnsi" w:hAnsiTheme="majorHAnsi" w:cstheme="majorHAnsi"/>
        </w:rPr>
        <w:t xml:space="preserve"> </w:t>
      </w:r>
      <w:r w:rsidR="00000000" w:rsidRPr="002A617D">
        <w:rPr>
          <w:rFonts w:asciiTheme="majorHAnsi" w:hAnsiTheme="majorHAnsi" w:cstheme="majorHAnsi"/>
        </w:rPr>
        <w:t xml:space="preserve">RQ4 will use only information available in the action year. </w:t>
      </w:r>
      <w:r w:rsidR="00313756" w:rsidRPr="002A617D">
        <w:rPr>
          <w:rFonts w:asciiTheme="majorHAnsi" w:hAnsiTheme="majorHAnsi" w:cstheme="majorHAnsi"/>
        </w:rPr>
        <w:t>Transformations and tuning will be learned during the development period, after which the model will be locked and evaluated once on the 2023 to 2024 holdout.</w:t>
      </w:r>
      <w:r w:rsidR="00000000" w:rsidRPr="002A617D">
        <w:rPr>
          <w:rFonts w:asciiTheme="majorHAnsi" w:hAnsiTheme="majorHAnsi" w:cstheme="majorHAnsi"/>
        </w:rPr>
        <w:t xml:space="preserve"> No performance value will be promised before testing.</w:t>
      </w:r>
    </w:p>
    <w:p w14:paraId="09607AE9" w14:textId="77777777" w:rsidR="00C006A0" w:rsidRPr="002A617D" w:rsidRDefault="00000000" w:rsidP="002A617D">
      <w:pPr>
        <w:pStyle w:val="Heading2"/>
        <w:ind w:firstLine="0"/>
        <w:rPr>
          <w:rFonts w:cstheme="majorHAnsi"/>
          <w:szCs w:val="22"/>
        </w:rPr>
      </w:pPr>
      <w:r w:rsidRPr="002A617D">
        <w:rPr>
          <w:rFonts w:cstheme="majorHAnsi"/>
          <w:szCs w:val="22"/>
        </w:rPr>
        <w:t>Sensitivity and Quality Checks</w:t>
      </w:r>
    </w:p>
    <w:p w14:paraId="5558004E" w14:textId="0D3C0B19" w:rsidR="00C006A0" w:rsidRPr="002A617D" w:rsidRDefault="00765918" w:rsidP="002A617D">
      <w:pPr>
        <w:rPr>
          <w:rFonts w:asciiTheme="majorHAnsi" w:hAnsiTheme="majorHAnsi" w:cstheme="majorHAnsi"/>
        </w:rPr>
      </w:pPr>
      <w:r w:rsidRPr="00765918">
        <w:rPr>
          <w:rFonts w:asciiTheme="majorHAnsi" w:hAnsiTheme="majorHAnsi" w:cstheme="majorHAnsi"/>
        </w:rPr>
        <w:t>The RQ2 association model and the RQ3 group comparisons will be repeated without the 2020-to-2021 transition and without gram-reported chemicals</w:t>
      </w:r>
      <w:r w:rsidR="00000000" w:rsidRPr="002A617D">
        <w:rPr>
          <w:rFonts w:asciiTheme="majorHAnsi" w:hAnsiTheme="majorHAnsi" w:cstheme="majorHAnsi"/>
        </w:rPr>
        <w:t xml:space="preserve">. </w:t>
      </w:r>
      <w:r w:rsidRPr="00765918">
        <w:rPr>
          <w:rFonts w:asciiTheme="majorHAnsi" w:hAnsiTheme="majorHAnsi" w:cstheme="majorHAnsi"/>
        </w:rPr>
        <w:t>The analysis will also document missingness, unit conflicts, extreme production or activity ratios, sparse action-type counts, small expected cell counts, logistic-model separation, multicollinearity, influential records, calibration, and subgroup performance</w:t>
      </w:r>
      <w:r w:rsidR="00000000" w:rsidRPr="002A617D">
        <w:rPr>
          <w:rFonts w:asciiTheme="majorHAnsi" w:hAnsiTheme="majorHAnsi" w:cstheme="majorHAnsi"/>
        </w:rPr>
        <w:t>. Appendix C states the diagnostic rule and response for each issue.</w:t>
      </w:r>
    </w:p>
    <w:p w14:paraId="2C108B00"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The scope remains limited to two source files per year, one primary outcome, four linked research questions, one main prediction model, and one optional comparison model. Detailed definitions are written once in the appendices and cited from the main text, reducing repetition and helping the core synopsis remain within the required page range.</w:t>
      </w:r>
      <w:r w:rsidR="00FC0C83" w:rsidRPr="002A617D">
        <w:rPr>
          <w:rFonts w:asciiTheme="majorHAnsi" w:hAnsiTheme="majorHAnsi" w:cstheme="majorHAnsi"/>
        </w:rPr>
      </w:r>
    </w:p>
    <w:p w14:paraId="11B1509A" w14:textId="77777777" w:rsidR="00C006A0" w:rsidRPr="002A617D" w:rsidRDefault="00000000" w:rsidP="002A617D">
      <w:pPr>
        <w:pStyle w:val="Heading1"/>
        <w:ind w:firstLine="0"/>
        <w:rPr>
          <w:rFonts w:cstheme="majorHAnsi"/>
          <w:szCs w:val="22"/>
        </w:rPr>
      </w:pPr>
      <w:r w:rsidRPr="002A617D">
        <w:rPr>
          <w:rFonts w:cstheme="majorHAnsi"/>
          <w:szCs w:val="22"/>
        </w:rPr>
        <w:t>Recommendation and Application</w:t>
      </w:r>
    </w:p>
    <w:p w14:paraId="5A6DD000" w14:textId="2D9A551A" w:rsidR="00C006A0" w:rsidRPr="002A617D" w:rsidRDefault="00000000" w:rsidP="002A617D">
      <w:pPr>
        <w:rPr>
          <w:rFonts w:asciiTheme="majorHAnsi" w:hAnsiTheme="majorHAnsi" w:cstheme="majorHAnsi"/>
        </w:rPr>
      </w:pPr>
      <w:r w:rsidRPr="002A617D">
        <w:rPr>
          <w:rFonts w:asciiTheme="majorHAnsi" w:hAnsiTheme="majorHAnsi" w:cstheme="majorHAnsi"/>
        </w:rPr>
        <w:t xml:space="preserve">The target users are plant managers, EHS leaders, process engineers, corporate environmental managers, and TRI analysts. </w:t>
      </w:r>
      <w:r w:rsidR="003720D4" w:rsidRPr="003720D4">
        <w:rPr>
          <w:rFonts w:asciiTheme="majorHAnsi" w:hAnsiTheme="majorHAnsi" w:cstheme="majorHAnsi"/>
        </w:rPr>
        <w:t>The output can help them compare the observed next-year reduction rates associated with different reported action types</w:t>
      </w:r>
      <w:r w:rsidRPr="002A617D">
        <w:rPr>
          <w:rFonts w:asciiTheme="majorHAnsi" w:hAnsiTheme="majorHAnsi" w:cstheme="majorHAnsi"/>
        </w:rPr>
        <w:t xml:space="preserve"> and prioritize facility-chemical records that appear unlikely to achieve a meaningful next-year reduction. It will not prescribe an engineering change or establish noncompliance.</w:t>
      </w:r>
    </w:p>
    <w:p w14:paraId="1E76797F" w14:textId="334BD2C8" w:rsidR="00FC0C83" w:rsidRPr="002A617D" w:rsidRDefault="00000000" w:rsidP="002A617D">
      <w:pPr>
        <w:rPr>
          <w:rFonts w:asciiTheme="majorHAnsi" w:hAnsiTheme="majorHAnsi" w:cstheme="majorHAnsi"/>
        </w:rPr>
      </w:pPr>
      <w:r w:rsidRPr="002A617D">
        <w:rPr>
          <w:rFonts w:asciiTheme="majorHAnsi" w:hAnsiTheme="majorHAnsi" w:cstheme="majorHAnsi"/>
        </w:rPr>
        <w:t>Recommendations will depend on the observed adjusted associations, uncertainty, and holdout performance. The site EHS leader is the proposed process owner, supported by plant management and process engineering. Human technical review will remain the final decision point.</w:t>
      </w:r>
      <w:r w:rsidR="00FC0C83" w:rsidRPr="002A617D">
        <w:rPr>
          <w:rFonts w:asciiTheme="majorHAnsi" w:hAnsiTheme="majorHAnsi" w:cstheme="majorHAnsi"/>
        </w:rPr>
        <w:br w:type="page"/>
      </w:r>
    </w:p>
    <w:p w14:paraId="421FCCA3" w14:textId="77777777" w:rsidR="00C006A0" w:rsidRPr="002A617D" w:rsidRDefault="00FC0C83" w:rsidP="002A617D">
      <w:pPr>
        <w:pStyle w:val="Heading1"/>
        <w:pageBreakBefore/>
        <w:ind w:firstLine="0"/>
        <w:rPr>
          <w:rFonts w:cstheme="majorHAnsi"/>
          <w:szCs w:val="22"/>
        </w:rPr>
      </w:pPr>
      <w:r w:rsidRPr="002A617D">
        <w:rPr>
          <w:rFonts w:cstheme="majorHAnsi"/>
          <w:szCs w:val="22"/>
        </w:rPr>
        <w:lastRenderedPageBreak/>
        <w:t>References</w:t>
      </w:r>
    </w:p>
    <w:p w14:paraId="58FA5857"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Cagno, E., Trucco, P., &amp; Tardini, L. (2005). Cleaner production and profitability: Analysis of 134 industrial pollution prevention project reports. </w:t>
      </w:r>
      <w:r w:rsidRPr="002A617D">
        <w:rPr>
          <w:rFonts w:asciiTheme="majorHAnsi" w:hAnsiTheme="majorHAnsi" w:cstheme="majorHAnsi"/>
          <w:i/>
        </w:rPr>
        <w:t>Journal of Cleaner Production, 13</w:t>
      </w:r>
      <w:r w:rsidRPr="002A617D">
        <w:rPr>
          <w:rFonts w:asciiTheme="majorHAnsi" w:hAnsiTheme="majorHAnsi" w:cstheme="majorHAnsi"/>
        </w:rPr>
        <w:t xml:space="preserve">(6), </w:t>
      </w:r>
      <w:r w:rsidR="00FC0C83" w:rsidRPr="002A617D">
        <w:rPr>
          <w:rFonts w:asciiTheme="majorHAnsi" w:hAnsiTheme="majorHAnsi" w:cstheme="majorHAnsi"/>
        </w:rPr>
        <w:t>593–605</w:t>
      </w:r>
      <w:r w:rsidRPr="002A617D">
        <w:rPr>
          <w:rFonts w:asciiTheme="majorHAnsi" w:hAnsiTheme="majorHAnsi" w:cstheme="majorHAnsi"/>
        </w:rPr>
        <w:t>. https://doi.org/10.1016/j.jclepro.2003.12.025</w:t>
      </w:r>
    </w:p>
    <w:p w14:paraId="171BD441"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Gamper-Rabindran, S. (2006). Did the EPA's Toxics Release Inventory reduce pollution? Evidence from a regression discontinuity design. </w:t>
      </w:r>
      <w:r w:rsidRPr="002A617D">
        <w:rPr>
          <w:rFonts w:asciiTheme="majorHAnsi" w:hAnsiTheme="majorHAnsi" w:cstheme="majorHAnsi"/>
          <w:i/>
        </w:rPr>
        <w:t>Journal of Environmental Economics and Management, 51</w:t>
      </w:r>
      <w:r w:rsidRPr="002A617D">
        <w:rPr>
          <w:rFonts w:asciiTheme="majorHAnsi" w:hAnsiTheme="majorHAnsi" w:cstheme="majorHAnsi"/>
        </w:rPr>
        <w:t xml:space="preserve">(3), </w:t>
      </w:r>
      <w:r w:rsidR="00FC0C83" w:rsidRPr="002A617D">
        <w:rPr>
          <w:rFonts w:asciiTheme="majorHAnsi" w:hAnsiTheme="majorHAnsi" w:cstheme="majorHAnsi"/>
        </w:rPr>
        <w:t>303–328</w:t>
      </w:r>
      <w:r w:rsidRPr="002A617D">
        <w:rPr>
          <w:rFonts w:asciiTheme="majorHAnsi" w:hAnsiTheme="majorHAnsi" w:cstheme="majorHAnsi"/>
        </w:rPr>
        <w:t>. https://doi.org/10.1016/j.jeem.2005.11.002</w:t>
      </w:r>
    </w:p>
    <w:p w14:paraId="21AA8281"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Hamilton, J. T. (1995). Pollution as news: Media and stock market reactions to the Toxics Release Inventory data. </w:t>
      </w:r>
      <w:r w:rsidRPr="002A617D">
        <w:rPr>
          <w:rFonts w:asciiTheme="majorHAnsi" w:hAnsiTheme="majorHAnsi" w:cstheme="majorHAnsi"/>
          <w:i/>
        </w:rPr>
        <w:t>Journal of Environmental Economics and Management, 28</w:t>
      </w:r>
      <w:r w:rsidRPr="002A617D">
        <w:rPr>
          <w:rFonts w:asciiTheme="majorHAnsi" w:hAnsiTheme="majorHAnsi" w:cstheme="majorHAnsi"/>
        </w:rPr>
        <w:t xml:space="preserve">(1), </w:t>
      </w:r>
      <w:r w:rsidR="00FC0C83" w:rsidRPr="002A617D">
        <w:rPr>
          <w:rFonts w:asciiTheme="majorHAnsi" w:hAnsiTheme="majorHAnsi" w:cstheme="majorHAnsi"/>
        </w:rPr>
        <w:t>98–113</w:t>
      </w:r>
      <w:r w:rsidRPr="002A617D">
        <w:rPr>
          <w:rFonts w:asciiTheme="majorHAnsi" w:hAnsiTheme="majorHAnsi" w:cstheme="majorHAnsi"/>
        </w:rPr>
        <w:t>. https://doi.org/10.1006/jeem.1995.1007</w:t>
      </w:r>
    </w:p>
    <w:p w14:paraId="255D4DE1"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King, A. A., &amp; Lenox, M. J. (2002). Exploring the locus of profitable pollution reduction. </w:t>
      </w:r>
      <w:r w:rsidRPr="002A617D">
        <w:rPr>
          <w:rFonts w:asciiTheme="majorHAnsi" w:hAnsiTheme="majorHAnsi" w:cstheme="majorHAnsi"/>
          <w:i/>
        </w:rPr>
        <w:t>Management Science, 48</w:t>
      </w:r>
      <w:r w:rsidRPr="002A617D">
        <w:rPr>
          <w:rFonts w:asciiTheme="majorHAnsi" w:hAnsiTheme="majorHAnsi" w:cstheme="majorHAnsi"/>
        </w:rPr>
        <w:t xml:space="preserve">(2), </w:t>
      </w:r>
      <w:r w:rsidR="00FC0C83" w:rsidRPr="002A617D">
        <w:rPr>
          <w:rFonts w:asciiTheme="majorHAnsi" w:hAnsiTheme="majorHAnsi" w:cstheme="majorHAnsi"/>
        </w:rPr>
        <w:t>289–299</w:t>
      </w:r>
      <w:r w:rsidRPr="002A617D">
        <w:rPr>
          <w:rFonts w:asciiTheme="majorHAnsi" w:hAnsiTheme="majorHAnsi" w:cstheme="majorHAnsi"/>
        </w:rPr>
        <w:t>. https://doi.org/10.1287/mnsc.48.2.289.258</w:t>
      </w:r>
    </w:p>
    <w:p w14:paraId="0781815D"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Konar, S., &amp; Cohen, M. A. (1997). Information as regulation: The effect of community right-to-know laws on toxic emissions. </w:t>
      </w:r>
      <w:r w:rsidRPr="002A617D">
        <w:rPr>
          <w:rFonts w:asciiTheme="majorHAnsi" w:hAnsiTheme="majorHAnsi" w:cstheme="majorHAnsi"/>
          <w:i/>
        </w:rPr>
        <w:t>Journal of Environmental Economics and Management, 32</w:t>
      </w:r>
      <w:r w:rsidRPr="002A617D">
        <w:rPr>
          <w:rFonts w:asciiTheme="majorHAnsi" w:hAnsiTheme="majorHAnsi" w:cstheme="majorHAnsi"/>
        </w:rPr>
        <w:t xml:space="preserve">(1), </w:t>
      </w:r>
      <w:r w:rsidR="00FC0C83" w:rsidRPr="002A617D">
        <w:rPr>
          <w:rFonts w:asciiTheme="majorHAnsi" w:hAnsiTheme="majorHAnsi" w:cstheme="majorHAnsi"/>
        </w:rPr>
        <w:t>109–124</w:t>
      </w:r>
      <w:r w:rsidRPr="002A617D">
        <w:rPr>
          <w:rFonts w:asciiTheme="majorHAnsi" w:hAnsiTheme="majorHAnsi" w:cstheme="majorHAnsi"/>
        </w:rPr>
        <w:t>. https://doi.org/10.1006/jeem.1996.0959</w:t>
      </w:r>
    </w:p>
    <w:p w14:paraId="0E4C9159"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Peduzzi, P., Concato, J., Kemper, E., Holford, T. R., &amp; Feinstein, A. R. (1996). A simulation study of the number of events per variable in logistic regression analysis. </w:t>
      </w:r>
      <w:r w:rsidRPr="002A617D">
        <w:rPr>
          <w:rFonts w:asciiTheme="majorHAnsi" w:hAnsiTheme="majorHAnsi" w:cstheme="majorHAnsi"/>
          <w:i/>
        </w:rPr>
        <w:t>Journal of Clinical Epidemiology, 49</w:t>
      </w:r>
      <w:r w:rsidRPr="002A617D">
        <w:rPr>
          <w:rFonts w:asciiTheme="majorHAnsi" w:hAnsiTheme="majorHAnsi" w:cstheme="majorHAnsi"/>
        </w:rPr>
        <w:t xml:space="preserve">(12), </w:t>
      </w:r>
      <w:r w:rsidR="00FC0C83" w:rsidRPr="002A617D">
        <w:rPr>
          <w:rFonts w:asciiTheme="majorHAnsi" w:hAnsiTheme="majorHAnsi" w:cstheme="majorHAnsi"/>
        </w:rPr>
        <w:t>1373–1379</w:t>
      </w:r>
      <w:r w:rsidRPr="002A617D">
        <w:rPr>
          <w:rFonts w:asciiTheme="majorHAnsi" w:hAnsiTheme="majorHAnsi" w:cstheme="majorHAnsi"/>
        </w:rPr>
        <w:t>. https://doi.org/10.1016/S0895-4356(96)00236-3</w:t>
      </w:r>
    </w:p>
    <w:p w14:paraId="2A70BE87"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Ranson, M., Cox, B., Keenan, C., &amp; Teitelbaum, D. (2015). The impact of pollution prevention on toxic environmental releases from U.S. manufacturing facilities. </w:t>
      </w:r>
      <w:r w:rsidRPr="002A617D">
        <w:rPr>
          <w:rFonts w:asciiTheme="majorHAnsi" w:hAnsiTheme="majorHAnsi" w:cstheme="majorHAnsi"/>
          <w:i/>
        </w:rPr>
        <w:t>Environmental Science &amp; Technology, 49</w:t>
      </w:r>
      <w:r w:rsidRPr="002A617D">
        <w:rPr>
          <w:rFonts w:asciiTheme="majorHAnsi" w:hAnsiTheme="majorHAnsi" w:cstheme="majorHAnsi"/>
        </w:rPr>
        <w:t xml:space="preserve">(21), </w:t>
      </w:r>
      <w:r w:rsidR="00FC0C83" w:rsidRPr="002A617D">
        <w:rPr>
          <w:rFonts w:asciiTheme="majorHAnsi" w:hAnsiTheme="majorHAnsi" w:cstheme="majorHAnsi"/>
        </w:rPr>
        <w:t>12951–12957</w:t>
      </w:r>
      <w:r w:rsidRPr="002A617D">
        <w:rPr>
          <w:rFonts w:asciiTheme="majorHAnsi" w:hAnsiTheme="majorHAnsi" w:cstheme="majorHAnsi"/>
        </w:rPr>
        <w:t>. https://doi.org/10.1021/acs.est.5b02367</w:t>
      </w:r>
    </w:p>
    <w:p w14:paraId="424A078D" w14:textId="57857BF4"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Riley, R. D., Snell, K. I. E., Ensor, J., Burke, D. L., Harrell, F. E., Jr., Moons, K. G. M., &amp; Collins, G. S. (2019). Minimum sample size for developing a multivariable prediction model: Part </w:t>
      </w:r>
      <w:r w:rsidR="00313756" w:rsidRPr="002A617D">
        <w:rPr>
          <w:rFonts w:asciiTheme="majorHAnsi" w:hAnsiTheme="majorHAnsi" w:cstheme="majorHAnsi"/>
        </w:rPr>
        <w:t>II—Binary</w:t>
      </w:r>
      <w:r w:rsidRPr="002A617D">
        <w:rPr>
          <w:rFonts w:asciiTheme="majorHAnsi" w:hAnsiTheme="majorHAnsi" w:cstheme="majorHAnsi"/>
        </w:rPr>
        <w:t xml:space="preserve"> and time-to-event outcomes. </w:t>
      </w:r>
      <w:r w:rsidRPr="002A617D">
        <w:rPr>
          <w:rFonts w:asciiTheme="majorHAnsi" w:hAnsiTheme="majorHAnsi" w:cstheme="majorHAnsi"/>
          <w:i/>
        </w:rPr>
        <w:t>Statistics in Medicine, 38</w:t>
      </w:r>
      <w:r w:rsidRPr="002A617D">
        <w:rPr>
          <w:rFonts w:asciiTheme="majorHAnsi" w:hAnsiTheme="majorHAnsi" w:cstheme="majorHAnsi"/>
        </w:rPr>
        <w:t xml:space="preserve">(7), </w:t>
      </w:r>
      <w:r w:rsidR="00FC0C83" w:rsidRPr="002A617D">
        <w:rPr>
          <w:rFonts w:asciiTheme="majorHAnsi" w:hAnsiTheme="majorHAnsi" w:cstheme="majorHAnsi"/>
        </w:rPr>
        <w:t>1276–1296</w:t>
      </w:r>
      <w:r w:rsidRPr="002A617D">
        <w:rPr>
          <w:rFonts w:asciiTheme="majorHAnsi" w:hAnsiTheme="majorHAnsi" w:cstheme="majorHAnsi"/>
        </w:rPr>
        <w:t>. https://doi.org/10.1002/sim.7992</w:t>
      </w:r>
    </w:p>
    <w:p w14:paraId="2D108324"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lastRenderedPageBreak/>
        <w:t xml:space="preserve">Steyerberg, E. W., Vickers, A. J., Cook, N. R., Gerds, T., Gonen, M., Obuchowski, N., Pencina, M. J., &amp; Kattan, M. W. (2010). Assessing the performance of prediction models: A framework for traditional and novel measures. </w:t>
      </w:r>
      <w:r w:rsidRPr="002A617D">
        <w:rPr>
          <w:rFonts w:asciiTheme="majorHAnsi" w:hAnsiTheme="majorHAnsi" w:cstheme="majorHAnsi"/>
          <w:i/>
        </w:rPr>
        <w:t>Epidemiology, 21</w:t>
      </w:r>
      <w:r w:rsidRPr="002A617D">
        <w:rPr>
          <w:rFonts w:asciiTheme="majorHAnsi" w:hAnsiTheme="majorHAnsi" w:cstheme="majorHAnsi"/>
        </w:rPr>
        <w:t xml:space="preserve">(1), </w:t>
      </w:r>
      <w:r w:rsidR="00FC0C83" w:rsidRPr="002A617D">
        <w:rPr>
          <w:rFonts w:asciiTheme="majorHAnsi" w:hAnsiTheme="majorHAnsi" w:cstheme="majorHAnsi"/>
        </w:rPr>
        <w:t>128–138</w:t>
      </w:r>
      <w:r w:rsidRPr="002A617D">
        <w:rPr>
          <w:rFonts w:asciiTheme="majorHAnsi" w:hAnsiTheme="majorHAnsi" w:cstheme="majorHAnsi"/>
        </w:rPr>
        <w:t>. https://doi.org/10.1097/EDE.0b013e3181c30fb2</w:t>
      </w:r>
    </w:p>
    <w:p w14:paraId="6D83CA87"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U.S. Environmental Protection Agency. (2025a). </w:t>
      </w:r>
      <w:r w:rsidRPr="002A617D">
        <w:rPr>
          <w:rFonts w:asciiTheme="majorHAnsi" w:hAnsiTheme="majorHAnsi" w:cstheme="majorHAnsi"/>
          <w:i/>
        </w:rPr>
        <w:t xml:space="preserve">TRI Basic Plus data files: </w:t>
      </w:r>
      <w:r w:rsidR="00FC0C83" w:rsidRPr="002A617D">
        <w:rPr>
          <w:rFonts w:asciiTheme="majorHAnsi" w:hAnsiTheme="majorHAnsi" w:cstheme="majorHAnsi"/>
          <w:i/>
        </w:rPr>
        <w:t>Calendar years 1987–present</w:t>
      </w:r>
      <w:r w:rsidRPr="002A617D">
        <w:rPr>
          <w:rFonts w:asciiTheme="majorHAnsi" w:hAnsiTheme="majorHAnsi" w:cstheme="majorHAnsi"/>
        </w:rPr>
        <w:t>. https://www.epa.gov/toxics-release-inventory-tri-program/tri-basic-plus-data-files-calendar-years-1987-present</w:t>
      </w:r>
    </w:p>
    <w:p w14:paraId="73FD7DB3"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U.S. Environmental Protection Agency. (2025b). </w:t>
      </w:r>
      <w:r w:rsidRPr="002A617D">
        <w:rPr>
          <w:rFonts w:asciiTheme="majorHAnsi" w:hAnsiTheme="majorHAnsi" w:cstheme="majorHAnsi"/>
          <w:i/>
        </w:rPr>
        <w:t>TRI Basic Plus data files guides</w:t>
      </w:r>
      <w:r w:rsidRPr="002A617D">
        <w:rPr>
          <w:rFonts w:asciiTheme="majorHAnsi" w:hAnsiTheme="majorHAnsi" w:cstheme="majorHAnsi"/>
        </w:rPr>
        <w:t>. https://www.epa.gov/toxics-release-inventory-tri-program/tri-basic-plus-data-files-guides</w:t>
      </w:r>
    </w:p>
    <w:p w14:paraId="5ECC2227"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U.S. Environmental Protection Agency. (2025c). </w:t>
      </w:r>
      <w:r w:rsidRPr="002A617D">
        <w:rPr>
          <w:rFonts w:asciiTheme="majorHAnsi" w:hAnsiTheme="majorHAnsi" w:cstheme="majorHAnsi"/>
          <w:i/>
        </w:rPr>
        <w:t>Pollution prevention and source reduction assistance</w:t>
      </w:r>
      <w:r w:rsidRPr="002A617D">
        <w:rPr>
          <w:rFonts w:asciiTheme="majorHAnsi" w:hAnsiTheme="majorHAnsi" w:cstheme="majorHAnsi"/>
        </w:rPr>
        <w:t>. https://www.epa.gov/p2</w:t>
      </w:r>
    </w:p>
    <w:p w14:paraId="5847222F"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U.S. Environmental Protection Agency. (2025d). </w:t>
      </w:r>
      <w:r w:rsidRPr="002A617D">
        <w:rPr>
          <w:rFonts w:asciiTheme="majorHAnsi" w:hAnsiTheme="majorHAnsi" w:cstheme="majorHAnsi"/>
          <w:i/>
        </w:rPr>
        <w:t>Toxics Release Inventory National Analysis</w:t>
      </w:r>
      <w:r w:rsidRPr="002A617D">
        <w:rPr>
          <w:rFonts w:asciiTheme="majorHAnsi" w:hAnsiTheme="majorHAnsi" w:cstheme="majorHAnsi"/>
        </w:rPr>
        <w:t>. https://www.epa.gov/trinationalanalysis</w:t>
      </w:r>
    </w:p>
    <w:p w14:paraId="3BF7541E"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Van Calster, B., McLernon, D. J., van Smeden, M., Wynants, L., &amp; Steyerberg, E. W. (2019). Calibration: The Achilles heel of predictive analytics. </w:t>
      </w:r>
      <w:r w:rsidRPr="002A617D">
        <w:rPr>
          <w:rFonts w:asciiTheme="majorHAnsi" w:hAnsiTheme="majorHAnsi" w:cstheme="majorHAnsi"/>
          <w:i/>
        </w:rPr>
        <w:t>BMC Medicine, 17</w:t>
      </w:r>
      <w:r w:rsidRPr="002A617D">
        <w:rPr>
          <w:rFonts w:asciiTheme="majorHAnsi" w:hAnsiTheme="majorHAnsi" w:cstheme="majorHAnsi"/>
        </w:rPr>
        <w:t>, Article 230. https://doi.org/10.1186/s12916-019-1466-7</w:t>
      </w:r>
    </w:p>
    <w:p w14:paraId="1A62E415" w14:textId="77777777" w:rsidR="00C006A0" w:rsidRPr="002A617D" w:rsidRDefault="00000000" w:rsidP="002A617D">
      <w:pPr>
        <w:ind w:left="720" w:hanging="720"/>
        <w:rPr>
          <w:rFonts w:asciiTheme="majorHAnsi" w:hAnsiTheme="majorHAnsi" w:cstheme="majorHAnsi"/>
        </w:rPr>
      </w:pPr>
      <w:r w:rsidRPr="002A617D">
        <w:rPr>
          <w:rFonts w:asciiTheme="majorHAnsi" w:hAnsiTheme="majorHAnsi" w:cstheme="majorHAnsi"/>
        </w:rPr>
        <w:t xml:space="preserve">Van Smeden, M., Moons, K. G. M., de Groot, J. A. H., Collins, G. S., Altman, D. G., Eijkemans, M. J. C., &amp; Reitsma, J. B. (2019). Sample size for binary logistic prediction models: Beyond events per variable criteria. </w:t>
      </w:r>
      <w:r w:rsidRPr="002A617D">
        <w:rPr>
          <w:rFonts w:asciiTheme="majorHAnsi" w:hAnsiTheme="majorHAnsi" w:cstheme="majorHAnsi"/>
          <w:i/>
        </w:rPr>
        <w:t>Statistical Methods in Medical Research, 28</w:t>
      </w:r>
      <w:r w:rsidRPr="002A617D">
        <w:rPr>
          <w:rFonts w:asciiTheme="majorHAnsi" w:hAnsiTheme="majorHAnsi" w:cstheme="majorHAnsi"/>
        </w:rPr>
        <w:t xml:space="preserve">(8), </w:t>
      </w:r>
      <w:r w:rsidR="00FC0C83" w:rsidRPr="002A617D">
        <w:rPr>
          <w:rFonts w:asciiTheme="majorHAnsi" w:hAnsiTheme="majorHAnsi" w:cstheme="majorHAnsi"/>
        </w:rPr>
        <w:t>2455–2474</w:t>
      </w:r>
      <w:r w:rsidRPr="002A617D">
        <w:rPr>
          <w:rFonts w:asciiTheme="majorHAnsi" w:hAnsiTheme="majorHAnsi" w:cstheme="majorHAnsi"/>
        </w:rPr>
        <w:t>. https://doi.org/10.1177/0962280218784726</w:t>
      </w:r>
    </w:p>
    <w:p w14:paraId="5ED4C3A8"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br w:type="page"/>
      </w:r>
    </w:p>
    <w:p w14:paraId="2362EF8E" w14:textId="77777777" w:rsidR="00C006A0" w:rsidRPr="002A617D" w:rsidRDefault="00000000" w:rsidP="002A617D">
      <w:pPr>
        <w:pStyle w:val="Heading1"/>
        <w:pageBreakBefore/>
        <w:ind w:firstLine="0"/>
        <w:rPr>
          <w:rFonts w:cstheme="majorHAnsi"/>
          <w:szCs w:val="22"/>
        </w:rPr>
      </w:pPr>
      <w:r w:rsidRPr="002A617D">
        <w:rPr>
          <w:rFonts w:cstheme="majorHAnsi"/>
          <w:szCs w:val="22"/>
        </w:rPr>
        <w:lastRenderedPageBreak/>
        <w:t>Appendix A</w:t>
      </w:r>
    </w:p>
    <w:p w14:paraId="258CE72A" w14:textId="77777777" w:rsidR="00C006A0" w:rsidRPr="002A617D" w:rsidRDefault="00000000" w:rsidP="002A617D">
      <w:pPr>
        <w:pStyle w:val="Heading2"/>
        <w:ind w:firstLine="0"/>
        <w:rPr>
          <w:rFonts w:cstheme="majorHAnsi"/>
          <w:szCs w:val="22"/>
        </w:rPr>
      </w:pPr>
      <w:r w:rsidRPr="002A617D">
        <w:rPr>
          <w:rFonts w:cstheme="majorHAnsi"/>
          <w:szCs w:val="22"/>
        </w:rPr>
        <w:t>Data Definitions, Derivations, and Table Construction Rules</w:t>
      </w:r>
    </w:p>
    <w:p w14:paraId="298D0229"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This appendix defines every displayed data count and derived variable. It is referenced in the Data Description section so that the main synopsis remains concise while the calculation trail remains complete and reproducible. Exact EPA field labels and column positions are verified against the TRI Basic Plus field guide (EPA, 2025b).</w:t>
      </w:r>
    </w:p>
    <w:p w14:paraId="2198B8D0" w14:textId="77777777" w:rsidR="00C006A0" w:rsidRPr="002A617D" w:rsidRDefault="00C006A0" w:rsidP="002A617D">
      <w:pPr>
        <w:rPr>
          <w:rFonts w:asciiTheme="majorHAnsi" w:hAnsiTheme="majorHAnsi" w:cstheme="majorHAnsi"/>
        </w:rPr>
      </w:pPr>
    </w:p>
    <w:p w14:paraId="7AF6B5D6"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A1 defines the population filters, record units, consolidation rules, and rate calculations used to construct the preliminary data-preparation counts.</w:t>
      </w:r>
    </w:p>
    <w:p w14:paraId="65AACE5F"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A1</w:t>
      </w:r>
    </w:p>
    <w:p w14:paraId="64BC079F"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Definitions for the Preliminary Data-Preparation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48"/>
        <w:gridCol w:w="2602"/>
        <w:gridCol w:w="5010"/>
      </w:tblGrid>
      <w:tr w:rsidR="00C006A0" w:rsidRPr="002A617D" w14:paraId="0ECAB47E"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1C7D5B4C"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Table column heading</w:t>
            </w:r>
          </w:p>
        </w:tc>
        <w:tc>
          <w:tcPr>
            <w:tcW w:w="4320" w:type="dxa"/>
            <w:tcBorders>
              <w:bottom w:val="single" w:sz="8" w:space="0" w:color="000000"/>
            </w:tcBorders>
            <w:tcMar>
              <w:top w:w="80" w:type="dxa"/>
              <w:left w:w="80" w:type="dxa"/>
              <w:bottom w:w="80" w:type="dxa"/>
              <w:right w:w="80" w:type="dxa"/>
            </w:tcMar>
            <w:vAlign w:val="center"/>
          </w:tcPr>
          <w:p w14:paraId="102421BE"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Operational definition</w:t>
            </w:r>
          </w:p>
        </w:tc>
        <w:tc>
          <w:tcPr>
            <w:tcW w:w="3888" w:type="dxa"/>
            <w:tcBorders>
              <w:bottom w:val="single" w:sz="8" w:space="0" w:color="000000"/>
            </w:tcBorders>
            <w:tcMar>
              <w:top w:w="80" w:type="dxa"/>
              <w:left w:w="80" w:type="dxa"/>
              <w:bottom w:w="80" w:type="dxa"/>
              <w:right w:w="80" w:type="dxa"/>
            </w:tcMar>
            <w:vAlign w:val="center"/>
          </w:tcPr>
          <w:p w14:paraId="552F332A"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Exact derivation or counting rule</w:t>
            </w:r>
          </w:p>
        </w:tc>
      </w:tr>
      <w:tr w:rsidR="00C006A0" w:rsidRPr="002A617D" w14:paraId="0D071770" w14:textId="77777777">
        <w:trPr>
          <w:jc w:val="center"/>
        </w:trPr>
        <w:tc>
          <w:tcPr>
            <w:tcW w:w="2160" w:type="dxa"/>
            <w:tcMar>
              <w:top w:w="80" w:type="dxa"/>
              <w:left w:w="80" w:type="dxa"/>
              <w:bottom w:w="80" w:type="dxa"/>
              <w:right w:w="80" w:type="dxa"/>
            </w:tcMar>
            <w:vAlign w:val="center"/>
          </w:tcPr>
          <w:p w14:paraId="117AFE4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TRI reporting year</w:t>
            </w:r>
          </w:p>
        </w:tc>
        <w:tc>
          <w:tcPr>
            <w:tcW w:w="4320" w:type="dxa"/>
            <w:tcMar>
              <w:top w:w="80" w:type="dxa"/>
              <w:left w:w="80" w:type="dxa"/>
              <w:bottom w:w="80" w:type="dxa"/>
              <w:right w:w="80" w:type="dxa"/>
            </w:tcMar>
            <w:vAlign w:val="center"/>
          </w:tcPr>
          <w:p w14:paraId="3679754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The REPORTING YEAR value in the national TRI Basic Plus files.</w:t>
            </w:r>
          </w:p>
        </w:tc>
        <w:tc>
          <w:tcPr>
            <w:tcW w:w="3888" w:type="dxa"/>
            <w:tcMar>
              <w:top w:w="80" w:type="dxa"/>
              <w:left w:w="80" w:type="dxa"/>
              <w:bottom w:w="80" w:type="dxa"/>
              <w:right w:w="80" w:type="dxa"/>
            </w:tcMar>
            <w:vAlign w:val="center"/>
          </w:tcPr>
          <w:p w14:paraId="6C9436C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One table row is produced for each year from 2020 through 2024.</w:t>
            </w:r>
          </w:p>
        </w:tc>
      </w:tr>
      <w:tr w:rsidR="00C006A0" w:rsidRPr="002A617D" w14:paraId="4457F1C8" w14:textId="77777777">
        <w:trPr>
          <w:jc w:val="center"/>
        </w:trPr>
        <w:tc>
          <w:tcPr>
            <w:tcW w:w="2160" w:type="dxa"/>
            <w:tcMar>
              <w:top w:w="80" w:type="dxa"/>
              <w:left w:w="80" w:type="dxa"/>
              <w:bottom w:w="80" w:type="dxa"/>
              <w:right w:w="80" w:type="dxa"/>
            </w:tcMar>
            <w:vAlign w:val="center"/>
          </w:tcPr>
          <w:p w14:paraId="641AE9B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Form R manufacturing records before consolidation</w:t>
            </w:r>
          </w:p>
        </w:tc>
        <w:tc>
          <w:tcPr>
            <w:tcW w:w="4320" w:type="dxa"/>
            <w:tcMar>
              <w:top w:w="80" w:type="dxa"/>
              <w:left w:w="80" w:type="dxa"/>
              <w:bottom w:w="80" w:type="dxa"/>
              <w:right w:w="80" w:type="dxa"/>
            </w:tcMar>
            <w:vAlign w:val="center"/>
          </w:tcPr>
          <w:p w14:paraId="778617DB" w14:textId="59C77CBA"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Rows that remain after retaining FORM TYPE = R and a PRIMARY NAICS CODE </w:t>
            </w:r>
            <w:r w:rsidR="00313756" w:rsidRPr="002A617D">
              <w:rPr>
                <w:rFonts w:asciiTheme="majorHAnsi" w:hAnsiTheme="majorHAnsi" w:cstheme="majorHAnsi"/>
              </w:rPr>
              <w:t>that begins</w:t>
            </w:r>
            <w:r w:rsidRPr="002A617D">
              <w:rPr>
                <w:rFonts w:asciiTheme="majorHAnsi" w:hAnsiTheme="majorHAnsi" w:cstheme="majorHAnsi"/>
              </w:rPr>
              <w:t xml:space="preserve"> with 31, 32, or 33.</w:t>
            </w:r>
          </w:p>
        </w:tc>
        <w:tc>
          <w:tcPr>
            <w:tcW w:w="3888" w:type="dxa"/>
            <w:tcMar>
              <w:top w:w="80" w:type="dxa"/>
              <w:left w:w="80" w:type="dxa"/>
              <w:bottom w:w="80" w:type="dxa"/>
              <w:right w:w="80" w:type="dxa"/>
            </w:tcMar>
            <w:vAlign w:val="center"/>
          </w:tcPr>
          <w:p w14:paraId="6E4E13B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Count raw qualifying File 1A records after the one-to-one File 1A/File 2A join by DOCUMENT CONTROL NUMBER and before duplicate facility-chemical forms are consolidated.</w:t>
            </w:r>
          </w:p>
        </w:tc>
      </w:tr>
      <w:tr w:rsidR="00C006A0" w:rsidRPr="002A617D" w14:paraId="68A6765A" w14:textId="77777777">
        <w:trPr>
          <w:jc w:val="center"/>
        </w:trPr>
        <w:tc>
          <w:tcPr>
            <w:tcW w:w="2160" w:type="dxa"/>
            <w:tcMar>
              <w:top w:w="80" w:type="dxa"/>
              <w:left w:w="80" w:type="dxa"/>
              <w:bottom w:w="80" w:type="dxa"/>
              <w:right w:w="80" w:type="dxa"/>
            </w:tcMar>
            <w:vAlign w:val="center"/>
          </w:tcPr>
          <w:p w14:paraId="7CE3617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Unique facility-chemical-year records after consolidation</w:t>
            </w:r>
          </w:p>
        </w:tc>
        <w:tc>
          <w:tcPr>
            <w:tcW w:w="4320" w:type="dxa"/>
            <w:tcMar>
              <w:top w:w="80" w:type="dxa"/>
              <w:left w:w="80" w:type="dxa"/>
              <w:bottom w:w="80" w:type="dxa"/>
              <w:right w:w="80" w:type="dxa"/>
            </w:tcMar>
            <w:vAlign w:val="center"/>
          </w:tcPr>
          <w:p w14:paraId="3A1E1972" w14:textId="4D2DF772"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Distinct combinations of TRIFD, TRI_CHEM_ID, and REPORTING YEAR </w:t>
            </w:r>
            <w:r w:rsidR="00313756" w:rsidRPr="002A617D">
              <w:rPr>
                <w:rFonts w:asciiTheme="majorHAnsi" w:hAnsiTheme="majorHAnsi" w:cstheme="majorHAnsi"/>
              </w:rPr>
              <w:t>are created after duplicate Form R records have been</w:t>
            </w:r>
            <w:r w:rsidRPr="002A617D">
              <w:rPr>
                <w:rFonts w:asciiTheme="majorHAnsi" w:hAnsiTheme="majorHAnsi" w:cstheme="majorHAnsi"/>
              </w:rPr>
              <w:t xml:space="preserve"> combined.</w:t>
            </w:r>
          </w:p>
        </w:tc>
        <w:tc>
          <w:tcPr>
            <w:tcW w:w="3888" w:type="dxa"/>
            <w:tcMar>
              <w:top w:w="80" w:type="dxa"/>
              <w:left w:w="80" w:type="dxa"/>
              <w:bottom w:w="80" w:type="dxa"/>
              <w:right w:w="80" w:type="dxa"/>
            </w:tcMar>
            <w:vAlign w:val="center"/>
          </w:tcPr>
          <w:p w14:paraId="2FC30BBF" w14:textId="7C9998BF"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Group by TRIFD + TRI_CHEM_ID + REPORTING YEAR. Sum release quantities only when unit and chemical identifiers </w:t>
            </w:r>
            <w:r w:rsidR="00313756" w:rsidRPr="002A617D">
              <w:rPr>
                <w:rFonts w:asciiTheme="majorHAnsi" w:hAnsiTheme="majorHAnsi" w:cstheme="majorHAnsi"/>
              </w:rPr>
              <w:t>agree,</w:t>
            </w:r>
            <w:r w:rsidRPr="002A617D">
              <w:rPr>
                <w:rFonts w:asciiTheme="majorHAnsi" w:hAnsiTheme="majorHAnsi" w:cstheme="majorHAnsi"/>
              </w:rPr>
              <w:t xml:space="preserve"> combine reported action </w:t>
            </w:r>
            <w:r w:rsidR="00313756" w:rsidRPr="002A617D">
              <w:rPr>
                <w:rFonts w:asciiTheme="majorHAnsi" w:hAnsiTheme="majorHAnsi" w:cstheme="majorHAnsi"/>
              </w:rPr>
              <w:t>codes, and</w:t>
            </w:r>
            <w:r w:rsidRPr="002A617D">
              <w:rPr>
                <w:rFonts w:asciiTheme="majorHAnsi" w:hAnsiTheme="majorHAnsi" w:cstheme="majorHAnsi"/>
              </w:rPr>
              <w:t xml:space="preserve"> retain a duplicate-form count.</w:t>
            </w:r>
          </w:p>
        </w:tc>
      </w:tr>
      <w:tr w:rsidR="00C006A0" w:rsidRPr="002A617D" w14:paraId="7926C3E5" w14:textId="77777777">
        <w:trPr>
          <w:jc w:val="center"/>
        </w:trPr>
        <w:tc>
          <w:tcPr>
            <w:tcW w:w="2160" w:type="dxa"/>
            <w:tcMar>
              <w:top w:w="80" w:type="dxa"/>
              <w:left w:w="80" w:type="dxa"/>
              <w:bottom w:w="80" w:type="dxa"/>
              <w:right w:w="80" w:type="dxa"/>
            </w:tcMar>
            <w:vAlign w:val="center"/>
          </w:tcPr>
          <w:p w14:paraId="55173DF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Records reporting at least one Source Reduction Activity Code (%)</w:t>
            </w:r>
          </w:p>
        </w:tc>
        <w:tc>
          <w:tcPr>
            <w:tcW w:w="4320" w:type="dxa"/>
            <w:tcMar>
              <w:top w:w="80" w:type="dxa"/>
              <w:left w:w="80" w:type="dxa"/>
              <w:bottom w:w="80" w:type="dxa"/>
              <w:right w:w="80" w:type="dxa"/>
            </w:tcMar>
            <w:vAlign w:val="center"/>
          </w:tcPr>
          <w:p w14:paraId="77B16D2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Percentage of consolidated facility-chemical-year records with at least one valid reported action code in the four File 2A activity-code fields.</w:t>
            </w:r>
          </w:p>
        </w:tc>
        <w:tc>
          <w:tcPr>
            <w:tcW w:w="3888" w:type="dxa"/>
            <w:tcMar>
              <w:top w:w="80" w:type="dxa"/>
              <w:left w:w="80" w:type="dxa"/>
              <w:bottom w:w="80" w:type="dxa"/>
              <w:right w:w="80" w:type="dxa"/>
            </w:tcMar>
            <w:vAlign w:val="center"/>
          </w:tcPr>
          <w:p w14:paraId="6CB50FA9" w14:textId="47DD96EA"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Numerator = count(REPORTED_ANY_SOURCE_REDUCTION_ACTION = 1). Denominator = all consolidated facility-chemical-year records </w:t>
            </w:r>
            <w:r w:rsidR="00313756" w:rsidRPr="002A617D">
              <w:rPr>
                <w:rFonts w:asciiTheme="majorHAnsi" w:hAnsiTheme="majorHAnsi" w:cstheme="majorHAnsi"/>
              </w:rPr>
              <w:t>for the year.</w:t>
            </w:r>
            <w:r w:rsidRPr="002A617D">
              <w:rPr>
                <w:rFonts w:asciiTheme="majorHAnsi" w:hAnsiTheme="majorHAnsi" w:cstheme="majorHAnsi"/>
              </w:rPr>
              <w:t xml:space="preserve"> Rate = numerator / denominator</w:t>
            </w:r>
            <w:r w:rsidR="00FC0C83" w:rsidRPr="002A617D">
              <w:rPr>
                <w:rFonts w:asciiTheme="majorHAnsi" w:hAnsiTheme="majorHAnsi" w:cstheme="majorHAnsi"/>
              </w:rPr>
              <w:t xml:space="preserve"> × 100</w:t>
            </w:r>
            <w:r w:rsidRPr="002A617D">
              <w:rPr>
                <w:rFonts w:asciiTheme="majorHAnsi" w:hAnsiTheme="majorHAnsi" w:cstheme="majorHAnsi"/>
              </w:rPr>
              <w:t>.</w:t>
            </w:r>
          </w:p>
        </w:tc>
      </w:tr>
    </w:tbl>
    <w:p w14:paraId="5F3631FC" w14:textId="77777777" w:rsidR="00C006A0" w:rsidRPr="002A617D" w:rsidRDefault="00C006A0" w:rsidP="002A617D">
      <w:pPr>
        <w:rPr>
          <w:rFonts w:asciiTheme="majorHAnsi" w:hAnsiTheme="majorHAnsi" w:cstheme="majorHAnsi"/>
        </w:rPr>
      </w:pPr>
    </w:p>
    <w:p w14:paraId="3D286BE3" w14:textId="11EA049C" w:rsidR="00C006A0" w:rsidRPr="002A617D" w:rsidRDefault="00000000" w:rsidP="002A617D">
      <w:pPr>
        <w:rPr>
          <w:rFonts w:asciiTheme="majorHAnsi" w:hAnsiTheme="majorHAnsi" w:cstheme="majorHAnsi"/>
        </w:rPr>
      </w:pPr>
      <w:r w:rsidRPr="002A617D">
        <w:rPr>
          <w:rFonts w:asciiTheme="majorHAnsi" w:hAnsiTheme="majorHAnsi" w:cstheme="majorHAnsi"/>
        </w:rPr>
        <w:t xml:space="preserve">Table A2 explains how the four EPA Source Reduction Activity Code fields are converted into the reported-action indicator and the five </w:t>
      </w:r>
      <w:r w:rsidR="003720D4">
        <w:rPr>
          <w:rFonts w:asciiTheme="majorHAnsi" w:hAnsiTheme="majorHAnsi" w:cstheme="majorHAnsi"/>
        </w:rPr>
        <w:t>a</w:t>
      </w:r>
      <w:r w:rsidR="003720D4" w:rsidRPr="003720D4">
        <w:rPr>
          <w:rFonts w:asciiTheme="majorHAnsi" w:hAnsiTheme="majorHAnsi" w:cstheme="majorHAnsi"/>
        </w:rPr>
        <w:t>ction-type indicators</w:t>
      </w:r>
      <w:r w:rsidRPr="002A617D">
        <w:rPr>
          <w:rFonts w:asciiTheme="majorHAnsi" w:hAnsiTheme="majorHAnsi" w:cstheme="majorHAnsi"/>
        </w:rPr>
        <w:t>.</w:t>
      </w:r>
    </w:p>
    <w:p w14:paraId="52BFA70D"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lastRenderedPageBreak/>
        <w:t>Table A2</w:t>
      </w:r>
    </w:p>
    <w:p w14:paraId="1D78716C"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Derivation and Coding of Reported Source-Reduction Variables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429"/>
        <w:gridCol w:w="2978"/>
        <w:gridCol w:w="1953"/>
      </w:tblGrid>
      <w:tr w:rsidR="00C006A0" w:rsidRPr="002A617D" w14:paraId="4243DF01" w14:textId="77777777">
        <w:trPr>
          <w:tblHeader/>
          <w:jc w:val="center"/>
        </w:trPr>
        <w:tc>
          <w:tcPr>
            <w:tcW w:w="2592" w:type="dxa"/>
            <w:tcBorders>
              <w:bottom w:val="single" w:sz="8" w:space="0" w:color="000000"/>
            </w:tcBorders>
            <w:tcMar>
              <w:top w:w="80" w:type="dxa"/>
              <w:left w:w="80" w:type="dxa"/>
              <w:bottom w:w="80" w:type="dxa"/>
              <w:right w:w="80" w:type="dxa"/>
            </w:tcMar>
            <w:vAlign w:val="center"/>
          </w:tcPr>
          <w:p w14:paraId="30A3EB97"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Analysis variable</w:t>
            </w:r>
          </w:p>
        </w:tc>
        <w:tc>
          <w:tcPr>
            <w:tcW w:w="4752" w:type="dxa"/>
            <w:tcBorders>
              <w:bottom w:val="single" w:sz="8" w:space="0" w:color="000000"/>
            </w:tcBorders>
            <w:tcMar>
              <w:top w:w="80" w:type="dxa"/>
              <w:left w:w="80" w:type="dxa"/>
              <w:bottom w:w="80" w:type="dxa"/>
              <w:right w:w="80" w:type="dxa"/>
            </w:tcMar>
            <w:vAlign w:val="center"/>
          </w:tcPr>
          <w:p w14:paraId="1B91D1E8"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Exact EPA source fields or derivation rule</w:t>
            </w:r>
          </w:p>
        </w:tc>
        <w:tc>
          <w:tcPr>
            <w:tcW w:w="3024" w:type="dxa"/>
            <w:tcBorders>
              <w:bottom w:val="single" w:sz="8" w:space="0" w:color="000000"/>
            </w:tcBorders>
            <w:tcMar>
              <w:top w:w="80" w:type="dxa"/>
              <w:left w:w="80" w:type="dxa"/>
              <w:bottom w:w="80" w:type="dxa"/>
              <w:right w:w="80" w:type="dxa"/>
            </w:tcMar>
            <w:vAlign w:val="center"/>
          </w:tcPr>
          <w:p w14:paraId="442E60C9"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Coding or calculation rule</w:t>
            </w:r>
          </w:p>
        </w:tc>
      </w:tr>
      <w:tr w:rsidR="00C006A0" w:rsidRPr="002A617D" w14:paraId="4EFDDA90" w14:textId="77777777">
        <w:trPr>
          <w:jc w:val="center"/>
        </w:trPr>
        <w:tc>
          <w:tcPr>
            <w:tcW w:w="2592" w:type="dxa"/>
            <w:tcMar>
              <w:top w:w="80" w:type="dxa"/>
              <w:left w:w="80" w:type="dxa"/>
              <w:bottom w:w="80" w:type="dxa"/>
              <w:right w:w="80" w:type="dxa"/>
            </w:tcMar>
            <w:vAlign w:val="center"/>
          </w:tcPr>
          <w:p w14:paraId="40CEF6F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Source Reduction Activity Code</w:t>
            </w:r>
          </w:p>
        </w:tc>
        <w:tc>
          <w:tcPr>
            <w:tcW w:w="4752" w:type="dxa"/>
            <w:tcMar>
              <w:top w:w="80" w:type="dxa"/>
              <w:left w:w="80" w:type="dxa"/>
              <w:bottom w:w="80" w:type="dxa"/>
              <w:right w:w="80" w:type="dxa"/>
            </w:tcMar>
            <w:vAlign w:val="center"/>
          </w:tcPr>
          <w:p w14:paraId="5EE628A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 2A columns 145, 155, 165, and 175: FIRST, SECOND, THIRD, and FOURTH SOURCE REDUCTION ACTIVITY CODE.</w:t>
            </w:r>
          </w:p>
        </w:tc>
        <w:tc>
          <w:tcPr>
            <w:tcW w:w="3024" w:type="dxa"/>
            <w:tcMar>
              <w:top w:w="80" w:type="dxa"/>
              <w:left w:w="80" w:type="dxa"/>
              <w:bottom w:w="80" w:type="dxa"/>
              <w:right w:w="80" w:type="dxa"/>
            </w:tcMar>
            <w:vAlign w:val="center"/>
          </w:tcPr>
          <w:p w14:paraId="3EB2088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Each nonblank valid code describes an action reported for the chemical on that Form R.</w:t>
            </w:r>
          </w:p>
        </w:tc>
      </w:tr>
      <w:tr w:rsidR="00C006A0" w:rsidRPr="002A617D" w14:paraId="2FF04214" w14:textId="77777777">
        <w:trPr>
          <w:jc w:val="center"/>
        </w:trPr>
        <w:tc>
          <w:tcPr>
            <w:tcW w:w="2592" w:type="dxa"/>
            <w:tcMar>
              <w:top w:w="80" w:type="dxa"/>
              <w:left w:w="80" w:type="dxa"/>
              <w:bottom w:w="80" w:type="dxa"/>
              <w:right w:w="80" w:type="dxa"/>
            </w:tcMar>
            <w:vAlign w:val="center"/>
          </w:tcPr>
          <w:p w14:paraId="7BB6B70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REPORTED_ANY_SOURCE_REDUCTION_ACTION</w:t>
            </w:r>
          </w:p>
        </w:tc>
        <w:tc>
          <w:tcPr>
            <w:tcW w:w="4752" w:type="dxa"/>
            <w:tcMar>
              <w:top w:w="80" w:type="dxa"/>
              <w:left w:w="80" w:type="dxa"/>
              <w:bottom w:w="80" w:type="dxa"/>
              <w:right w:w="80" w:type="dxa"/>
            </w:tcMar>
            <w:vAlign w:val="center"/>
          </w:tcPr>
          <w:p w14:paraId="2B97826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Derived from the four activity-code fields after duplicate forms are consolidated.</w:t>
            </w:r>
          </w:p>
        </w:tc>
        <w:tc>
          <w:tcPr>
            <w:tcW w:w="3024" w:type="dxa"/>
            <w:tcMar>
              <w:top w:w="80" w:type="dxa"/>
              <w:left w:w="80" w:type="dxa"/>
              <w:bottom w:w="80" w:type="dxa"/>
              <w:right w:w="80" w:type="dxa"/>
            </w:tcMar>
            <w:vAlign w:val="center"/>
          </w:tcPr>
          <w:p w14:paraId="6E723F3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 if at least one valid code is present; 0 if all four consolidated fields are blank or contain no valid code.</w:t>
            </w:r>
          </w:p>
        </w:tc>
      </w:tr>
      <w:tr w:rsidR="00C006A0" w:rsidRPr="002A617D" w14:paraId="6A834276" w14:textId="77777777">
        <w:trPr>
          <w:jc w:val="center"/>
        </w:trPr>
        <w:tc>
          <w:tcPr>
            <w:tcW w:w="2592" w:type="dxa"/>
            <w:tcMar>
              <w:top w:w="80" w:type="dxa"/>
              <w:left w:w="80" w:type="dxa"/>
              <w:bottom w:w="80" w:type="dxa"/>
              <w:right w:w="80" w:type="dxa"/>
            </w:tcMar>
            <w:vAlign w:val="center"/>
          </w:tcPr>
          <w:p w14:paraId="2F23C120" w14:textId="38A0E10E"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Action-</w:t>
            </w:r>
            <w:r w:rsidR="00A26932">
              <w:rPr>
                <w:rFonts w:asciiTheme="majorHAnsi" w:hAnsiTheme="majorHAnsi" w:cstheme="majorHAnsi"/>
              </w:rPr>
              <w:t>type</w:t>
            </w:r>
            <w:r w:rsidRPr="002A617D">
              <w:rPr>
                <w:rFonts w:asciiTheme="majorHAnsi" w:hAnsiTheme="majorHAnsi" w:cstheme="majorHAnsi"/>
              </w:rPr>
              <w:t xml:space="preserve"> indicators</w:t>
            </w:r>
          </w:p>
        </w:tc>
        <w:tc>
          <w:tcPr>
            <w:tcW w:w="4752" w:type="dxa"/>
            <w:tcMar>
              <w:top w:w="80" w:type="dxa"/>
              <w:left w:w="80" w:type="dxa"/>
              <w:bottom w:w="80" w:type="dxa"/>
              <w:right w:w="80" w:type="dxa"/>
            </w:tcMar>
            <w:vAlign w:val="center"/>
          </w:tcPr>
          <w:p w14:paraId="09B4A38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Valid codes mapped to material modification, product modification, process/equipment modification, inventory/material </w:t>
            </w:r>
            <w:r w:rsidRPr="002A617D">
              <w:rPr>
                <w:rFonts w:asciiTheme="majorHAnsi" w:hAnsiTheme="majorHAnsi" w:cstheme="majorHAnsi"/>
              </w:rPr>
              <w:lastRenderedPageBreak/>
              <w:t>management, and operating practice/training.</w:t>
            </w:r>
          </w:p>
        </w:tc>
        <w:tc>
          <w:tcPr>
            <w:tcW w:w="3024" w:type="dxa"/>
            <w:tcMar>
              <w:top w:w="80" w:type="dxa"/>
              <w:left w:w="80" w:type="dxa"/>
              <w:bottom w:w="80" w:type="dxa"/>
              <w:right w:w="80" w:type="dxa"/>
            </w:tcMar>
            <w:vAlign w:val="center"/>
          </w:tcPr>
          <w:p w14:paraId="71F1F650" w14:textId="08837048" w:rsidR="00C006A0" w:rsidRPr="002A617D" w:rsidRDefault="00A26932" w:rsidP="002A617D">
            <w:pPr>
              <w:ind w:firstLine="0"/>
              <w:rPr>
                <w:rFonts w:asciiTheme="majorHAnsi" w:hAnsiTheme="majorHAnsi" w:cstheme="majorHAnsi"/>
              </w:rPr>
            </w:pPr>
            <w:r w:rsidRPr="00A26932">
              <w:rPr>
                <w:rFonts w:asciiTheme="majorHAnsi" w:hAnsiTheme="majorHAnsi" w:cstheme="majorHAnsi"/>
              </w:rPr>
              <w:lastRenderedPageBreak/>
              <w:t>Each action type is coded 1 when one or more mapped codes are present and 0 otherwise</w:t>
            </w:r>
            <w:r w:rsidR="00000000" w:rsidRPr="002A617D">
              <w:rPr>
                <w:rFonts w:asciiTheme="majorHAnsi" w:hAnsiTheme="majorHAnsi" w:cstheme="majorHAnsi"/>
              </w:rPr>
              <w:t xml:space="preserve">. Action types may co-occur. Legacy W </w:t>
            </w:r>
            <w:r w:rsidR="00000000" w:rsidRPr="002A617D">
              <w:rPr>
                <w:rFonts w:asciiTheme="majorHAnsi" w:hAnsiTheme="majorHAnsi" w:cstheme="majorHAnsi"/>
              </w:rPr>
              <w:lastRenderedPageBreak/>
              <w:t>codes are retained separately until their treatment is justified.</w:t>
            </w:r>
          </w:p>
        </w:tc>
      </w:tr>
    </w:tbl>
    <w:p w14:paraId="48999C2E"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lastRenderedPageBreak/>
        <w:t xml:space="preserve">REPORTED_ANY_SOURCE_REDUCTION_ACTIONᵢ = I(CODE1ᵢ </w:t>
      </w:r>
      <w:r w:rsidRPr="002A617D">
        <w:rPr>
          <w:rFonts w:ascii="Cambria Math" w:hAnsi="Cambria Math" w:cs="Cambria Math"/>
        </w:rPr>
        <w:t>∨</w:t>
      </w:r>
      <w:r w:rsidRPr="002A617D">
        <w:rPr>
          <w:rFonts w:asciiTheme="majorHAnsi" w:hAnsiTheme="majorHAnsi" w:cstheme="majorHAnsi"/>
        </w:rPr>
        <w:t xml:space="preserve"> CODE2ᵢ </w:t>
      </w:r>
      <w:r w:rsidRPr="002A617D">
        <w:rPr>
          <w:rFonts w:ascii="Cambria Math" w:hAnsi="Cambria Math" w:cs="Cambria Math"/>
        </w:rPr>
        <w:t>∨</w:t>
      </w:r>
      <w:r w:rsidRPr="002A617D">
        <w:rPr>
          <w:rFonts w:asciiTheme="majorHAnsi" w:hAnsiTheme="majorHAnsi" w:cstheme="majorHAnsi"/>
        </w:rPr>
        <w:t xml:space="preserve"> CODE3ᵢ </w:t>
      </w:r>
      <w:r w:rsidRPr="002A617D">
        <w:rPr>
          <w:rFonts w:ascii="Cambria Math" w:hAnsi="Cambria Math" w:cs="Cambria Math"/>
        </w:rPr>
        <w:t>∨</w:t>
      </w:r>
      <w:r w:rsidRPr="002A617D">
        <w:rPr>
          <w:rFonts w:asciiTheme="majorHAnsi" w:hAnsiTheme="majorHAnsi" w:cstheme="majorHAnsi"/>
        </w:rPr>
        <w:t xml:space="preserve"> CODE4ᵢ is valid)</w:t>
      </w:r>
    </w:p>
    <w:p w14:paraId="48097F74" w14:textId="4A9E3706" w:rsidR="00C006A0" w:rsidRPr="002A617D" w:rsidRDefault="008B06F3" w:rsidP="002A617D">
      <w:pPr>
        <w:rPr>
          <w:rFonts w:asciiTheme="majorHAnsi" w:hAnsiTheme="majorHAnsi" w:cstheme="majorHAnsi"/>
        </w:rPr>
      </w:pPr>
      <w:r w:rsidRPr="008B06F3">
        <w:rPr>
          <w:rFonts w:asciiTheme="majorHAnsi" w:hAnsiTheme="majorHAnsi" w:cstheme="majorHAnsi"/>
        </w:rPr>
        <w:t>The five action-type indicators are not mutually exclusive. A facility-chemical-year record may be coded 1 for more than one action type when multiple valid Source Reduction Activity Codes are reported. For RQ3, each action type is compared separately with records reporting no valid source-reduction action</w:t>
      </w:r>
      <w:r>
        <w:rPr>
          <w:rFonts w:asciiTheme="majorHAnsi" w:hAnsiTheme="majorHAnsi" w:cstheme="majorHAnsi"/>
        </w:rPr>
        <w:t xml:space="preserve">. </w:t>
      </w:r>
      <w:r w:rsidR="00000000" w:rsidRPr="002A617D">
        <w:rPr>
          <w:rFonts w:asciiTheme="majorHAnsi" w:hAnsiTheme="majorHAnsi" w:cstheme="majorHAnsi"/>
        </w:rPr>
        <w:t>Here, I(.) is an indicator function. A value of 1 confirms that at least one action code was reported in the selected File 2A fields. A value of 0 does not prove that no pollution-prevention activity occurred; it means only that no valid code was observed in those fields.</w:t>
      </w:r>
    </w:p>
    <w:p w14:paraId="2F6B70D0" w14:textId="77777777" w:rsidR="00C006A0" w:rsidRPr="002A617D" w:rsidRDefault="00C006A0" w:rsidP="002A617D">
      <w:pPr>
        <w:rPr>
          <w:rFonts w:asciiTheme="majorHAnsi" w:hAnsiTheme="majorHAnsi" w:cstheme="majorHAnsi"/>
        </w:rPr>
      </w:pPr>
    </w:p>
    <w:p w14:paraId="47D3B613"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A3 defines every column used in the consecutive-year matching table and states the exact counting and exclusion rules.</w:t>
      </w:r>
    </w:p>
    <w:p w14:paraId="1FFCE0EE"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lastRenderedPageBreak/>
        <w:t>Table A3</w:t>
      </w:r>
    </w:p>
    <w:p w14:paraId="434DBEC3"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Definitions for Consecutive-Year Matching Counts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963"/>
        <w:gridCol w:w="3812"/>
        <w:gridCol w:w="3585"/>
      </w:tblGrid>
      <w:tr w:rsidR="00C006A0" w:rsidRPr="002A617D" w14:paraId="592130B1"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189C1071"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Table column heading</w:t>
            </w:r>
          </w:p>
        </w:tc>
        <w:tc>
          <w:tcPr>
            <w:tcW w:w="4320" w:type="dxa"/>
            <w:tcBorders>
              <w:bottom w:val="single" w:sz="8" w:space="0" w:color="000000"/>
            </w:tcBorders>
            <w:tcMar>
              <w:top w:w="80" w:type="dxa"/>
              <w:left w:w="80" w:type="dxa"/>
              <w:bottom w:w="80" w:type="dxa"/>
              <w:right w:w="80" w:type="dxa"/>
            </w:tcMar>
            <w:vAlign w:val="center"/>
          </w:tcPr>
          <w:p w14:paraId="362F6B1C"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Operational definition</w:t>
            </w:r>
          </w:p>
        </w:tc>
        <w:tc>
          <w:tcPr>
            <w:tcW w:w="3888" w:type="dxa"/>
            <w:tcBorders>
              <w:bottom w:val="single" w:sz="8" w:space="0" w:color="000000"/>
            </w:tcBorders>
            <w:tcMar>
              <w:top w:w="80" w:type="dxa"/>
              <w:left w:w="80" w:type="dxa"/>
              <w:bottom w:w="80" w:type="dxa"/>
              <w:right w:w="80" w:type="dxa"/>
            </w:tcMar>
            <w:vAlign w:val="center"/>
          </w:tcPr>
          <w:p w14:paraId="542CE384"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Exact derivation or counting rule</w:t>
            </w:r>
          </w:p>
        </w:tc>
      </w:tr>
      <w:tr w:rsidR="00C006A0" w:rsidRPr="002A617D" w14:paraId="7E9F9822" w14:textId="77777777">
        <w:trPr>
          <w:jc w:val="center"/>
        </w:trPr>
        <w:tc>
          <w:tcPr>
            <w:tcW w:w="2160" w:type="dxa"/>
            <w:tcMar>
              <w:top w:w="80" w:type="dxa"/>
              <w:left w:w="80" w:type="dxa"/>
              <w:bottom w:w="80" w:type="dxa"/>
              <w:right w:w="80" w:type="dxa"/>
            </w:tcMar>
            <w:vAlign w:val="center"/>
          </w:tcPr>
          <w:p w14:paraId="6955EC2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Action-year to outcome-year transition</w:t>
            </w:r>
          </w:p>
        </w:tc>
        <w:tc>
          <w:tcPr>
            <w:tcW w:w="4320" w:type="dxa"/>
            <w:tcMar>
              <w:top w:w="80" w:type="dxa"/>
              <w:left w:w="80" w:type="dxa"/>
              <w:bottom w:w="80" w:type="dxa"/>
              <w:right w:w="80" w:type="dxa"/>
            </w:tcMar>
            <w:vAlign w:val="center"/>
          </w:tcPr>
          <w:p w14:paraId="2051D66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A pair of consecutive reporting years used to connect predictors to a later outcome.</w:t>
            </w:r>
          </w:p>
        </w:tc>
        <w:tc>
          <w:tcPr>
            <w:tcW w:w="3888" w:type="dxa"/>
            <w:tcMar>
              <w:top w:w="80" w:type="dxa"/>
              <w:left w:w="80" w:type="dxa"/>
              <w:bottom w:w="80" w:type="dxa"/>
              <w:right w:w="80" w:type="dxa"/>
            </w:tcMar>
            <w:vAlign w:val="center"/>
          </w:tcPr>
          <w:p w14:paraId="7E9A403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2020 to 2021, 2021 to 2022, 2022 to 2023, and 2023 to 2024.</w:t>
            </w:r>
          </w:p>
        </w:tc>
      </w:tr>
      <w:tr w:rsidR="00C006A0" w:rsidRPr="002A617D" w14:paraId="6CFB07E5" w14:textId="77777777">
        <w:trPr>
          <w:jc w:val="center"/>
        </w:trPr>
        <w:tc>
          <w:tcPr>
            <w:tcW w:w="2160" w:type="dxa"/>
            <w:tcMar>
              <w:top w:w="80" w:type="dxa"/>
              <w:left w:w="80" w:type="dxa"/>
              <w:bottom w:w="80" w:type="dxa"/>
              <w:right w:w="80" w:type="dxa"/>
            </w:tcMar>
            <w:vAlign w:val="center"/>
          </w:tcPr>
          <w:p w14:paraId="4B9C5C3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Facility-chemical records present in both years</w:t>
            </w:r>
          </w:p>
        </w:tc>
        <w:tc>
          <w:tcPr>
            <w:tcW w:w="4320" w:type="dxa"/>
            <w:tcMar>
              <w:top w:w="80" w:type="dxa"/>
              <w:left w:w="80" w:type="dxa"/>
              <w:bottom w:w="80" w:type="dxa"/>
              <w:right w:w="80" w:type="dxa"/>
            </w:tcMar>
            <w:vAlign w:val="center"/>
          </w:tcPr>
          <w:p w14:paraId="488B952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Consolidated action-year records matched to the same TRIFD and TRI_CHEM_ID in the following year.</w:t>
            </w:r>
          </w:p>
        </w:tc>
        <w:tc>
          <w:tcPr>
            <w:tcW w:w="3888" w:type="dxa"/>
            <w:tcMar>
              <w:top w:w="80" w:type="dxa"/>
              <w:left w:w="80" w:type="dxa"/>
              <w:bottom w:w="80" w:type="dxa"/>
              <w:right w:w="80" w:type="dxa"/>
            </w:tcMar>
            <w:vAlign w:val="center"/>
          </w:tcPr>
          <w:p w14:paraId="2DE6092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Inner join action year t to year t+1 using TRIFD + TRI_CHEM_ID; validate CAS number and unit consistency.</w:t>
            </w:r>
          </w:p>
        </w:tc>
      </w:tr>
      <w:tr w:rsidR="00C006A0" w:rsidRPr="002A617D" w14:paraId="08439B16" w14:textId="77777777">
        <w:trPr>
          <w:jc w:val="center"/>
        </w:trPr>
        <w:tc>
          <w:tcPr>
            <w:tcW w:w="2160" w:type="dxa"/>
            <w:tcMar>
              <w:top w:w="80" w:type="dxa"/>
              <w:left w:w="80" w:type="dxa"/>
              <w:bottom w:w="80" w:type="dxa"/>
              <w:right w:w="80" w:type="dxa"/>
            </w:tcMar>
            <w:vAlign w:val="center"/>
          </w:tcPr>
          <w:p w14:paraId="756AC26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Matched records with current-year release equal to zero</w:t>
            </w:r>
          </w:p>
        </w:tc>
        <w:tc>
          <w:tcPr>
            <w:tcW w:w="4320" w:type="dxa"/>
            <w:tcMar>
              <w:top w:w="80" w:type="dxa"/>
              <w:left w:w="80" w:type="dxa"/>
              <w:bottom w:w="80" w:type="dxa"/>
              <w:right w:w="80" w:type="dxa"/>
            </w:tcMar>
            <w:vAlign w:val="center"/>
          </w:tcPr>
          <w:p w14:paraId="1BB06D3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Matched records for which current-year TOTAL ON-SITE RELEASES = 0.</w:t>
            </w:r>
          </w:p>
        </w:tc>
        <w:tc>
          <w:tcPr>
            <w:tcW w:w="3888" w:type="dxa"/>
            <w:tcMar>
              <w:top w:w="80" w:type="dxa"/>
              <w:left w:w="80" w:type="dxa"/>
              <w:bottom w:w="80" w:type="dxa"/>
              <w:right w:w="80" w:type="dxa"/>
            </w:tcMar>
            <w:vAlign w:val="center"/>
          </w:tcPr>
          <w:p w14:paraId="5A5BA13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Count matched records with R_t = 0. These are excluded from percentage reduction because the denominator would be zero.</w:t>
            </w:r>
          </w:p>
        </w:tc>
      </w:tr>
      <w:tr w:rsidR="00C006A0" w:rsidRPr="002A617D" w14:paraId="5F5E4B47" w14:textId="77777777">
        <w:trPr>
          <w:jc w:val="center"/>
        </w:trPr>
        <w:tc>
          <w:tcPr>
            <w:tcW w:w="2160" w:type="dxa"/>
            <w:tcMar>
              <w:top w:w="80" w:type="dxa"/>
              <w:left w:w="80" w:type="dxa"/>
              <w:bottom w:w="80" w:type="dxa"/>
              <w:right w:w="80" w:type="dxa"/>
            </w:tcMar>
            <w:vAlign w:val="center"/>
          </w:tcPr>
          <w:p w14:paraId="24A15D0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Eligible matched records with current-year release greater than zero</w:t>
            </w:r>
          </w:p>
        </w:tc>
        <w:tc>
          <w:tcPr>
            <w:tcW w:w="4320" w:type="dxa"/>
            <w:tcMar>
              <w:top w:w="80" w:type="dxa"/>
              <w:left w:w="80" w:type="dxa"/>
              <w:bottom w:w="80" w:type="dxa"/>
              <w:right w:w="80" w:type="dxa"/>
            </w:tcMar>
            <w:vAlign w:val="center"/>
          </w:tcPr>
          <w:p w14:paraId="5D79CA2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Matched records with R_t &gt; 0, a nonmissing R_t+1, and consistent units.</w:t>
            </w:r>
          </w:p>
        </w:tc>
        <w:tc>
          <w:tcPr>
            <w:tcW w:w="3888" w:type="dxa"/>
            <w:tcMar>
              <w:top w:w="80" w:type="dxa"/>
              <w:left w:w="80" w:type="dxa"/>
              <w:bottom w:w="80" w:type="dxa"/>
              <w:right w:w="80" w:type="dxa"/>
            </w:tcMar>
            <w:vAlign w:val="center"/>
          </w:tcPr>
          <w:p w14:paraId="244DFFE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Eligible N = matched records - current-year zero records - records failing missingness or unit checks.</w:t>
            </w:r>
          </w:p>
        </w:tc>
      </w:tr>
      <w:tr w:rsidR="00C006A0" w:rsidRPr="002A617D" w14:paraId="7843B054" w14:textId="77777777">
        <w:trPr>
          <w:jc w:val="center"/>
        </w:trPr>
        <w:tc>
          <w:tcPr>
            <w:tcW w:w="2160" w:type="dxa"/>
            <w:tcMar>
              <w:top w:w="80" w:type="dxa"/>
              <w:left w:w="80" w:type="dxa"/>
              <w:bottom w:w="80" w:type="dxa"/>
              <w:right w:w="80" w:type="dxa"/>
            </w:tcMar>
            <w:vAlign w:val="center"/>
          </w:tcPr>
          <w:p w14:paraId="3F7ADC4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Eligible records achieving at least a </w:t>
            </w:r>
            <w:r w:rsidRPr="002A617D">
              <w:rPr>
                <w:rFonts w:asciiTheme="majorHAnsi" w:hAnsiTheme="majorHAnsi" w:cstheme="majorHAnsi"/>
              </w:rPr>
              <w:lastRenderedPageBreak/>
              <w:t>10% next-year reduction (%)</w:t>
            </w:r>
          </w:p>
        </w:tc>
        <w:tc>
          <w:tcPr>
            <w:tcW w:w="4320" w:type="dxa"/>
            <w:tcMar>
              <w:top w:w="80" w:type="dxa"/>
              <w:left w:w="80" w:type="dxa"/>
              <w:bottom w:w="80" w:type="dxa"/>
              <w:right w:w="80" w:type="dxa"/>
            </w:tcMar>
            <w:vAlign w:val="center"/>
          </w:tcPr>
          <w:p w14:paraId="67606DF2" w14:textId="067D44D8"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 xml:space="preserve">Percentage of eligible matched records for which </w:t>
            </w:r>
            <w:r w:rsidR="00313756" w:rsidRPr="002A617D">
              <w:rPr>
                <w:rFonts w:asciiTheme="majorHAnsi" w:hAnsiTheme="majorHAnsi" w:cstheme="majorHAnsi"/>
              </w:rPr>
              <w:t xml:space="preserve">the next-year release is no </w:t>
            </w:r>
            <w:r w:rsidR="00313756" w:rsidRPr="002A617D">
              <w:rPr>
                <w:rFonts w:asciiTheme="majorHAnsi" w:hAnsiTheme="majorHAnsi" w:cstheme="majorHAnsi"/>
              </w:rPr>
              <w:lastRenderedPageBreak/>
              <w:t>more than 90% of the</w:t>
            </w:r>
            <w:r w:rsidRPr="002A617D">
              <w:rPr>
                <w:rFonts w:asciiTheme="majorHAnsi" w:hAnsiTheme="majorHAnsi" w:cstheme="majorHAnsi"/>
              </w:rPr>
              <w:t xml:space="preserve"> current-year release.</w:t>
            </w:r>
          </w:p>
        </w:tc>
        <w:tc>
          <w:tcPr>
            <w:tcW w:w="3888" w:type="dxa"/>
            <w:tcMar>
              <w:top w:w="80" w:type="dxa"/>
              <w:left w:w="80" w:type="dxa"/>
              <w:bottom w:w="80" w:type="dxa"/>
              <w:right w:w="80" w:type="dxa"/>
            </w:tcMar>
            <w:vAlign w:val="center"/>
          </w:tcPr>
          <w:p w14:paraId="7966CFE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 xml:space="preserve">Numerator = count(REDUCTION_10 = 1). Denominator = eligible matched </w:t>
            </w:r>
            <w:r w:rsidRPr="002A617D">
              <w:rPr>
                <w:rFonts w:asciiTheme="majorHAnsi" w:hAnsiTheme="majorHAnsi" w:cstheme="majorHAnsi"/>
              </w:rPr>
              <w:lastRenderedPageBreak/>
              <w:t>records. Rate = numerator / denominator</w:t>
            </w:r>
            <w:r w:rsidR="00FC0C83" w:rsidRPr="002A617D">
              <w:rPr>
                <w:rFonts w:asciiTheme="majorHAnsi" w:hAnsiTheme="majorHAnsi" w:cstheme="majorHAnsi"/>
              </w:rPr>
              <w:t xml:space="preserve"> × 100</w:t>
            </w:r>
            <w:r w:rsidRPr="002A617D">
              <w:rPr>
                <w:rFonts w:asciiTheme="majorHAnsi" w:hAnsiTheme="majorHAnsi" w:cstheme="majorHAnsi"/>
              </w:rPr>
              <w:t>.</w:t>
            </w:r>
          </w:p>
        </w:tc>
      </w:tr>
    </w:tbl>
    <w:p w14:paraId="57D082D2" w14:textId="77777777" w:rsidR="00C006A0" w:rsidRPr="002A617D" w:rsidRDefault="00C006A0" w:rsidP="002A617D">
      <w:pPr>
        <w:rPr>
          <w:rFonts w:asciiTheme="majorHAnsi" w:hAnsiTheme="majorHAnsi" w:cstheme="majorHAnsi"/>
        </w:rPr>
      </w:pPr>
    </w:p>
    <w:p w14:paraId="75379950"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A4 presents the mathematical derivation of the primary outcome variable, REDUCTION_10.</w:t>
      </w:r>
    </w:p>
    <w:p w14:paraId="710188E5"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A4</w:t>
      </w:r>
    </w:p>
    <w:p w14:paraId="62EDBCB0"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Primary Outcome Derivation</w:t>
      </w:r>
    </w:p>
    <w:p w14:paraId="556CA3BF"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REDUCTION_10ᵢ = 1 when Rᵢ,</w:t>
      </w:r>
      <w:r w:rsidRPr="002A617D">
        <w:rPr>
          <w:rFonts w:ascii="Cambria Math" w:hAnsi="Cambria Math" w:cs="Cambria Math"/>
        </w:rPr>
        <w:t>ₜ</w:t>
      </w:r>
      <w:r w:rsidRPr="002A617D">
        <w:rPr>
          <w:rFonts w:asciiTheme="majorHAnsi" w:hAnsiTheme="majorHAnsi" w:cstheme="majorHAnsi"/>
        </w:rPr>
        <w:t>₊₁ ≤ 0.90 × Rᵢ,</w:t>
      </w:r>
      <w:r w:rsidRPr="002A617D">
        <w:rPr>
          <w:rFonts w:ascii="Cambria Math" w:hAnsi="Cambria Math" w:cs="Cambria Math"/>
        </w:rPr>
        <w:t>ₜ</w:t>
      </w:r>
      <w:r w:rsidRPr="002A617D">
        <w:rPr>
          <w:rFonts w:asciiTheme="majorHAnsi" w:hAnsiTheme="majorHAnsi" w:cstheme="majorHAnsi"/>
        </w:rPr>
        <w:t>; otherwise REDUCTION_10ᵢ = 0, provided Rᵢ,</w:t>
      </w:r>
      <w:r w:rsidRPr="002A617D">
        <w:rPr>
          <w:rFonts w:ascii="Cambria Math" w:hAnsi="Cambria Math" w:cs="Cambria Math"/>
        </w:rPr>
        <w:t>ₜ</w:t>
      </w:r>
      <w:r w:rsidRPr="002A617D">
        <w:rPr>
          <w:rFonts w:asciiTheme="majorHAnsi" w:hAnsiTheme="majorHAnsi" w:cstheme="majorHAnsi"/>
        </w:rPr>
        <w:t xml:space="preserve"> &gt; 0.</w:t>
      </w:r>
    </w:p>
    <w:p w14:paraId="43D2C13C"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Percentage changeᵢ = [(Rᵢ,</w:t>
      </w:r>
      <w:r w:rsidRPr="002A617D">
        <w:rPr>
          <w:rFonts w:ascii="Cambria Math" w:hAnsi="Cambria Math" w:cs="Cambria Math"/>
        </w:rPr>
        <w:t>ₜ</w:t>
      </w:r>
      <w:r w:rsidRPr="002A617D">
        <w:rPr>
          <w:rFonts w:asciiTheme="majorHAnsi" w:hAnsiTheme="majorHAnsi" w:cstheme="majorHAnsi"/>
        </w:rPr>
        <w:t>₊₁ - Rᵢ,</w:t>
      </w:r>
      <w:r w:rsidRPr="002A617D">
        <w:rPr>
          <w:rFonts w:ascii="Cambria Math" w:hAnsi="Cambria Math" w:cs="Cambria Math"/>
        </w:rPr>
        <w:t>ₜ</w:t>
      </w:r>
      <w:r w:rsidRPr="002A617D">
        <w:rPr>
          <w:rFonts w:asciiTheme="majorHAnsi" w:hAnsiTheme="majorHAnsi" w:cstheme="majorHAnsi"/>
        </w:rPr>
        <w:t>) / Rᵢ,</w:t>
      </w:r>
      <w:r w:rsidRPr="002A617D">
        <w:rPr>
          <w:rFonts w:ascii="Cambria Math" w:hAnsi="Cambria Math" w:cs="Cambria Math"/>
        </w:rPr>
        <w:t>ₜ</w:t>
      </w:r>
      <w:r w:rsidRPr="002A617D">
        <w:rPr>
          <w:rFonts w:asciiTheme="majorHAnsi" w:hAnsiTheme="majorHAnsi" w:cstheme="majorHAnsi"/>
        </w:rPr>
        <w:t>] × 100</w:t>
      </w:r>
    </w:p>
    <w:p w14:paraId="074BF564" w14:textId="7C1775E6" w:rsidR="00C006A0" w:rsidRPr="002A617D" w:rsidRDefault="00000000" w:rsidP="002A617D">
      <w:pPr>
        <w:rPr>
          <w:rFonts w:asciiTheme="majorHAnsi" w:hAnsiTheme="majorHAnsi" w:cstheme="majorHAnsi"/>
        </w:rPr>
      </w:pPr>
      <w:r w:rsidRPr="002A617D">
        <w:rPr>
          <w:rFonts w:asciiTheme="majorHAnsi" w:hAnsiTheme="majorHAnsi" w:cstheme="majorHAnsi"/>
        </w:rPr>
        <w:t xml:space="preserve">R_(i,t) is the total on-site release for facility-chemical record i in the action year, and R_(i,t+1) is the same facility and chemical in the </w:t>
      </w:r>
      <w:r w:rsidR="00313756" w:rsidRPr="002A617D">
        <w:rPr>
          <w:rFonts w:asciiTheme="majorHAnsi" w:hAnsiTheme="majorHAnsi" w:cstheme="majorHAnsi"/>
        </w:rPr>
        <w:t>following year.</w:t>
      </w:r>
      <w:r w:rsidRPr="002A617D">
        <w:rPr>
          <w:rFonts w:asciiTheme="majorHAnsi" w:hAnsiTheme="majorHAnsi" w:cstheme="majorHAnsi"/>
        </w:rPr>
        <w:t xml:space="preserve"> A next-year zero is a valid reduction. A missing next-year record is not converted to zero. Pound and gram quantities are never added together.</w:t>
      </w:r>
    </w:p>
    <w:p w14:paraId="0811A199" w14:textId="77777777" w:rsidR="00C006A0" w:rsidRPr="002A617D" w:rsidRDefault="00C006A0" w:rsidP="002A617D">
      <w:pPr>
        <w:rPr>
          <w:rFonts w:asciiTheme="majorHAnsi" w:hAnsiTheme="majorHAnsi" w:cstheme="majorHAnsi"/>
        </w:rPr>
      </w:pPr>
    </w:p>
    <w:p w14:paraId="27711AC3"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A5 provides the field-level data dictionary and analytical treatment of each core variable.</w:t>
      </w:r>
    </w:p>
    <w:p w14:paraId="391C7CD0"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lastRenderedPageBreak/>
        <w:t>Table A5</w:t>
      </w:r>
    </w:p>
    <w:p w14:paraId="14ED0677"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Core Field Dictionary and Transformation Notes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10"/>
        <w:gridCol w:w="1626"/>
        <w:gridCol w:w="5424"/>
      </w:tblGrid>
      <w:tr w:rsidR="00C006A0" w:rsidRPr="002A617D" w14:paraId="588520EA" w14:textId="77777777">
        <w:trPr>
          <w:tblHeader/>
          <w:jc w:val="center"/>
        </w:trPr>
        <w:tc>
          <w:tcPr>
            <w:tcW w:w="2448" w:type="dxa"/>
            <w:tcBorders>
              <w:bottom w:val="single" w:sz="8" w:space="0" w:color="000000"/>
            </w:tcBorders>
            <w:tcMar>
              <w:top w:w="80" w:type="dxa"/>
              <w:left w:w="80" w:type="dxa"/>
              <w:bottom w:w="80" w:type="dxa"/>
              <w:right w:w="80" w:type="dxa"/>
            </w:tcMar>
            <w:vAlign w:val="center"/>
          </w:tcPr>
          <w:p w14:paraId="641DC0F8"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EPA field or derived analysis variable</w:t>
            </w:r>
          </w:p>
        </w:tc>
        <w:tc>
          <w:tcPr>
            <w:tcW w:w="1728" w:type="dxa"/>
            <w:tcBorders>
              <w:bottom w:val="single" w:sz="8" w:space="0" w:color="000000"/>
            </w:tcBorders>
            <w:tcMar>
              <w:top w:w="80" w:type="dxa"/>
              <w:left w:w="80" w:type="dxa"/>
              <w:bottom w:w="80" w:type="dxa"/>
              <w:right w:w="80" w:type="dxa"/>
            </w:tcMar>
            <w:vAlign w:val="center"/>
          </w:tcPr>
          <w:p w14:paraId="6480DDB5"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EPA source file or derivation</w:t>
            </w:r>
          </w:p>
        </w:tc>
        <w:tc>
          <w:tcPr>
            <w:tcW w:w="6192" w:type="dxa"/>
            <w:tcBorders>
              <w:bottom w:val="single" w:sz="8" w:space="0" w:color="000000"/>
            </w:tcBorders>
            <w:tcMar>
              <w:top w:w="80" w:type="dxa"/>
              <w:left w:w="80" w:type="dxa"/>
              <w:bottom w:w="80" w:type="dxa"/>
              <w:right w:w="80" w:type="dxa"/>
            </w:tcMar>
            <w:vAlign w:val="center"/>
          </w:tcPr>
          <w:p w14:paraId="3EC64D02"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Operational definition and analytical treatment</w:t>
            </w:r>
          </w:p>
        </w:tc>
      </w:tr>
      <w:tr w:rsidR="00C006A0" w:rsidRPr="002A617D" w14:paraId="3EA58FB8" w14:textId="77777777">
        <w:trPr>
          <w:jc w:val="center"/>
        </w:trPr>
        <w:tc>
          <w:tcPr>
            <w:tcW w:w="2448" w:type="dxa"/>
            <w:tcMar>
              <w:top w:w="80" w:type="dxa"/>
              <w:left w:w="80" w:type="dxa"/>
              <w:bottom w:w="80" w:type="dxa"/>
              <w:right w:w="80" w:type="dxa"/>
            </w:tcMar>
            <w:vAlign w:val="center"/>
          </w:tcPr>
          <w:p w14:paraId="064C8D0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DOCUMENT CONTROL NUMBER</w:t>
            </w:r>
          </w:p>
        </w:tc>
        <w:tc>
          <w:tcPr>
            <w:tcW w:w="1728" w:type="dxa"/>
            <w:tcMar>
              <w:top w:w="80" w:type="dxa"/>
              <w:left w:w="80" w:type="dxa"/>
              <w:bottom w:w="80" w:type="dxa"/>
              <w:right w:w="80" w:type="dxa"/>
            </w:tcMar>
            <w:vAlign w:val="center"/>
          </w:tcPr>
          <w:p w14:paraId="41CAD4C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Files 1A and 2A</w:t>
            </w:r>
          </w:p>
        </w:tc>
        <w:tc>
          <w:tcPr>
            <w:tcW w:w="6192" w:type="dxa"/>
            <w:tcMar>
              <w:top w:w="80" w:type="dxa"/>
              <w:left w:w="80" w:type="dxa"/>
              <w:bottom w:w="80" w:type="dxa"/>
              <w:right w:w="80" w:type="dxa"/>
            </w:tcMar>
            <w:vAlign w:val="center"/>
          </w:tcPr>
          <w:p w14:paraId="1D50C516" w14:textId="129E93A3"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Within-year form-level join key. Uniqueness and join cardinality are audited </w:t>
            </w:r>
            <w:r w:rsidR="00313756" w:rsidRPr="002A617D">
              <w:rPr>
                <w:rFonts w:asciiTheme="majorHAnsi" w:hAnsiTheme="majorHAnsi" w:cstheme="majorHAnsi"/>
              </w:rPr>
              <w:t>before the analysis</w:t>
            </w:r>
            <w:r w:rsidRPr="002A617D">
              <w:rPr>
                <w:rFonts w:asciiTheme="majorHAnsi" w:hAnsiTheme="majorHAnsi" w:cstheme="majorHAnsi"/>
              </w:rPr>
              <w:t>.</w:t>
            </w:r>
          </w:p>
        </w:tc>
      </w:tr>
      <w:tr w:rsidR="00C006A0" w:rsidRPr="002A617D" w14:paraId="2B59FED9" w14:textId="77777777">
        <w:trPr>
          <w:jc w:val="center"/>
        </w:trPr>
        <w:tc>
          <w:tcPr>
            <w:tcW w:w="2448" w:type="dxa"/>
            <w:tcMar>
              <w:top w:w="80" w:type="dxa"/>
              <w:left w:w="80" w:type="dxa"/>
              <w:bottom w:w="80" w:type="dxa"/>
              <w:right w:w="80" w:type="dxa"/>
            </w:tcMar>
            <w:vAlign w:val="center"/>
          </w:tcPr>
          <w:p w14:paraId="70875E8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TRIFD</w:t>
            </w:r>
          </w:p>
        </w:tc>
        <w:tc>
          <w:tcPr>
            <w:tcW w:w="1728" w:type="dxa"/>
            <w:tcMar>
              <w:top w:w="80" w:type="dxa"/>
              <w:left w:w="80" w:type="dxa"/>
              <w:bottom w:w="80" w:type="dxa"/>
              <w:right w:w="80" w:type="dxa"/>
            </w:tcMar>
            <w:vAlign w:val="center"/>
          </w:tcPr>
          <w:p w14:paraId="1443703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Files 1A and 2A</w:t>
            </w:r>
          </w:p>
        </w:tc>
        <w:tc>
          <w:tcPr>
            <w:tcW w:w="6192" w:type="dxa"/>
            <w:tcMar>
              <w:top w:w="80" w:type="dxa"/>
              <w:left w:w="80" w:type="dxa"/>
              <w:bottom w:w="80" w:type="dxa"/>
              <w:right w:w="80" w:type="dxa"/>
            </w:tcMar>
            <w:vAlign w:val="center"/>
          </w:tcPr>
          <w:p w14:paraId="7A33ABF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Facility identifier used for cross-year matching and facility-clustered standard errors.</w:t>
            </w:r>
          </w:p>
        </w:tc>
      </w:tr>
      <w:tr w:rsidR="00C006A0" w:rsidRPr="002A617D" w14:paraId="2325C93B" w14:textId="77777777">
        <w:trPr>
          <w:jc w:val="center"/>
        </w:trPr>
        <w:tc>
          <w:tcPr>
            <w:tcW w:w="2448" w:type="dxa"/>
            <w:tcMar>
              <w:top w:w="80" w:type="dxa"/>
              <w:left w:w="80" w:type="dxa"/>
              <w:bottom w:w="80" w:type="dxa"/>
              <w:right w:w="80" w:type="dxa"/>
            </w:tcMar>
            <w:vAlign w:val="center"/>
          </w:tcPr>
          <w:p w14:paraId="3692A11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TRI_CHEM_ID</w:t>
            </w:r>
          </w:p>
        </w:tc>
        <w:tc>
          <w:tcPr>
            <w:tcW w:w="1728" w:type="dxa"/>
            <w:tcMar>
              <w:top w:w="80" w:type="dxa"/>
              <w:left w:w="80" w:type="dxa"/>
              <w:bottom w:w="80" w:type="dxa"/>
              <w:right w:w="80" w:type="dxa"/>
            </w:tcMar>
            <w:vAlign w:val="center"/>
          </w:tcPr>
          <w:p w14:paraId="323A325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Files 1A and 2A</w:t>
            </w:r>
          </w:p>
        </w:tc>
        <w:tc>
          <w:tcPr>
            <w:tcW w:w="6192" w:type="dxa"/>
            <w:tcMar>
              <w:top w:w="80" w:type="dxa"/>
              <w:left w:w="80" w:type="dxa"/>
              <w:bottom w:w="80" w:type="dxa"/>
              <w:right w:w="80" w:type="dxa"/>
            </w:tcMar>
            <w:vAlign w:val="center"/>
          </w:tcPr>
          <w:p w14:paraId="7DAAF92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Primary chemical identifier for consolidation and cross-year matching. CAS NUMBER is a validation field.</w:t>
            </w:r>
          </w:p>
        </w:tc>
      </w:tr>
      <w:tr w:rsidR="00C006A0" w:rsidRPr="002A617D" w14:paraId="63DE16F2" w14:textId="77777777">
        <w:trPr>
          <w:jc w:val="center"/>
        </w:trPr>
        <w:tc>
          <w:tcPr>
            <w:tcW w:w="2448" w:type="dxa"/>
            <w:tcMar>
              <w:top w:w="80" w:type="dxa"/>
              <w:left w:w="80" w:type="dxa"/>
              <w:bottom w:w="80" w:type="dxa"/>
              <w:right w:w="80" w:type="dxa"/>
            </w:tcMar>
            <w:vAlign w:val="center"/>
          </w:tcPr>
          <w:p w14:paraId="7BA5916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PRIMARY NAICS CODE</w:t>
            </w:r>
          </w:p>
        </w:tc>
        <w:tc>
          <w:tcPr>
            <w:tcW w:w="1728" w:type="dxa"/>
            <w:tcMar>
              <w:top w:w="80" w:type="dxa"/>
              <w:left w:w="80" w:type="dxa"/>
              <w:bottom w:w="80" w:type="dxa"/>
              <w:right w:w="80" w:type="dxa"/>
            </w:tcMar>
            <w:vAlign w:val="center"/>
          </w:tcPr>
          <w:p w14:paraId="19C82CB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Files 1A and 2A</w:t>
            </w:r>
          </w:p>
        </w:tc>
        <w:tc>
          <w:tcPr>
            <w:tcW w:w="6192" w:type="dxa"/>
            <w:tcMar>
              <w:top w:w="80" w:type="dxa"/>
              <w:left w:w="80" w:type="dxa"/>
              <w:bottom w:w="80" w:type="dxa"/>
              <w:right w:w="80" w:type="dxa"/>
            </w:tcMar>
            <w:vAlign w:val="center"/>
          </w:tcPr>
          <w:p w14:paraId="2F68D5C8" w14:textId="594F78C1"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Filter to codes </w:t>
            </w:r>
            <w:r w:rsidR="00313756" w:rsidRPr="002A617D">
              <w:rPr>
                <w:rFonts w:asciiTheme="majorHAnsi" w:hAnsiTheme="majorHAnsi" w:cstheme="majorHAnsi"/>
              </w:rPr>
              <w:t>beginning with</w:t>
            </w:r>
            <w:r w:rsidRPr="002A617D">
              <w:rPr>
                <w:rFonts w:asciiTheme="majorHAnsi" w:hAnsiTheme="majorHAnsi" w:cstheme="majorHAnsi"/>
              </w:rPr>
              <w:t xml:space="preserve"> 31, 32, or 33; first three digits define the manufacturing subsector.</w:t>
            </w:r>
          </w:p>
        </w:tc>
      </w:tr>
      <w:tr w:rsidR="00C006A0" w:rsidRPr="002A617D" w14:paraId="4973EACB" w14:textId="77777777">
        <w:trPr>
          <w:jc w:val="center"/>
        </w:trPr>
        <w:tc>
          <w:tcPr>
            <w:tcW w:w="2448" w:type="dxa"/>
            <w:tcMar>
              <w:top w:w="80" w:type="dxa"/>
              <w:left w:w="80" w:type="dxa"/>
              <w:bottom w:w="80" w:type="dxa"/>
              <w:right w:w="80" w:type="dxa"/>
            </w:tcMar>
            <w:vAlign w:val="center"/>
          </w:tcPr>
          <w:p w14:paraId="5A23321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TOTAL ON-SITE RELEASES</w:t>
            </w:r>
          </w:p>
        </w:tc>
        <w:tc>
          <w:tcPr>
            <w:tcW w:w="1728" w:type="dxa"/>
            <w:tcMar>
              <w:top w:w="80" w:type="dxa"/>
              <w:left w:w="80" w:type="dxa"/>
              <w:bottom w:w="80" w:type="dxa"/>
              <w:right w:w="80" w:type="dxa"/>
            </w:tcMar>
            <w:vAlign w:val="center"/>
          </w:tcPr>
          <w:p w14:paraId="1345264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 1A</w:t>
            </w:r>
          </w:p>
        </w:tc>
        <w:tc>
          <w:tcPr>
            <w:tcW w:w="6192" w:type="dxa"/>
            <w:tcMar>
              <w:top w:w="80" w:type="dxa"/>
              <w:left w:w="80" w:type="dxa"/>
              <w:bottom w:w="80" w:type="dxa"/>
              <w:right w:w="80" w:type="dxa"/>
            </w:tcMar>
            <w:vAlign w:val="center"/>
          </w:tcPr>
          <w:p w14:paraId="5ED917D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Reported annual quantity used for the current-release control and next-year outcome. log(1 + release) is used as a control when appropriate.</w:t>
            </w:r>
          </w:p>
        </w:tc>
      </w:tr>
      <w:tr w:rsidR="00C006A0" w:rsidRPr="002A617D" w14:paraId="3E214E53" w14:textId="77777777">
        <w:trPr>
          <w:jc w:val="center"/>
        </w:trPr>
        <w:tc>
          <w:tcPr>
            <w:tcW w:w="2448" w:type="dxa"/>
            <w:tcMar>
              <w:top w:w="80" w:type="dxa"/>
              <w:left w:w="80" w:type="dxa"/>
              <w:bottom w:w="80" w:type="dxa"/>
              <w:right w:w="80" w:type="dxa"/>
            </w:tcMar>
            <w:vAlign w:val="center"/>
          </w:tcPr>
          <w:p w14:paraId="7F03523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PROD RATIO/ACTIVITY INDEX</w:t>
            </w:r>
          </w:p>
        </w:tc>
        <w:tc>
          <w:tcPr>
            <w:tcW w:w="1728" w:type="dxa"/>
            <w:tcMar>
              <w:top w:w="80" w:type="dxa"/>
              <w:left w:w="80" w:type="dxa"/>
              <w:bottom w:w="80" w:type="dxa"/>
              <w:right w:w="80" w:type="dxa"/>
            </w:tcMar>
            <w:vAlign w:val="center"/>
          </w:tcPr>
          <w:p w14:paraId="3D7644C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 2A</w:t>
            </w:r>
          </w:p>
        </w:tc>
        <w:tc>
          <w:tcPr>
            <w:tcW w:w="6192" w:type="dxa"/>
            <w:tcMar>
              <w:top w:w="80" w:type="dxa"/>
              <w:left w:w="80" w:type="dxa"/>
              <w:bottom w:w="80" w:type="dxa"/>
              <w:right w:w="80" w:type="dxa"/>
            </w:tcMar>
            <w:vAlign w:val="center"/>
          </w:tcPr>
          <w:p w14:paraId="7D3A3C1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Current-year production or activity control. Duplicate values are summarized by the median; missingness and extreme values are reported.</w:t>
            </w:r>
          </w:p>
        </w:tc>
      </w:tr>
      <w:tr w:rsidR="00C006A0" w:rsidRPr="002A617D" w14:paraId="4296E232" w14:textId="77777777">
        <w:trPr>
          <w:jc w:val="center"/>
        </w:trPr>
        <w:tc>
          <w:tcPr>
            <w:tcW w:w="2448" w:type="dxa"/>
            <w:tcMar>
              <w:top w:w="80" w:type="dxa"/>
              <w:left w:w="80" w:type="dxa"/>
              <w:bottom w:w="80" w:type="dxa"/>
              <w:right w:w="80" w:type="dxa"/>
            </w:tcMar>
            <w:vAlign w:val="center"/>
          </w:tcPr>
          <w:p w14:paraId="1EC690B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UNIT OF MEASURE</w:t>
            </w:r>
          </w:p>
        </w:tc>
        <w:tc>
          <w:tcPr>
            <w:tcW w:w="1728" w:type="dxa"/>
            <w:tcMar>
              <w:top w:w="80" w:type="dxa"/>
              <w:left w:w="80" w:type="dxa"/>
              <w:bottom w:w="80" w:type="dxa"/>
              <w:right w:w="80" w:type="dxa"/>
            </w:tcMar>
            <w:vAlign w:val="center"/>
          </w:tcPr>
          <w:p w14:paraId="42AA3F5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File 1A</w:t>
            </w:r>
          </w:p>
        </w:tc>
        <w:tc>
          <w:tcPr>
            <w:tcW w:w="6192" w:type="dxa"/>
            <w:tcMar>
              <w:top w:w="80" w:type="dxa"/>
              <w:left w:w="80" w:type="dxa"/>
              <w:bottom w:w="80" w:type="dxa"/>
              <w:right w:w="80" w:type="dxa"/>
            </w:tcMar>
            <w:vAlign w:val="center"/>
          </w:tcPr>
          <w:p w14:paraId="184C4F9C" w14:textId="027BEA14"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Used to prevent </w:t>
            </w:r>
            <w:r w:rsidR="00313756" w:rsidRPr="002A617D">
              <w:rPr>
                <w:rFonts w:asciiTheme="majorHAnsi" w:hAnsiTheme="majorHAnsi" w:cstheme="majorHAnsi"/>
              </w:rPr>
              <w:t>an invalid</w:t>
            </w:r>
            <w:r w:rsidRPr="002A617D">
              <w:rPr>
                <w:rFonts w:asciiTheme="majorHAnsi" w:hAnsiTheme="majorHAnsi" w:cstheme="majorHAnsi"/>
              </w:rPr>
              <w:t xml:space="preserve"> combination of pounds and grams. Inconsistent matched pairs are excluded from percentage-change calculations.</w:t>
            </w:r>
          </w:p>
        </w:tc>
      </w:tr>
    </w:tbl>
    <w:p w14:paraId="31707FCB"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br w:type="page"/>
      </w:r>
    </w:p>
    <w:p w14:paraId="43E34A3D" w14:textId="77777777" w:rsidR="00C006A0" w:rsidRPr="002A617D" w:rsidRDefault="00000000" w:rsidP="002A617D">
      <w:pPr>
        <w:pStyle w:val="Heading1"/>
        <w:pageBreakBefore/>
        <w:ind w:firstLine="0"/>
        <w:rPr>
          <w:rFonts w:cstheme="majorHAnsi"/>
          <w:szCs w:val="22"/>
        </w:rPr>
      </w:pPr>
      <w:r w:rsidRPr="002A617D">
        <w:rPr>
          <w:rFonts w:cstheme="majorHAnsi"/>
          <w:szCs w:val="22"/>
        </w:rPr>
        <w:lastRenderedPageBreak/>
        <w:t>Appendix B</w:t>
      </w:r>
    </w:p>
    <w:p w14:paraId="01A3E88C" w14:textId="77777777" w:rsidR="00C006A0" w:rsidRPr="002A617D" w:rsidRDefault="00000000" w:rsidP="002A617D">
      <w:pPr>
        <w:pStyle w:val="Heading2"/>
        <w:ind w:firstLine="0"/>
        <w:rPr>
          <w:rFonts w:cstheme="majorHAnsi"/>
          <w:szCs w:val="22"/>
        </w:rPr>
      </w:pPr>
      <w:r w:rsidRPr="002A617D">
        <w:rPr>
          <w:rFonts w:cstheme="majorHAnsi"/>
          <w:szCs w:val="22"/>
        </w:rPr>
        <w:t>Sample-Size Calculations and Substitution Details</w:t>
      </w:r>
    </w:p>
    <w:p w14:paraId="081CE2EF"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This appendix contains the full calculations supporting Table 2. Each substituted value is identified as a statistical constant, a researcher-selected planning assumption, a published methodological planning rule, or a preliminary rate calculated from the development transitions. Preliminary rates are feasibility inputs rather than final findings.</w:t>
      </w:r>
    </w:p>
    <w:p w14:paraId="573A9469" w14:textId="77777777" w:rsidR="00C006A0" w:rsidRPr="002A617D" w:rsidRDefault="00C006A0" w:rsidP="002A617D">
      <w:pPr>
        <w:rPr>
          <w:rFonts w:asciiTheme="majorHAnsi" w:hAnsiTheme="majorHAnsi" w:cstheme="majorHAnsi"/>
        </w:rPr>
      </w:pPr>
    </w:p>
    <w:p w14:paraId="7D5C5E37"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B1 identifies the value, classification, source, and rationale for every sample-size parameter.</w:t>
      </w:r>
    </w:p>
    <w:p w14:paraId="5B9752DF"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t>Table B1</w:t>
      </w:r>
    </w:p>
    <w:p w14:paraId="57532E9F" w14:textId="4B86357B"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 xml:space="preserve">Source and Derivation of </w:t>
      </w:r>
      <w:r w:rsidR="00313756" w:rsidRPr="002A617D">
        <w:rPr>
          <w:rFonts w:asciiTheme="majorHAnsi" w:hAnsiTheme="majorHAnsi" w:cstheme="majorHAnsi"/>
          <w:i/>
        </w:rPr>
        <w:t>Sample Size</w:t>
      </w:r>
      <w:r w:rsidRPr="002A617D">
        <w:rPr>
          <w:rFonts w:asciiTheme="majorHAnsi" w:hAnsiTheme="majorHAnsi" w:cstheme="majorHAnsi"/>
          <w:i/>
        </w:rPr>
        <w:t xml:space="preserve"> Substitution Values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795"/>
        <w:gridCol w:w="1074"/>
        <w:gridCol w:w="2062"/>
        <w:gridCol w:w="4429"/>
      </w:tblGrid>
      <w:tr w:rsidR="00C006A0" w:rsidRPr="002A617D" w14:paraId="0FB39D29" w14:textId="77777777">
        <w:trPr>
          <w:tblHeader/>
          <w:jc w:val="center"/>
        </w:trPr>
        <w:tc>
          <w:tcPr>
            <w:tcW w:w="2160" w:type="dxa"/>
            <w:tcBorders>
              <w:bottom w:val="single" w:sz="8" w:space="0" w:color="000000"/>
            </w:tcBorders>
            <w:tcMar>
              <w:top w:w="80" w:type="dxa"/>
              <w:left w:w="80" w:type="dxa"/>
              <w:bottom w:w="80" w:type="dxa"/>
              <w:right w:w="80" w:type="dxa"/>
            </w:tcMar>
            <w:vAlign w:val="center"/>
          </w:tcPr>
          <w:p w14:paraId="2D305C09"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Substitution value</w:t>
            </w:r>
          </w:p>
        </w:tc>
        <w:tc>
          <w:tcPr>
            <w:tcW w:w="1440" w:type="dxa"/>
            <w:tcBorders>
              <w:bottom w:val="single" w:sz="8" w:space="0" w:color="000000"/>
            </w:tcBorders>
            <w:tcMar>
              <w:top w:w="80" w:type="dxa"/>
              <w:left w:w="80" w:type="dxa"/>
              <w:bottom w:w="80" w:type="dxa"/>
              <w:right w:w="80" w:type="dxa"/>
            </w:tcMar>
            <w:vAlign w:val="center"/>
          </w:tcPr>
          <w:p w14:paraId="334789AE"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Value used</w:t>
            </w:r>
          </w:p>
        </w:tc>
        <w:tc>
          <w:tcPr>
            <w:tcW w:w="3168" w:type="dxa"/>
            <w:tcBorders>
              <w:bottom w:val="single" w:sz="8" w:space="0" w:color="000000"/>
            </w:tcBorders>
            <w:tcMar>
              <w:top w:w="80" w:type="dxa"/>
              <w:left w:w="80" w:type="dxa"/>
              <w:bottom w:w="80" w:type="dxa"/>
              <w:right w:w="80" w:type="dxa"/>
            </w:tcMar>
            <w:vAlign w:val="center"/>
          </w:tcPr>
          <w:p w14:paraId="5A79ABD4"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Classification and source</w:t>
            </w:r>
          </w:p>
        </w:tc>
        <w:tc>
          <w:tcPr>
            <w:tcW w:w="4320" w:type="dxa"/>
            <w:tcBorders>
              <w:bottom w:val="single" w:sz="8" w:space="0" w:color="000000"/>
            </w:tcBorders>
            <w:tcMar>
              <w:top w:w="80" w:type="dxa"/>
              <w:left w:w="80" w:type="dxa"/>
              <w:bottom w:w="80" w:type="dxa"/>
              <w:right w:w="80" w:type="dxa"/>
            </w:tcMar>
            <w:vAlign w:val="center"/>
          </w:tcPr>
          <w:p w14:paraId="08C1D922"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Derivation or rationale</w:t>
            </w:r>
          </w:p>
        </w:tc>
      </w:tr>
      <w:tr w:rsidR="00C006A0" w:rsidRPr="002A617D" w14:paraId="1948BADB" w14:textId="77777777">
        <w:trPr>
          <w:jc w:val="center"/>
        </w:trPr>
        <w:tc>
          <w:tcPr>
            <w:tcW w:w="2160" w:type="dxa"/>
            <w:tcMar>
              <w:top w:w="80" w:type="dxa"/>
              <w:left w:w="80" w:type="dxa"/>
              <w:bottom w:w="80" w:type="dxa"/>
              <w:right w:w="80" w:type="dxa"/>
            </w:tcMar>
            <w:vAlign w:val="center"/>
          </w:tcPr>
          <w:p w14:paraId="78A0DD0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Z critical value for a 95% confidence interval</w:t>
            </w:r>
          </w:p>
        </w:tc>
        <w:tc>
          <w:tcPr>
            <w:tcW w:w="1440" w:type="dxa"/>
            <w:tcMar>
              <w:top w:w="80" w:type="dxa"/>
              <w:left w:w="80" w:type="dxa"/>
              <w:bottom w:w="80" w:type="dxa"/>
              <w:right w:w="80" w:type="dxa"/>
            </w:tcMar>
            <w:vAlign w:val="center"/>
          </w:tcPr>
          <w:p w14:paraId="4E4C12A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1.96</w:t>
            </w:r>
          </w:p>
        </w:tc>
        <w:tc>
          <w:tcPr>
            <w:tcW w:w="3168" w:type="dxa"/>
            <w:tcMar>
              <w:top w:w="80" w:type="dxa"/>
              <w:left w:w="80" w:type="dxa"/>
              <w:bottom w:w="80" w:type="dxa"/>
              <w:right w:w="80" w:type="dxa"/>
            </w:tcMar>
            <w:vAlign w:val="center"/>
          </w:tcPr>
          <w:p w14:paraId="5775A5C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Statistical constant</w:t>
            </w:r>
          </w:p>
        </w:tc>
        <w:tc>
          <w:tcPr>
            <w:tcW w:w="4320" w:type="dxa"/>
            <w:tcMar>
              <w:top w:w="80" w:type="dxa"/>
              <w:left w:w="80" w:type="dxa"/>
              <w:bottom w:w="80" w:type="dxa"/>
              <w:right w:w="80" w:type="dxa"/>
            </w:tcMar>
            <w:vAlign w:val="center"/>
          </w:tcPr>
          <w:p w14:paraId="5766AEB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The standard-normal critical value for a two-sided 95% confidence interval.</w:t>
            </w:r>
          </w:p>
        </w:tc>
      </w:tr>
      <w:tr w:rsidR="00C006A0" w:rsidRPr="002A617D" w14:paraId="5805747D" w14:textId="77777777">
        <w:trPr>
          <w:jc w:val="center"/>
        </w:trPr>
        <w:tc>
          <w:tcPr>
            <w:tcW w:w="2160" w:type="dxa"/>
            <w:tcMar>
              <w:top w:w="80" w:type="dxa"/>
              <w:left w:w="80" w:type="dxa"/>
              <w:bottom w:w="80" w:type="dxa"/>
              <w:right w:w="80" w:type="dxa"/>
            </w:tcMar>
            <w:vAlign w:val="center"/>
          </w:tcPr>
          <w:p w14:paraId="1635356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Conservative proportion for RQ1</w:t>
            </w:r>
          </w:p>
        </w:tc>
        <w:tc>
          <w:tcPr>
            <w:tcW w:w="1440" w:type="dxa"/>
            <w:tcMar>
              <w:top w:w="80" w:type="dxa"/>
              <w:left w:w="80" w:type="dxa"/>
              <w:bottom w:w="80" w:type="dxa"/>
              <w:right w:w="80" w:type="dxa"/>
            </w:tcMar>
            <w:vAlign w:val="center"/>
          </w:tcPr>
          <w:p w14:paraId="124DB19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0.50</w:t>
            </w:r>
          </w:p>
        </w:tc>
        <w:tc>
          <w:tcPr>
            <w:tcW w:w="3168" w:type="dxa"/>
            <w:tcMar>
              <w:top w:w="80" w:type="dxa"/>
              <w:left w:w="80" w:type="dxa"/>
              <w:bottom w:w="80" w:type="dxa"/>
              <w:right w:w="80" w:type="dxa"/>
            </w:tcMar>
            <w:vAlign w:val="center"/>
          </w:tcPr>
          <w:p w14:paraId="49A1CDA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Researcher-selected conservative assumption</w:t>
            </w:r>
          </w:p>
        </w:tc>
        <w:tc>
          <w:tcPr>
            <w:tcW w:w="4320" w:type="dxa"/>
            <w:tcMar>
              <w:top w:w="80" w:type="dxa"/>
              <w:left w:w="80" w:type="dxa"/>
              <w:bottom w:w="80" w:type="dxa"/>
              <w:right w:w="80" w:type="dxa"/>
            </w:tcMar>
            <w:vAlign w:val="center"/>
          </w:tcPr>
          <w:p w14:paraId="5F5B98E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Used because p(1-p) is largest at p = .50, producing the largest required N when the true proportion is not fixed in advance.</w:t>
            </w:r>
          </w:p>
        </w:tc>
      </w:tr>
      <w:tr w:rsidR="00C006A0" w:rsidRPr="002A617D" w14:paraId="0B95689D" w14:textId="77777777">
        <w:trPr>
          <w:jc w:val="center"/>
        </w:trPr>
        <w:tc>
          <w:tcPr>
            <w:tcW w:w="2160" w:type="dxa"/>
            <w:tcMar>
              <w:top w:w="80" w:type="dxa"/>
              <w:left w:w="80" w:type="dxa"/>
              <w:bottom w:w="80" w:type="dxa"/>
              <w:right w:w="80" w:type="dxa"/>
            </w:tcMar>
            <w:vAlign w:val="center"/>
          </w:tcPr>
          <w:p w14:paraId="6452BD7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Margin of error for RQ1</w:t>
            </w:r>
          </w:p>
        </w:tc>
        <w:tc>
          <w:tcPr>
            <w:tcW w:w="1440" w:type="dxa"/>
            <w:tcMar>
              <w:top w:w="80" w:type="dxa"/>
              <w:left w:w="80" w:type="dxa"/>
              <w:bottom w:w="80" w:type="dxa"/>
              <w:right w:w="80" w:type="dxa"/>
            </w:tcMar>
            <w:vAlign w:val="center"/>
          </w:tcPr>
          <w:p w14:paraId="553A96A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0.03</w:t>
            </w:r>
          </w:p>
        </w:tc>
        <w:tc>
          <w:tcPr>
            <w:tcW w:w="3168" w:type="dxa"/>
            <w:tcMar>
              <w:top w:w="80" w:type="dxa"/>
              <w:left w:w="80" w:type="dxa"/>
              <w:bottom w:w="80" w:type="dxa"/>
              <w:right w:w="80" w:type="dxa"/>
            </w:tcMar>
            <w:vAlign w:val="center"/>
          </w:tcPr>
          <w:p w14:paraId="43B36A0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Researcher-selected precision target</w:t>
            </w:r>
          </w:p>
        </w:tc>
        <w:tc>
          <w:tcPr>
            <w:tcW w:w="4320" w:type="dxa"/>
            <w:tcMar>
              <w:top w:w="80" w:type="dxa"/>
              <w:left w:w="80" w:type="dxa"/>
              <w:bottom w:w="80" w:type="dxa"/>
              <w:right w:w="80" w:type="dxa"/>
            </w:tcMar>
            <w:vAlign w:val="center"/>
          </w:tcPr>
          <w:p w14:paraId="54F6653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Chosen to estimate major-group proportions within approximately plus or minus 3 percentage points.</w:t>
            </w:r>
          </w:p>
        </w:tc>
      </w:tr>
      <w:tr w:rsidR="00C006A0" w:rsidRPr="002A617D" w14:paraId="349BED71" w14:textId="77777777">
        <w:trPr>
          <w:jc w:val="center"/>
        </w:trPr>
        <w:tc>
          <w:tcPr>
            <w:tcW w:w="2160" w:type="dxa"/>
            <w:tcMar>
              <w:top w:w="80" w:type="dxa"/>
              <w:left w:w="80" w:type="dxa"/>
              <w:bottom w:w="80" w:type="dxa"/>
              <w:right w:w="80" w:type="dxa"/>
            </w:tcMar>
            <w:vAlign w:val="center"/>
          </w:tcPr>
          <w:p w14:paraId="7DDB180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Significance level and power for RQ2</w:t>
            </w:r>
          </w:p>
        </w:tc>
        <w:tc>
          <w:tcPr>
            <w:tcW w:w="1440" w:type="dxa"/>
            <w:tcMar>
              <w:top w:w="80" w:type="dxa"/>
              <w:left w:w="80" w:type="dxa"/>
              <w:bottom w:w="80" w:type="dxa"/>
              <w:right w:w="80" w:type="dxa"/>
            </w:tcMar>
            <w:vAlign w:val="center"/>
          </w:tcPr>
          <w:p w14:paraId="59352825" w14:textId="77777777" w:rsidR="00C006A0" w:rsidRPr="002A617D" w:rsidRDefault="00FC0C83" w:rsidP="002A617D">
            <w:pPr>
              <w:ind w:firstLine="0"/>
              <w:rPr>
                <w:rFonts w:asciiTheme="majorHAnsi" w:hAnsiTheme="majorHAnsi" w:cstheme="majorHAnsi"/>
              </w:rPr>
            </w:pPr>
            <w:r w:rsidRPr="002A617D">
              <w:rPr>
                <w:rFonts w:asciiTheme="majorHAnsi" w:hAnsiTheme="majorHAnsi" w:cstheme="majorHAnsi"/>
              </w:rPr>
              <w:t>α = .05; power = .80</w:t>
            </w:r>
          </w:p>
        </w:tc>
        <w:tc>
          <w:tcPr>
            <w:tcW w:w="3168" w:type="dxa"/>
            <w:tcMar>
              <w:top w:w="80" w:type="dxa"/>
              <w:left w:w="80" w:type="dxa"/>
              <w:bottom w:w="80" w:type="dxa"/>
              <w:right w:w="80" w:type="dxa"/>
            </w:tcMar>
            <w:vAlign w:val="center"/>
          </w:tcPr>
          <w:p w14:paraId="6751F36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Conventional design choices</w:t>
            </w:r>
          </w:p>
        </w:tc>
        <w:tc>
          <w:tcPr>
            <w:tcW w:w="4320" w:type="dxa"/>
            <w:tcMar>
              <w:top w:w="80" w:type="dxa"/>
              <w:left w:w="80" w:type="dxa"/>
              <w:bottom w:w="80" w:type="dxa"/>
              <w:right w:w="80" w:type="dxa"/>
            </w:tcMar>
            <w:vAlign w:val="center"/>
          </w:tcPr>
          <w:p w14:paraId="4DF46A3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Used for the two-sided planning calculation before the analysis is conducted.</w:t>
            </w:r>
          </w:p>
        </w:tc>
      </w:tr>
      <w:tr w:rsidR="00C006A0" w:rsidRPr="002A617D" w14:paraId="52E74015" w14:textId="77777777">
        <w:trPr>
          <w:jc w:val="center"/>
        </w:trPr>
        <w:tc>
          <w:tcPr>
            <w:tcW w:w="2160" w:type="dxa"/>
            <w:tcMar>
              <w:top w:w="80" w:type="dxa"/>
              <w:left w:w="80" w:type="dxa"/>
              <w:bottom w:w="80" w:type="dxa"/>
              <w:right w:w="80" w:type="dxa"/>
            </w:tcMar>
            <w:vAlign w:val="center"/>
          </w:tcPr>
          <w:p w14:paraId="5CF0CEA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Planning odds ratio for RQ2</w:t>
            </w:r>
          </w:p>
        </w:tc>
        <w:tc>
          <w:tcPr>
            <w:tcW w:w="1440" w:type="dxa"/>
            <w:tcMar>
              <w:top w:w="80" w:type="dxa"/>
              <w:left w:w="80" w:type="dxa"/>
              <w:bottom w:w="80" w:type="dxa"/>
              <w:right w:w="80" w:type="dxa"/>
            </w:tcMar>
            <w:vAlign w:val="center"/>
          </w:tcPr>
          <w:p w14:paraId="1D33FAB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1.30</w:t>
            </w:r>
          </w:p>
        </w:tc>
        <w:tc>
          <w:tcPr>
            <w:tcW w:w="3168" w:type="dxa"/>
            <w:tcMar>
              <w:top w:w="80" w:type="dxa"/>
              <w:left w:w="80" w:type="dxa"/>
              <w:bottom w:w="80" w:type="dxa"/>
              <w:right w:w="80" w:type="dxa"/>
            </w:tcMar>
            <w:vAlign w:val="center"/>
          </w:tcPr>
          <w:p w14:paraId="6E26EEF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Researcher-selected small effect for planning</w:t>
            </w:r>
          </w:p>
        </w:tc>
        <w:tc>
          <w:tcPr>
            <w:tcW w:w="4320" w:type="dxa"/>
            <w:tcMar>
              <w:top w:w="80" w:type="dxa"/>
              <w:left w:w="80" w:type="dxa"/>
              <w:bottom w:w="80" w:type="dxa"/>
              <w:right w:w="80" w:type="dxa"/>
            </w:tcMar>
            <w:vAlign w:val="center"/>
          </w:tcPr>
          <w:p w14:paraId="66AB40F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Represents a modest association worth detecting; it is not a claimed result. Sensitivity to other planning effects will be reported if required.</w:t>
            </w:r>
          </w:p>
        </w:tc>
      </w:tr>
      <w:tr w:rsidR="00C006A0" w:rsidRPr="002A617D" w14:paraId="4265FDCE" w14:textId="77777777">
        <w:trPr>
          <w:jc w:val="center"/>
        </w:trPr>
        <w:tc>
          <w:tcPr>
            <w:tcW w:w="2160" w:type="dxa"/>
            <w:tcMar>
              <w:top w:w="80" w:type="dxa"/>
              <w:left w:w="80" w:type="dxa"/>
              <w:bottom w:w="80" w:type="dxa"/>
              <w:right w:w="80" w:type="dxa"/>
            </w:tcMar>
            <w:vAlign w:val="center"/>
          </w:tcPr>
          <w:p w14:paraId="0C923A0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Baseline REDUCTION_10 probability</w:t>
            </w:r>
          </w:p>
        </w:tc>
        <w:tc>
          <w:tcPr>
            <w:tcW w:w="1440" w:type="dxa"/>
            <w:tcMar>
              <w:top w:w="80" w:type="dxa"/>
              <w:left w:w="80" w:type="dxa"/>
              <w:bottom w:w="80" w:type="dxa"/>
              <w:right w:w="80" w:type="dxa"/>
            </w:tcMar>
            <w:vAlign w:val="center"/>
          </w:tcPr>
          <w:p w14:paraId="60C7D9B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0.313</w:t>
            </w:r>
          </w:p>
        </w:tc>
        <w:tc>
          <w:tcPr>
            <w:tcW w:w="3168" w:type="dxa"/>
            <w:tcMar>
              <w:top w:w="80" w:type="dxa"/>
              <w:left w:w="80" w:type="dxa"/>
              <w:bottom w:w="80" w:type="dxa"/>
              <w:right w:w="80" w:type="dxa"/>
            </w:tcMar>
            <w:vAlign w:val="center"/>
          </w:tcPr>
          <w:p w14:paraId="6DF7C81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Preliminary unexposed-group rate</w:t>
            </w:r>
          </w:p>
        </w:tc>
        <w:tc>
          <w:tcPr>
            <w:tcW w:w="4320" w:type="dxa"/>
            <w:tcMar>
              <w:top w:w="80" w:type="dxa"/>
              <w:left w:w="80" w:type="dxa"/>
              <w:bottom w:w="80" w:type="dxa"/>
              <w:right w:w="80" w:type="dxa"/>
            </w:tcMar>
            <w:vAlign w:val="center"/>
          </w:tcPr>
          <w:p w14:paraId="55C35A2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Eligible development records without a reported action and with REDUCTION_10 = 1 divided by all eligible development records without a reported action. The validation script will print the exact numerator and denominator.</w:t>
            </w:r>
          </w:p>
        </w:tc>
      </w:tr>
      <w:tr w:rsidR="00C006A0" w:rsidRPr="002A617D" w14:paraId="42178679" w14:textId="77777777">
        <w:trPr>
          <w:jc w:val="center"/>
        </w:trPr>
        <w:tc>
          <w:tcPr>
            <w:tcW w:w="2160" w:type="dxa"/>
            <w:tcMar>
              <w:top w:w="80" w:type="dxa"/>
              <w:left w:w="80" w:type="dxa"/>
              <w:bottom w:w="80" w:type="dxa"/>
              <w:right w:w="80" w:type="dxa"/>
            </w:tcMar>
            <w:vAlign w:val="center"/>
          </w:tcPr>
          <w:p w14:paraId="5DC6A2C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Reported-action prevalence</w:t>
            </w:r>
          </w:p>
        </w:tc>
        <w:tc>
          <w:tcPr>
            <w:tcW w:w="1440" w:type="dxa"/>
            <w:tcMar>
              <w:top w:w="80" w:type="dxa"/>
              <w:left w:w="80" w:type="dxa"/>
              <w:bottom w:w="80" w:type="dxa"/>
              <w:right w:w="80" w:type="dxa"/>
            </w:tcMar>
            <w:vAlign w:val="center"/>
          </w:tcPr>
          <w:p w14:paraId="2860599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0.0486 (4.86%)</w:t>
            </w:r>
          </w:p>
        </w:tc>
        <w:tc>
          <w:tcPr>
            <w:tcW w:w="3168" w:type="dxa"/>
            <w:tcMar>
              <w:top w:w="80" w:type="dxa"/>
              <w:left w:w="80" w:type="dxa"/>
              <w:bottom w:w="80" w:type="dxa"/>
              <w:right w:w="80" w:type="dxa"/>
            </w:tcMar>
            <w:vAlign w:val="center"/>
          </w:tcPr>
          <w:p w14:paraId="13596B12" w14:textId="049DC32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Preliminary </w:t>
            </w:r>
            <w:r w:rsidR="00313756" w:rsidRPr="002A617D">
              <w:rPr>
                <w:rFonts w:asciiTheme="majorHAnsi" w:hAnsiTheme="majorHAnsi" w:cstheme="majorHAnsi"/>
              </w:rPr>
              <w:t>development data</w:t>
            </w:r>
            <w:r w:rsidRPr="002A617D">
              <w:rPr>
                <w:rFonts w:asciiTheme="majorHAnsi" w:hAnsiTheme="majorHAnsi" w:cstheme="majorHAnsi"/>
              </w:rPr>
              <w:t xml:space="preserve"> rate</w:t>
            </w:r>
          </w:p>
        </w:tc>
        <w:tc>
          <w:tcPr>
            <w:tcW w:w="4320" w:type="dxa"/>
            <w:tcMar>
              <w:top w:w="80" w:type="dxa"/>
              <w:left w:w="80" w:type="dxa"/>
              <w:bottom w:w="80" w:type="dxa"/>
              <w:right w:w="80" w:type="dxa"/>
            </w:tcMar>
            <w:vAlign w:val="center"/>
          </w:tcPr>
          <w:p w14:paraId="686D3F05" w14:textId="45F4B5A6"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Eligible development records coded 1 for REPORTED_ANY_SOURCE_REDUCTION_ACTION </w:t>
            </w:r>
            <w:r w:rsidR="00313756" w:rsidRPr="002A617D">
              <w:rPr>
                <w:rFonts w:asciiTheme="majorHAnsi" w:hAnsiTheme="majorHAnsi" w:cstheme="majorHAnsi"/>
              </w:rPr>
              <w:t>are divided by all eligible development records.</w:t>
            </w:r>
            <w:r w:rsidRPr="002A617D">
              <w:rPr>
                <w:rFonts w:asciiTheme="majorHAnsi" w:hAnsiTheme="majorHAnsi" w:cstheme="majorHAnsi"/>
              </w:rPr>
              <w:t xml:space="preserve"> The validation script will print the exact numerator and denominator; .0486 is the rounded planning value.</w:t>
            </w:r>
          </w:p>
        </w:tc>
      </w:tr>
      <w:tr w:rsidR="00C006A0" w:rsidRPr="002A617D" w14:paraId="3B29F948" w14:textId="77777777">
        <w:trPr>
          <w:jc w:val="center"/>
        </w:trPr>
        <w:tc>
          <w:tcPr>
            <w:tcW w:w="2160" w:type="dxa"/>
            <w:tcMar>
              <w:top w:w="80" w:type="dxa"/>
              <w:left w:w="80" w:type="dxa"/>
              <w:bottom w:w="80" w:type="dxa"/>
              <w:right w:w="80" w:type="dxa"/>
            </w:tcMar>
            <w:vAlign w:val="center"/>
          </w:tcPr>
          <w:p w14:paraId="1B8E99C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Rare product-modification prevalence</w:t>
            </w:r>
          </w:p>
        </w:tc>
        <w:tc>
          <w:tcPr>
            <w:tcW w:w="1440" w:type="dxa"/>
            <w:tcMar>
              <w:top w:w="80" w:type="dxa"/>
              <w:left w:w="80" w:type="dxa"/>
              <w:bottom w:w="80" w:type="dxa"/>
              <w:right w:w="80" w:type="dxa"/>
            </w:tcMar>
            <w:vAlign w:val="center"/>
          </w:tcPr>
          <w:p w14:paraId="48ADA47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0.0020 (0.20%)</w:t>
            </w:r>
          </w:p>
        </w:tc>
        <w:tc>
          <w:tcPr>
            <w:tcW w:w="3168" w:type="dxa"/>
            <w:tcMar>
              <w:top w:w="80" w:type="dxa"/>
              <w:left w:w="80" w:type="dxa"/>
              <w:bottom w:w="80" w:type="dxa"/>
              <w:right w:w="80" w:type="dxa"/>
            </w:tcMar>
            <w:vAlign w:val="center"/>
          </w:tcPr>
          <w:p w14:paraId="488AF572" w14:textId="34EC37AE"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Preliminary </w:t>
            </w:r>
            <w:r w:rsidR="00313756" w:rsidRPr="002A617D">
              <w:rPr>
                <w:rFonts w:asciiTheme="majorHAnsi" w:hAnsiTheme="majorHAnsi" w:cstheme="majorHAnsi"/>
              </w:rPr>
              <w:t>development data</w:t>
            </w:r>
            <w:r w:rsidRPr="002A617D">
              <w:rPr>
                <w:rFonts w:asciiTheme="majorHAnsi" w:hAnsiTheme="majorHAnsi" w:cstheme="majorHAnsi"/>
              </w:rPr>
              <w:t xml:space="preserve"> rate</w:t>
            </w:r>
          </w:p>
        </w:tc>
        <w:tc>
          <w:tcPr>
            <w:tcW w:w="4320" w:type="dxa"/>
            <w:tcMar>
              <w:top w:w="80" w:type="dxa"/>
              <w:left w:w="80" w:type="dxa"/>
              <w:bottom w:w="80" w:type="dxa"/>
              <w:right w:w="80" w:type="dxa"/>
            </w:tcMar>
            <w:vAlign w:val="center"/>
          </w:tcPr>
          <w:p w14:paraId="15F6E13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Approximately 245 eligible product-modification records divided by 123,688 eligible development records: 245/123,688 = .00198, rounded to .0020 for planning.</w:t>
            </w:r>
          </w:p>
        </w:tc>
      </w:tr>
      <w:tr w:rsidR="00C006A0" w:rsidRPr="002A617D" w14:paraId="6E9F6F9F" w14:textId="77777777">
        <w:trPr>
          <w:jc w:val="center"/>
        </w:trPr>
        <w:tc>
          <w:tcPr>
            <w:tcW w:w="2160" w:type="dxa"/>
            <w:tcMar>
              <w:top w:w="80" w:type="dxa"/>
              <w:left w:w="80" w:type="dxa"/>
              <w:bottom w:w="80" w:type="dxa"/>
              <w:right w:w="80" w:type="dxa"/>
            </w:tcMar>
            <w:vAlign w:val="center"/>
          </w:tcPr>
          <w:p w14:paraId="544D08E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Minimum exposed records for RQ3</w:t>
            </w:r>
          </w:p>
        </w:tc>
        <w:tc>
          <w:tcPr>
            <w:tcW w:w="1440" w:type="dxa"/>
            <w:tcMar>
              <w:top w:w="80" w:type="dxa"/>
              <w:left w:w="80" w:type="dxa"/>
              <w:bottom w:w="80" w:type="dxa"/>
              <w:right w:w="80" w:type="dxa"/>
            </w:tcMar>
            <w:vAlign w:val="center"/>
          </w:tcPr>
          <w:p w14:paraId="2A5ABC1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200</w:t>
            </w:r>
          </w:p>
        </w:tc>
        <w:tc>
          <w:tcPr>
            <w:tcW w:w="3168" w:type="dxa"/>
            <w:tcMar>
              <w:top w:w="80" w:type="dxa"/>
              <w:left w:w="80" w:type="dxa"/>
              <w:bottom w:w="80" w:type="dxa"/>
              <w:right w:w="80" w:type="dxa"/>
            </w:tcMar>
            <w:vAlign w:val="center"/>
          </w:tcPr>
          <w:p w14:paraId="75EF819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Researcher-selected stability threshold</w:t>
            </w:r>
          </w:p>
        </w:tc>
        <w:tc>
          <w:tcPr>
            <w:tcW w:w="4320" w:type="dxa"/>
            <w:tcMar>
              <w:top w:w="80" w:type="dxa"/>
              <w:left w:w="80" w:type="dxa"/>
              <w:bottom w:w="80" w:type="dxa"/>
              <w:right w:w="80" w:type="dxa"/>
            </w:tcMar>
            <w:vAlign w:val="center"/>
          </w:tcPr>
          <w:p w14:paraId="004B94F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Provides a transparent minimum exposure count for a rare action type; the final analysis will also inspect outcome events, separation, and confidence-interval width.</w:t>
            </w:r>
          </w:p>
        </w:tc>
      </w:tr>
      <w:tr w:rsidR="00C006A0" w:rsidRPr="002A617D" w14:paraId="4A200AB4" w14:textId="77777777">
        <w:trPr>
          <w:jc w:val="center"/>
        </w:trPr>
        <w:tc>
          <w:tcPr>
            <w:tcW w:w="2160" w:type="dxa"/>
            <w:tcMar>
              <w:top w:w="80" w:type="dxa"/>
              <w:left w:w="80" w:type="dxa"/>
              <w:bottom w:w="80" w:type="dxa"/>
              <w:right w:w="80" w:type="dxa"/>
            </w:tcMar>
            <w:vAlign w:val="center"/>
          </w:tcPr>
          <w:p w14:paraId="758A0C1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Maximum effective parameters for RQ4</w:t>
            </w:r>
          </w:p>
        </w:tc>
        <w:tc>
          <w:tcPr>
            <w:tcW w:w="1440" w:type="dxa"/>
            <w:tcMar>
              <w:top w:w="80" w:type="dxa"/>
              <w:left w:w="80" w:type="dxa"/>
              <w:bottom w:w="80" w:type="dxa"/>
              <w:right w:w="80" w:type="dxa"/>
            </w:tcMar>
            <w:vAlign w:val="center"/>
          </w:tcPr>
          <w:p w14:paraId="4BFDC03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w:t>
            </w:r>
          </w:p>
        </w:tc>
        <w:tc>
          <w:tcPr>
            <w:tcW w:w="3168" w:type="dxa"/>
            <w:tcMar>
              <w:top w:w="80" w:type="dxa"/>
              <w:left w:w="80" w:type="dxa"/>
              <w:bottom w:w="80" w:type="dxa"/>
              <w:right w:w="80" w:type="dxa"/>
            </w:tcMar>
            <w:vAlign w:val="center"/>
          </w:tcPr>
          <w:p w14:paraId="60C3E84D"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Prespecified scope limit</w:t>
            </w:r>
          </w:p>
        </w:tc>
        <w:tc>
          <w:tcPr>
            <w:tcW w:w="4320" w:type="dxa"/>
            <w:tcMar>
              <w:top w:w="80" w:type="dxa"/>
              <w:left w:w="80" w:type="dxa"/>
              <w:bottom w:w="80" w:type="dxa"/>
              <w:right w:w="80" w:type="dxa"/>
            </w:tcMar>
            <w:vAlign w:val="center"/>
          </w:tcPr>
          <w:p w14:paraId="56B3C88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The interpretable prediction model will be restricted to no more than 20 effective parameters after sparse-level grouping.</w:t>
            </w:r>
          </w:p>
        </w:tc>
      </w:tr>
      <w:tr w:rsidR="00C006A0" w:rsidRPr="002A617D" w14:paraId="46134ACA" w14:textId="77777777">
        <w:trPr>
          <w:jc w:val="center"/>
        </w:trPr>
        <w:tc>
          <w:tcPr>
            <w:tcW w:w="2160" w:type="dxa"/>
            <w:tcMar>
              <w:top w:w="80" w:type="dxa"/>
              <w:left w:w="80" w:type="dxa"/>
              <w:bottom w:w="80" w:type="dxa"/>
              <w:right w:w="80" w:type="dxa"/>
            </w:tcMar>
            <w:vAlign w:val="center"/>
          </w:tcPr>
          <w:p w14:paraId="4A476F4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Events per parameter for RQ4</w:t>
            </w:r>
          </w:p>
        </w:tc>
        <w:tc>
          <w:tcPr>
            <w:tcW w:w="1440" w:type="dxa"/>
            <w:tcMar>
              <w:top w:w="80" w:type="dxa"/>
              <w:left w:w="80" w:type="dxa"/>
              <w:bottom w:w="80" w:type="dxa"/>
              <w:right w:w="80" w:type="dxa"/>
            </w:tcMar>
            <w:vAlign w:val="center"/>
          </w:tcPr>
          <w:p w14:paraId="3186145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20</w:t>
            </w:r>
          </w:p>
        </w:tc>
        <w:tc>
          <w:tcPr>
            <w:tcW w:w="3168" w:type="dxa"/>
            <w:tcMar>
              <w:top w:w="80" w:type="dxa"/>
              <w:left w:w="80" w:type="dxa"/>
              <w:bottom w:w="80" w:type="dxa"/>
              <w:right w:w="80" w:type="dxa"/>
            </w:tcMar>
            <w:vAlign w:val="center"/>
          </w:tcPr>
          <w:p w14:paraId="7FC679D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Conservative planning screen (Riley et al., 2019; van Smeden et al., 2019)</w:t>
            </w:r>
          </w:p>
        </w:tc>
        <w:tc>
          <w:tcPr>
            <w:tcW w:w="4320" w:type="dxa"/>
            <w:tcMar>
              <w:top w:w="80" w:type="dxa"/>
              <w:left w:w="80" w:type="dxa"/>
              <w:bottom w:w="80" w:type="dxa"/>
              <w:right w:w="80" w:type="dxa"/>
            </w:tcMar>
            <w:vAlign w:val="center"/>
          </w:tcPr>
          <w:p w14:paraId="7C3CDDB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Used only as a feasibility check; the final report will also consider shrinkage, calibration, and overfitting.</w:t>
            </w:r>
          </w:p>
        </w:tc>
      </w:tr>
      <w:tr w:rsidR="00C006A0" w:rsidRPr="002A617D" w14:paraId="37999B34" w14:textId="77777777">
        <w:trPr>
          <w:jc w:val="center"/>
        </w:trPr>
        <w:tc>
          <w:tcPr>
            <w:tcW w:w="2160" w:type="dxa"/>
            <w:tcMar>
              <w:top w:w="80" w:type="dxa"/>
              <w:left w:w="80" w:type="dxa"/>
              <w:bottom w:w="80" w:type="dxa"/>
              <w:right w:w="80" w:type="dxa"/>
            </w:tcMar>
            <w:vAlign w:val="center"/>
          </w:tcPr>
          <w:p w14:paraId="6D290AF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Development event rate for RQ4</w:t>
            </w:r>
          </w:p>
        </w:tc>
        <w:tc>
          <w:tcPr>
            <w:tcW w:w="1440" w:type="dxa"/>
            <w:tcMar>
              <w:top w:w="80" w:type="dxa"/>
              <w:left w:w="80" w:type="dxa"/>
              <w:bottom w:w="80" w:type="dxa"/>
              <w:right w:w="80" w:type="dxa"/>
            </w:tcMar>
            <w:vAlign w:val="center"/>
          </w:tcPr>
          <w:p w14:paraId="5A96689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0.315 (31.5%)</w:t>
            </w:r>
          </w:p>
        </w:tc>
        <w:tc>
          <w:tcPr>
            <w:tcW w:w="3168" w:type="dxa"/>
            <w:tcMar>
              <w:top w:w="80" w:type="dxa"/>
              <w:left w:w="80" w:type="dxa"/>
              <w:bottom w:w="80" w:type="dxa"/>
              <w:right w:w="80" w:type="dxa"/>
            </w:tcMar>
            <w:vAlign w:val="center"/>
          </w:tcPr>
          <w:p w14:paraId="57365D6A" w14:textId="3A8A0B5C"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Preliminary </w:t>
            </w:r>
            <w:r w:rsidR="00313756" w:rsidRPr="002A617D">
              <w:rPr>
                <w:rFonts w:asciiTheme="majorHAnsi" w:hAnsiTheme="majorHAnsi" w:cstheme="majorHAnsi"/>
              </w:rPr>
              <w:t>development data</w:t>
            </w:r>
            <w:r w:rsidRPr="002A617D">
              <w:rPr>
                <w:rFonts w:asciiTheme="majorHAnsi" w:hAnsiTheme="majorHAnsi" w:cstheme="majorHAnsi"/>
              </w:rPr>
              <w:t xml:space="preserve"> rate</w:t>
            </w:r>
          </w:p>
        </w:tc>
        <w:tc>
          <w:tcPr>
            <w:tcW w:w="4320" w:type="dxa"/>
            <w:tcMar>
              <w:top w:w="80" w:type="dxa"/>
              <w:left w:w="80" w:type="dxa"/>
              <w:bottom w:w="80" w:type="dxa"/>
              <w:right w:w="80" w:type="dxa"/>
            </w:tcMar>
            <w:vAlign w:val="center"/>
          </w:tcPr>
          <w:p w14:paraId="5BAA841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Number of eligible development records with REDUCTION_10 = 1 divided by all eligible </w:t>
            </w:r>
            <w:r w:rsidRPr="002A617D">
              <w:rPr>
                <w:rFonts w:asciiTheme="majorHAnsi" w:hAnsiTheme="majorHAnsi" w:cstheme="majorHAnsi"/>
              </w:rPr>
              <w:lastRenderedPageBreak/>
              <w:t>development records, rounded to three decimals.</w:t>
            </w:r>
          </w:p>
        </w:tc>
      </w:tr>
    </w:tbl>
    <w:p w14:paraId="1AE3EC9D" w14:textId="77777777" w:rsidR="00C006A0" w:rsidRPr="002A617D" w:rsidRDefault="00000000" w:rsidP="002A617D">
      <w:pPr>
        <w:pStyle w:val="Heading2"/>
        <w:ind w:firstLine="0"/>
        <w:rPr>
          <w:rFonts w:cstheme="majorHAnsi"/>
          <w:szCs w:val="22"/>
        </w:rPr>
      </w:pPr>
      <w:r w:rsidRPr="002A617D">
        <w:rPr>
          <w:rFonts w:cstheme="majorHAnsi"/>
          <w:szCs w:val="22"/>
        </w:rPr>
        <w:lastRenderedPageBreak/>
        <w:t>RQ1: Confidence-Interval Precision</w:t>
      </w:r>
    </w:p>
    <w:p w14:paraId="34F90AE4"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Concept: </w:t>
      </w:r>
      <w:r w:rsidRPr="002A617D">
        <w:rPr>
          <w:rFonts w:asciiTheme="majorHAnsi" w:hAnsiTheme="majorHAnsi" w:cstheme="majorHAnsi"/>
        </w:rPr>
        <w:t>Estimate a proportion with a 95% confidence interval and a margin of error of .03.</w:t>
      </w:r>
    </w:p>
    <w:p w14:paraId="5123AE1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Formula or Mathematical Principle: n = Z²p(1 - p)/e².</w:t>
      </w:r>
    </w:p>
    <w:p w14:paraId="60DA52FD"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n = (1.96² × .50 × .50)/.03² = 1,067.11</w:t>
      </w:r>
    </w:p>
    <w:p w14:paraId="32AE9B5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Variable Definition: </w:t>
      </w:r>
      <w:r w:rsidRPr="002A617D">
        <w:rPr>
          <w:rFonts w:asciiTheme="majorHAnsi" w:hAnsiTheme="majorHAnsi" w:cstheme="majorHAnsi"/>
        </w:rPr>
        <w:t>n is the required number of eligible records; Z = 1.96 is the two-sided 95% standard-normal critical value; p = .50 is the conservative assumed proportion; e = .03 is the selected margin of error.</w:t>
      </w:r>
    </w:p>
    <w:p w14:paraId="6F89190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Substitution, Setup, or Step-by-Step Explanation: </w:t>
      </w:r>
      <w:r w:rsidRPr="002A617D">
        <w:rPr>
          <w:rFonts w:asciiTheme="majorHAnsi" w:hAnsiTheme="majorHAnsi" w:cstheme="majorHAnsi"/>
        </w:rPr>
        <w:t xml:space="preserve">Substitute Z = 1.96, p = .50, and e = .03 into the formula: n = </w:t>
      </w:r>
      <w:r w:rsidR="00FC0C83" w:rsidRPr="002A617D">
        <w:rPr>
          <w:rFonts w:asciiTheme="majorHAnsi" w:hAnsiTheme="majorHAnsi" w:cstheme="majorHAnsi"/>
        </w:rPr>
        <w:t xml:space="preserve">(1.96² × </w:t>
      </w:r>
      <w:r w:rsidRPr="002A617D">
        <w:rPr>
          <w:rFonts w:asciiTheme="majorHAnsi" w:hAnsiTheme="majorHAnsi" w:cstheme="majorHAnsi"/>
        </w:rPr>
        <w:t>.50</w:t>
      </w:r>
      <w:r w:rsidR="00FC0C83" w:rsidRPr="002A617D">
        <w:rPr>
          <w:rFonts w:asciiTheme="majorHAnsi" w:hAnsiTheme="majorHAnsi" w:cstheme="majorHAnsi"/>
        </w:rPr>
        <w:t xml:space="preserve"> × .50)/(.03²) </w:t>
      </w:r>
      <w:r w:rsidRPr="002A617D">
        <w:rPr>
          <w:rFonts w:asciiTheme="majorHAnsi" w:hAnsiTheme="majorHAnsi" w:cstheme="majorHAnsi"/>
        </w:rPr>
        <w:t>= 1,067.11. Because a partial record cannot be used, round upward.</w:t>
      </w:r>
    </w:p>
    <w:p w14:paraId="799176D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Final Answer: </w:t>
      </w:r>
      <w:r w:rsidRPr="002A617D">
        <w:rPr>
          <w:rFonts w:asciiTheme="majorHAnsi" w:hAnsiTheme="majorHAnsi" w:cstheme="majorHAnsi"/>
        </w:rPr>
        <w:t>Round upward to 1,068 eligible records.</w:t>
      </w:r>
    </w:p>
    <w:p w14:paraId="5C88B53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Limitation, Risk, or Diagnostic Note: </w:t>
      </w:r>
      <w:r w:rsidRPr="002A617D">
        <w:rPr>
          <w:rFonts w:asciiTheme="majorHAnsi" w:hAnsiTheme="majorHAnsi" w:cstheme="majorHAnsi"/>
        </w:rPr>
        <w:t>Precision is lower within small subgroups, even when the overall N is adequate.</w:t>
      </w:r>
    </w:p>
    <w:p w14:paraId="039C4E0E" w14:textId="77777777" w:rsidR="00C006A0" w:rsidRPr="002A617D" w:rsidRDefault="00000000" w:rsidP="002A617D">
      <w:pPr>
        <w:pStyle w:val="Heading2"/>
        <w:ind w:firstLine="0"/>
        <w:rPr>
          <w:rFonts w:cstheme="majorHAnsi"/>
          <w:szCs w:val="22"/>
        </w:rPr>
      </w:pPr>
      <w:r w:rsidRPr="002A617D">
        <w:rPr>
          <w:rFonts w:cstheme="majorHAnsi"/>
          <w:szCs w:val="22"/>
        </w:rPr>
        <w:t>RQ2: Binary-Association Power Approximation</w:t>
      </w:r>
    </w:p>
    <w:p w14:paraId="1E6B317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Concept: </w:t>
      </w:r>
      <w:r w:rsidRPr="002A617D">
        <w:rPr>
          <w:rFonts w:asciiTheme="majorHAnsi" w:hAnsiTheme="majorHAnsi" w:cstheme="majorHAnsi"/>
        </w:rPr>
        <w:t>Plan for a small association when reported action exposure is uncommon.</w:t>
      </w:r>
    </w:p>
    <w:p w14:paraId="1155C640"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p₁ = (OR × p₀) / [1 - p₀ + (OR × p₀)]</w:t>
      </w:r>
    </w:p>
    <w:p w14:paraId="22A3502E"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p₁ = (1.30 × .313) / [1 - .313 + (1.30 × .313)] = .37197</w:t>
      </w:r>
    </w:p>
    <w:p w14:paraId="6E47C0C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Variable Definition: p₀ = .313 is the preliminary REDUCTION_10 probability among eligible development records without a reported action; p₁ is the expected probability among records with a reported action; </w:t>
      </w:r>
      <w:r w:rsidRPr="002A617D">
        <w:rPr>
          <w:rFonts w:asciiTheme="majorHAnsi" w:hAnsiTheme="majorHAnsi" w:cstheme="majorHAnsi"/>
        </w:rPr>
        <w:lastRenderedPageBreak/>
        <w:t>OR = 1.30; q = .0486 is the exposed-group allocation; r = (1 - q)/q is the unexposed-to-exposed allocation ratio; α = .05; power = .80; Z₁₋α/₂ = 1.96; and Z₁₋β = 0.842.</w:t>
      </w:r>
    </w:p>
    <w:p w14:paraId="51BAE0B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Formula and Substitution: Let r = (1 - .0486)/.0486 = 19.576. Let p̄ = (p₁ + rp₀)/(1 + r) = .31587. The required exposed-group size is n₁ = {Z₁₋α/₂√[(1 + 1/r)p̄(1 - p̄)] + Z₁₋β√[p₁(1 - p₁) + p₀(1 - p₀)/r]}²/(p₁ - p₀)². Substitution gives n₁ = 524.26. Therefore, total n = n₁(1 + r) = 10,788.25, rounded upward.</w:t>
      </w:r>
    </w:p>
    <w:p w14:paraId="094AB6D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Final Answer: RQ2 requires approximately 10,789 eligible development records under the stated planning assumptions.</w:t>
      </w:r>
    </w:p>
    <w:p w14:paraId="125586C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Limitation, Risk, or Diagnostic Note: </w:t>
      </w:r>
      <w:r w:rsidRPr="002A617D">
        <w:rPr>
          <w:rFonts w:asciiTheme="majorHAnsi" w:hAnsiTheme="majorHAnsi" w:cstheme="majorHAnsi"/>
        </w:rPr>
        <w:t>This is a transparent planning approximation. Facility clustering can increase uncertainty in the fitted model.</w:t>
      </w:r>
    </w:p>
    <w:p w14:paraId="7620B2B2" w14:textId="77B7EC9C" w:rsidR="00C006A0" w:rsidRPr="002A617D" w:rsidRDefault="00000000" w:rsidP="002A617D">
      <w:pPr>
        <w:pStyle w:val="Heading2"/>
        <w:ind w:firstLine="0"/>
        <w:rPr>
          <w:rFonts w:cstheme="majorHAnsi"/>
          <w:szCs w:val="22"/>
        </w:rPr>
      </w:pPr>
      <w:r w:rsidRPr="002A617D">
        <w:rPr>
          <w:rFonts w:cstheme="majorHAnsi"/>
          <w:szCs w:val="22"/>
        </w:rPr>
        <w:t xml:space="preserve">RQ3: </w:t>
      </w:r>
      <w:r w:rsidR="00991424" w:rsidRPr="00991424">
        <w:rPr>
          <w:rFonts w:cstheme="majorHAnsi"/>
          <w:szCs w:val="22"/>
        </w:rPr>
        <w:t>Two-Proportion Comparison</w:t>
      </w:r>
    </w:p>
    <w:p w14:paraId="7B2A05DC" w14:textId="77777777" w:rsidR="00991424" w:rsidRPr="00991424" w:rsidRDefault="00991424" w:rsidP="00991424">
      <w:pPr>
        <w:ind w:firstLine="0"/>
        <w:rPr>
          <w:rFonts w:asciiTheme="majorHAnsi" w:hAnsiTheme="majorHAnsi" w:cstheme="majorHAnsi"/>
          <w:lang w:val="en-IN"/>
        </w:rPr>
      </w:pPr>
      <w:r w:rsidRPr="00991424">
        <w:rPr>
          <w:rFonts w:asciiTheme="majorHAnsi" w:hAnsiTheme="majorHAnsi" w:cstheme="majorHAnsi"/>
          <w:b/>
          <w:bCs/>
          <w:lang w:val="en-IN"/>
        </w:rPr>
        <w:t>Concept:</w:t>
      </w:r>
      <w:r w:rsidRPr="00991424">
        <w:rPr>
          <w:rFonts w:asciiTheme="majorHAnsi" w:hAnsiTheme="majorHAnsi" w:cstheme="majorHAnsi"/>
          <w:lang w:val="en-IN"/>
        </w:rPr>
        <w:t xml:space="preserve"> Compare the next-year reduction rate for one action type with the rate for records reporting no action.</w:t>
      </w:r>
    </w:p>
    <w:p w14:paraId="162FD21E" w14:textId="77777777" w:rsidR="00991424" w:rsidRPr="00991424" w:rsidRDefault="00991424" w:rsidP="00991424">
      <w:pPr>
        <w:ind w:firstLine="0"/>
        <w:rPr>
          <w:rFonts w:asciiTheme="majorHAnsi" w:hAnsiTheme="majorHAnsi" w:cstheme="majorHAnsi"/>
          <w:lang w:val="en-IN"/>
        </w:rPr>
      </w:pPr>
      <w:r w:rsidRPr="00991424">
        <w:rPr>
          <w:rFonts w:asciiTheme="majorHAnsi" w:hAnsiTheme="majorHAnsi" w:cstheme="majorHAnsi"/>
          <w:b/>
          <w:bCs/>
          <w:lang w:val="en-IN"/>
        </w:rPr>
        <w:t>Formula:</w:t>
      </w:r>
    </w:p>
    <w:p w14:paraId="439C92DA" w14:textId="03A86D0A" w:rsidR="00991424" w:rsidRPr="00991424" w:rsidRDefault="00991424" w:rsidP="00991424">
      <w:pPr>
        <w:ind w:firstLine="0"/>
        <w:rPr>
          <w:rFonts w:asciiTheme="majorHAnsi" w:hAnsiTheme="majorHAnsi" w:cstheme="majorHAnsi"/>
          <w:lang w:val="en-IN"/>
        </w:rPr>
      </w:pPr>
      <m:oMathPara>
        <m:oMath>
          <m:sSub>
            <m:sSubPr>
              <m:ctrlPr>
                <w:rPr>
                  <w:rFonts w:ascii="Cambria Math" w:hAnsi="Cambria Math" w:cstheme="majorHAnsi"/>
                  <w:lang w:val="en-IN"/>
                </w:rPr>
              </m:ctrlPr>
            </m:sSubPr>
            <m:e>
              <m:r>
                <w:rPr>
                  <w:rFonts w:ascii="Cambria Math" w:hAnsi="Cambria Math" w:cstheme="majorHAnsi"/>
                  <w:lang w:val="en-IN"/>
                </w:rPr>
                <m:t>n</m:t>
              </m:r>
            </m:e>
            <m:sub>
              <m:r>
                <w:rPr>
                  <w:rFonts w:ascii="Cambria Math" w:hAnsi="Cambria Math" w:cstheme="majorHAnsi"/>
                  <w:lang w:val="en-IN"/>
                </w:rPr>
                <m:t>1</m:t>
              </m:r>
            </m:sub>
          </m:sSub>
          <m:r>
            <w:rPr>
              <w:rFonts w:ascii="Cambria Math" w:hAnsi="Cambria Math" w:cstheme="majorHAnsi"/>
              <w:lang w:val="en-IN"/>
            </w:rPr>
            <m:t>=</m:t>
          </m:r>
          <m:f>
            <m:fPr>
              <m:ctrlPr>
                <w:rPr>
                  <w:rFonts w:ascii="Cambria Math" w:hAnsi="Cambria Math" w:cstheme="majorHAnsi"/>
                  <w:lang w:val="en-IN"/>
                </w:rPr>
              </m:ctrlPr>
            </m:fPr>
            <m:num>
              <m:sSup>
                <m:sSupPr>
                  <m:ctrlPr>
                    <w:rPr>
                      <w:rFonts w:ascii="Cambria Math" w:hAnsi="Cambria Math" w:cstheme="majorHAnsi"/>
                      <w:lang w:val="en-IN"/>
                    </w:rPr>
                  </m:ctrlPr>
                </m:sSupPr>
                <m:e>
                  <m:d>
                    <m:dPr>
                      <m:begChr m:val="["/>
                      <m:sepChr m:val="+"/>
                      <m:endChr m:val="]"/>
                      <m:ctrlPr>
                        <w:rPr>
                          <w:rFonts w:ascii="Cambria Math" w:hAnsi="Cambria Math" w:cstheme="majorHAnsi"/>
                          <w:lang w:val="en-IN"/>
                        </w:rPr>
                      </m:ctrlPr>
                    </m:dPr>
                    <m:e>
                      <m:sSub>
                        <m:sSubPr>
                          <m:ctrlPr>
                            <w:rPr>
                              <w:rFonts w:ascii="Cambria Math" w:hAnsi="Cambria Math" w:cstheme="majorHAnsi"/>
                              <w:lang w:val="en-IN"/>
                            </w:rPr>
                          </m:ctrlPr>
                        </m:sSubPr>
                        <m:e>
                          <m:r>
                            <w:rPr>
                              <w:rFonts w:ascii="Cambria Math" w:hAnsi="Cambria Math" w:cstheme="majorHAnsi"/>
                              <w:lang w:val="en-IN"/>
                            </w:rPr>
                            <m:t>z</m:t>
                          </m:r>
                        </m:e>
                        <m:sub>
                          <m:r>
                            <w:rPr>
                              <w:rFonts w:ascii="Cambria Math" w:hAnsi="Cambria Math" w:cstheme="majorHAnsi"/>
                              <w:lang w:val="en-IN"/>
                            </w:rPr>
                            <m:t>1-α</m:t>
                          </m:r>
                          <m:r>
                            <m:rPr>
                              <m:sty m:val="p"/>
                            </m:rPr>
                            <w:rPr>
                              <w:rFonts w:ascii="Cambria Math" w:hAnsi="Cambria Math" w:cstheme="majorHAnsi"/>
                              <w:lang w:val="en-IN"/>
                            </w:rPr>
                            <m:t>/</m:t>
                          </m:r>
                          <m:r>
                            <w:rPr>
                              <w:rFonts w:ascii="Cambria Math" w:hAnsi="Cambria Math" w:cstheme="majorHAnsi"/>
                              <w:lang w:val="en-IN"/>
                            </w:rPr>
                            <m:t>2</m:t>
                          </m:r>
                        </m:sub>
                      </m:sSub>
                      <m:rad>
                        <m:radPr>
                          <m:degHide m:val="1"/>
                          <m:ctrlPr>
                            <w:rPr>
                              <w:rFonts w:ascii="Cambria Math" w:hAnsi="Cambria Math" w:cstheme="majorHAnsi"/>
                              <w:lang w:val="en-IN"/>
                            </w:rPr>
                          </m:ctrlPr>
                        </m:radPr>
                        <m:deg/>
                        <m:e>
                          <m:acc>
                            <m:accPr>
                              <m:chr m:val="ˉ"/>
                              <m:ctrlPr>
                                <w:rPr>
                                  <w:rFonts w:ascii="Cambria Math" w:hAnsi="Cambria Math" w:cstheme="majorHAnsi"/>
                                  <w:lang w:val="en-IN"/>
                                </w:rPr>
                              </m:ctrlPr>
                            </m:accPr>
                            <m:e>
                              <m:r>
                                <w:rPr>
                                  <w:rFonts w:ascii="Cambria Math" w:hAnsi="Cambria Math" w:cstheme="majorHAnsi"/>
                                  <w:lang w:val="en-IN"/>
                                </w:rPr>
                                <m:t>p</m:t>
                              </m:r>
                            </m:e>
                          </m:acc>
                          <m:r>
                            <w:rPr>
                              <w:rFonts w:ascii="Cambria Math" w:hAnsi="Cambria Math" w:cstheme="majorHAnsi"/>
                              <w:lang w:val="en-IN"/>
                            </w:rPr>
                            <m:t>(1-</m:t>
                          </m:r>
                          <m:acc>
                            <m:accPr>
                              <m:chr m:val="ˉ"/>
                              <m:ctrlPr>
                                <w:rPr>
                                  <w:rFonts w:ascii="Cambria Math" w:hAnsi="Cambria Math" w:cstheme="majorHAnsi"/>
                                  <w:lang w:val="en-IN"/>
                                </w:rPr>
                              </m:ctrlPr>
                            </m:accPr>
                            <m:e>
                              <m:r>
                                <w:rPr>
                                  <w:rFonts w:ascii="Cambria Math" w:hAnsi="Cambria Math" w:cstheme="majorHAnsi"/>
                                  <w:lang w:val="en-IN"/>
                                </w:rPr>
                                <m:t>p</m:t>
                              </m:r>
                            </m:e>
                          </m:acc>
                          <m:r>
                            <w:rPr>
                              <w:rFonts w:ascii="Cambria Math" w:hAnsi="Cambria Math" w:cstheme="majorHAnsi"/>
                              <w:lang w:val="en-IN"/>
                            </w:rPr>
                            <m:t>)(1+1</m:t>
                          </m:r>
                          <m:r>
                            <m:rPr>
                              <m:sty m:val="p"/>
                            </m:rPr>
                            <w:rPr>
                              <w:rFonts w:ascii="Cambria Math" w:hAnsi="Cambria Math" w:cstheme="majorHAnsi"/>
                              <w:lang w:val="en-IN"/>
                            </w:rPr>
                            <m:t>/</m:t>
                          </m:r>
                          <m:r>
                            <w:rPr>
                              <w:rFonts w:ascii="Cambria Math" w:hAnsi="Cambria Math" w:cstheme="majorHAnsi"/>
                              <w:lang w:val="en-IN"/>
                            </w:rPr>
                            <m:t>r)</m:t>
                          </m:r>
                        </m:e>
                      </m:rad>
                    </m:e>
                    <m:e>
                      <m:sSub>
                        <m:sSubPr>
                          <m:ctrlPr>
                            <w:rPr>
                              <w:rFonts w:ascii="Cambria Math" w:hAnsi="Cambria Math" w:cstheme="majorHAnsi"/>
                              <w:lang w:val="en-IN"/>
                            </w:rPr>
                          </m:ctrlPr>
                        </m:sSubPr>
                        <m:e>
                          <m:r>
                            <w:rPr>
                              <w:rFonts w:ascii="Cambria Math" w:hAnsi="Cambria Math" w:cstheme="majorHAnsi"/>
                              <w:lang w:val="en-IN"/>
                            </w:rPr>
                            <m:t>z</m:t>
                          </m:r>
                        </m:e>
                        <m:sub>
                          <m:r>
                            <w:rPr>
                              <w:rFonts w:ascii="Cambria Math" w:hAnsi="Cambria Math" w:cstheme="majorHAnsi"/>
                              <w:lang w:val="en-IN"/>
                            </w:rPr>
                            <m:t>1-β</m:t>
                          </m:r>
                        </m:sub>
                      </m:sSub>
                      <m:rad>
                        <m:radPr>
                          <m:degHide m:val="1"/>
                          <m:ctrlPr>
                            <w:rPr>
                              <w:rFonts w:ascii="Cambria Math" w:hAnsi="Cambria Math" w:cstheme="majorHAnsi"/>
                              <w:lang w:val="en-IN"/>
                            </w:rPr>
                          </m:ctrlPr>
                        </m:radPr>
                        <m:deg/>
                        <m:e>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1</m:t>
                              </m:r>
                            </m:sub>
                          </m:sSub>
                          <m:r>
                            <w:rPr>
                              <w:rFonts w:ascii="Cambria Math" w:hAnsi="Cambria Math" w:cstheme="majorHAnsi"/>
                              <w:lang w:val="en-IN"/>
                            </w:rPr>
                            <m:t>(1-</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1</m:t>
                              </m:r>
                            </m:sub>
                          </m:sSub>
                          <m:r>
                            <w:rPr>
                              <w:rFonts w:ascii="Cambria Math" w:hAnsi="Cambria Math" w:cstheme="majorHAnsi"/>
                              <w:lang w:val="en-IN"/>
                            </w:rPr>
                            <m:t>)+</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0</m:t>
                              </m:r>
                            </m:sub>
                          </m:sSub>
                          <m:r>
                            <w:rPr>
                              <w:rFonts w:ascii="Cambria Math" w:hAnsi="Cambria Math" w:cstheme="majorHAnsi"/>
                              <w:lang w:val="en-IN"/>
                            </w:rPr>
                            <m:t>(1-</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0</m:t>
                              </m:r>
                            </m:sub>
                          </m:sSub>
                          <m:r>
                            <w:rPr>
                              <w:rFonts w:ascii="Cambria Math" w:hAnsi="Cambria Math" w:cstheme="majorHAnsi"/>
                              <w:lang w:val="en-IN"/>
                            </w:rPr>
                            <m:t>)</m:t>
                          </m:r>
                          <m:r>
                            <m:rPr>
                              <m:sty m:val="p"/>
                            </m:rPr>
                            <w:rPr>
                              <w:rFonts w:ascii="Cambria Math" w:hAnsi="Cambria Math" w:cstheme="majorHAnsi"/>
                              <w:lang w:val="en-IN"/>
                            </w:rPr>
                            <m:t>/</m:t>
                          </m:r>
                          <m:r>
                            <w:rPr>
                              <w:rFonts w:ascii="Cambria Math" w:hAnsi="Cambria Math" w:cstheme="majorHAnsi"/>
                              <w:lang w:val="en-IN"/>
                            </w:rPr>
                            <m:t>r</m:t>
                          </m:r>
                        </m:e>
                      </m:rad>
                    </m:e>
                  </m:d>
                </m:e>
                <m:sup>
                  <m:r>
                    <w:rPr>
                      <w:rFonts w:ascii="Cambria Math" w:hAnsi="Cambria Math" w:cstheme="majorHAnsi"/>
                      <w:lang w:val="en-IN"/>
                    </w:rPr>
                    <m:t>2</m:t>
                  </m:r>
                </m:sup>
              </m:sSup>
            </m:num>
            <m:den>
              <m:sSup>
                <m:sSupPr>
                  <m:ctrlPr>
                    <w:rPr>
                      <w:rFonts w:ascii="Cambria Math" w:hAnsi="Cambria Math" w:cstheme="majorHAnsi"/>
                      <w:lang w:val="en-IN"/>
                    </w:rPr>
                  </m:ctrlPr>
                </m:sSupPr>
                <m:e>
                  <m:d>
                    <m:dPr>
                      <m:ctrlPr>
                        <w:rPr>
                          <w:rFonts w:ascii="Cambria Math" w:hAnsi="Cambria Math" w:cstheme="majorHAnsi"/>
                          <w:lang w:val="en-IN"/>
                        </w:rPr>
                      </m:ctrlPr>
                    </m:dPr>
                    <m:e>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1</m:t>
                          </m:r>
                        </m:sub>
                      </m:sSub>
                      <m:r>
                        <w:rPr>
                          <w:rFonts w:ascii="Cambria Math" w:hAnsi="Cambria Math" w:cstheme="majorHAnsi"/>
                          <w:lang w:val="en-IN"/>
                        </w:rPr>
                        <m:t>-</m:t>
                      </m:r>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0</m:t>
                          </m:r>
                        </m:sub>
                      </m:sSub>
                    </m:e>
                  </m:d>
                </m:e>
                <m:sup>
                  <m:r>
                    <w:rPr>
                      <w:rFonts w:ascii="Cambria Math" w:hAnsi="Cambria Math" w:cstheme="majorHAnsi"/>
                      <w:lang w:val="en-IN"/>
                    </w:rPr>
                    <m:t>2</m:t>
                  </m:r>
                </m:sup>
              </m:sSup>
            </m:den>
          </m:f>
          <m:r>
            <w:rPr>
              <w:rFonts w:asciiTheme="majorHAnsi" w:hAnsiTheme="majorHAnsi" w:cstheme="majorHAnsi"/>
              <w:lang w:val="en-IN"/>
            </w:rPr>
            <w:br/>
          </m:r>
        </m:oMath>
      </m:oMathPara>
    </w:p>
    <w:p w14:paraId="68BA99BF" w14:textId="77777777" w:rsidR="00991424" w:rsidRPr="00991424" w:rsidRDefault="00991424" w:rsidP="00991424">
      <w:pPr>
        <w:ind w:firstLine="0"/>
        <w:rPr>
          <w:rFonts w:asciiTheme="majorHAnsi" w:hAnsiTheme="majorHAnsi" w:cstheme="majorHAnsi"/>
          <w:lang w:val="en-IN"/>
        </w:rPr>
      </w:pPr>
      <w:r w:rsidRPr="00991424">
        <w:rPr>
          <w:rFonts w:asciiTheme="majorHAnsi" w:hAnsiTheme="majorHAnsi" w:cstheme="majorHAnsi"/>
          <w:lang w:val="en-IN"/>
        </w:rPr>
        <w:t>Where:</w:t>
      </w:r>
    </w:p>
    <w:p w14:paraId="59A92B72" w14:textId="57E71F20" w:rsidR="00991424" w:rsidRPr="00991424" w:rsidRDefault="00991424" w:rsidP="00991424">
      <w:pPr>
        <w:numPr>
          <w:ilvl w:val="0"/>
          <w:numId w:val="13"/>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0</m:t>
            </m:r>
          </m:sub>
        </m:sSub>
        <m:r>
          <w:rPr>
            <w:rFonts w:ascii="Cambria Math" w:hAnsi="Cambria Math" w:cstheme="majorHAnsi"/>
            <w:lang w:val="en-IN"/>
          </w:rPr>
          <m:t>=.313</m:t>
        </m:r>
      </m:oMath>
      <w:r w:rsidRPr="00991424">
        <w:rPr>
          <w:rFonts w:asciiTheme="majorHAnsi" w:hAnsiTheme="majorHAnsi" w:cstheme="majorHAnsi"/>
          <w:lang w:val="en-IN"/>
        </w:rPr>
        <w:t xml:space="preserve">, the preliminary no-action reduction rate </w:t>
      </w:r>
    </w:p>
    <w:p w14:paraId="49F4A64E" w14:textId="01155B0D" w:rsidR="00991424" w:rsidRPr="00991424" w:rsidRDefault="00991424" w:rsidP="00991424">
      <w:pPr>
        <w:numPr>
          <w:ilvl w:val="0"/>
          <w:numId w:val="13"/>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p</m:t>
            </m:r>
          </m:e>
          <m:sub>
            <m:r>
              <w:rPr>
                <w:rFonts w:ascii="Cambria Math" w:hAnsi="Cambria Math" w:cstheme="majorHAnsi"/>
                <w:lang w:val="en-IN"/>
              </w:rPr>
              <m:t>1</m:t>
            </m:r>
          </m:sub>
        </m:sSub>
        <m:r>
          <w:rPr>
            <w:rFonts w:ascii="Cambria Math" w:hAnsi="Cambria Math" w:cstheme="majorHAnsi"/>
            <w:lang w:val="en-IN"/>
          </w:rPr>
          <m:t>=.413</m:t>
        </m:r>
      </m:oMath>
      <w:r w:rsidRPr="00991424">
        <w:rPr>
          <w:rFonts w:asciiTheme="majorHAnsi" w:hAnsiTheme="majorHAnsi" w:cstheme="majorHAnsi"/>
          <w:lang w:val="en-IN"/>
        </w:rPr>
        <w:t xml:space="preserve">, representing a 10-percentage-point difference </w:t>
      </w:r>
    </w:p>
    <w:p w14:paraId="499CDBC5" w14:textId="48FB5D07" w:rsidR="00991424" w:rsidRPr="00991424" w:rsidRDefault="00991424" w:rsidP="00991424">
      <w:pPr>
        <w:numPr>
          <w:ilvl w:val="0"/>
          <w:numId w:val="13"/>
        </w:numPr>
        <w:rPr>
          <w:rFonts w:asciiTheme="majorHAnsi" w:hAnsiTheme="majorHAnsi" w:cstheme="majorHAnsi"/>
          <w:lang w:val="en-IN"/>
        </w:rPr>
      </w:pPr>
      <m:oMath>
        <m:r>
          <w:rPr>
            <w:rFonts w:ascii="Cambria Math" w:hAnsi="Cambria Math" w:cstheme="majorHAnsi"/>
            <w:lang w:val="en-IN"/>
          </w:rPr>
          <m:t>α=.01</m:t>
        </m:r>
      </m:oMath>
      <w:r w:rsidRPr="00991424">
        <w:rPr>
          <w:rFonts w:asciiTheme="majorHAnsi" w:hAnsiTheme="majorHAnsi" w:cstheme="majorHAnsi"/>
          <w:lang w:val="en-IN"/>
        </w:rPr>
        <w:t xml:space="preserve">, a conservative level for five planned comparisons </w:t>
      </w:r>
    </w:p>
    <w:p w14:paraId="21A801D0" w14:textId="416CBA1A" w:rsidR="00991424" w:rsidRPr="00991424" w:rsidRDefault="00991424" w:rsidP="00991424">
      <w:pPr>
        <w:numPr>
          <w:ilvl w:val="0"/>
          <w:numId w:val="13"/>
        </w:numPr>
        <w:rPr>
          <w:rFonts w:asciiTheme="majorHAnsi" w:hAnsiTheme="majorHAnsi" w:cstheme="majorHAnsi"/>
          <w:lang w:val="en-IN"/>
        </w:rPr>
      </w:pPr>
      <w:r w:rsidRPr="00991424">
        <w:rPr>
          <w:rFonts w:asciiTheme="majorHAnsi" w:hAnsiTheme="majorHAnsi" w:cstheme="majorHAnsi"/>
          <w:lang w:val="en-IN"/>
        </w:rPr>
        <w:t xml:space="preserve">power </w:t>
      </w:r>
      <m:oMath>
        <m:r>
          <w:rPr>
            <w:rFonts w:ascii="Cambria Math" w:hAnsi="Cambria Math" w:cstheme="majorHAnsi"/>
            <w:lang w:val="en-IN"/>
          </w:rPr>
          <m:t>=.80</m:t>
        </m:r>
      </m:oMath>
    </w:p>
    <w:p w14:paraId="455A5BF5" w14:textId="573FA34B" w:rsidR="00991424" w:rsidRPr="00991424" w:rsidRDefault="00991424" w:rsidP="00991424">
      <w:pPr>
        <w:numPr>
          <w:ilvl w:val="0"/>
          <w:numId w:val="13"/>
        </w:numPr>
        <w:rPr>
          <w:rFonts w:asciiTheme="majorHAnsi" w:hAnsiTheme="majorHAnsi" w:cstheme="majorHAnsi"/>
          <w:lang w:val="en-IN"/>
        </w:rPr>
      </w:pPr>
      <m:oMath>
        <m:r>
          <w:rPr>
            <w:rFonts w:ascii="Cambria Math" w:hAnsi="Cambria Math" w:cstheme="majorHAnsi"/>
            <w:lang w:val="en-IN"/>
          </w:rPr>
          <m:t>r</m:t>
        </m:r>
      </m:oMath>
      <w:r w:rsidRPr="00991424">
        <w:rPr>
          <w:rFonts w:asciiTheme="majorHAnsi" w:hAnsiTheme="majorHAnsi" w:cstheme="majorHAnsi"/>
          <w:lang w:val="en-IN"/>
        </w:rPr>
        <w:t xml:space="preserve">is the ratio of no-action records to action-type records </w:t>
      </w:r>
    </w:p>
    <w:p w14:paraId="3686A636" w14:textId="77777777" w:rsidR="00991424" w:rsidRPr="00991424" w:rsidRDefault="00991424" w:rsidP="00991424">
      <w:pPr>
        <w:ind w:firstLine="0"/>
        <w:rPr>
          <w:rFonts w:asciiTheme="majorHAnsi" w:hAnsiTheme="majorHAnsi" w:cstheme="majorHAnsi"/>
          <w:lang w:val="en-IN"/>
        </w:rPr>
      </w:pPr>
      <w:r w:rsidRPr="00991424">
        <w:rPr>
          <w:rFonts w:asciiTheme="majorHAnsi" w:hAnsiTheme="majorHAnsi" w:cstheme="majorHAnsi"/>
          <w:lang w:val="en-IN"/>
        </w:rPr>
        <w:t>For a very large no-action reference group, the required exposed action-type sample is approximately 290 records.</w:t>
      </w:r>
    </w:p>
    <w:p w14:paraId="66A34825" w14:textId="77777777" w:rsidR="00991424" w:rsidRPr="00991424" w:rsidRDefault="00991424" w:rsidP="00991424">
      <w:pPr>
        <w:ind w:firstLine="0"/>
        <w:rPr>
          <w:rFonts w:asciiTheme="majorHAnsi" w:hAnsiTheme="majorHAnsi" w:cstheme="majorHAnsi"/>
          <w:lang w:val="en-IN"/>
        </w:rPr>
      </w:pPr>
      <w:r w:rsidRPr="00991424">
        <w:rPr>
          <w:rFonts w:asciiTheme="majorHAnsi" w:hAnsiTheme="majorHAnsi" w:cstheme="majorHAnsi"/>
          <w:b/>
          <w:bCs/>
          <w:lang w:val="en-IN"/>
        </w:rPr>
        <w:lastRenderedPageBreak/>
        <w:t>Final answer:</w:t>
      </w:r>
      <w:r w:rsidRPr="00991424">
        <w:rPr>
          <w:rFonts w:asciiTheme="majorHAnsi" w:hAnsiTheme="majorHAnsi" w:cstheme="majorHAnsi"/>
          <w:lang w:val="en-IN"/>
        </w:rPr>
        <w:t xml:space="preserve"> Approximately 290 records are required in each action-type group to detect a 10-percentage-point difference under the stated assumptions.</w:t>
      </w:r>
    </w:p>
    <w:p w14:paraId="0A813A4D" w14:textId="77777777" w:rsidR="008C25B3" w:rsidRDefault="00991424" w:rsidP="002A617D">
      <w:pPr>
        <w:ind w:firstLine="0"/>
        <w:rPr>
          <w:rFonts w:asciiTheme="majorHAnsi" w:hAnsiTheme="majorHAnsi" w:cstheme="majorHAnsi"/>
          <w:lang w:val="en-IN"/>
        </w:rPr>
      </w:pPr>
      <w:r w:rsidRPr="00991424">
        <w:rPr>
          <w:rFonts w:asciiTheme="majorHAnsi" w:hAnsiTheme="majorHAnsi" w:cstheme="majorHAnsi"/>
          <w:b/>
          <w:bCs/>
          <w:lang w:val="en-IN"/>
        </w:rPr>
        <w:t>Limitation:</w:t>
      </w:r>
      <w:r w:rsidRPr="00991424">
        <w:rPr>
          <w:rFonts w:asciiTheme="majorHAnsi" w:hAnsiTheme="majorHAnsi" w:cstheme="majorHAnsi"/>
          <w:lang w:val="en-IN"/>
        </w:rPr>
        <w:t xml:space="preserve"> The rarest action type has approximately 245 development records and may not meet this planning target. That comparison will be labelled exploratory and evaluated with Fisher’s exact test and confidence intervals.</w:t>
      </w:r>
    </w:p>
    <w:p w14:paraId="28C549E5" w14:textId="2A188A5F" w:rsidR="00C006A0" w:rsidRDefault="00991424" w:rsidP="002A617D">
      <w:pPr>
        <w:ind w:firstLine="0"/>
        <w:rPr>
          <w:rFonts w:asciiTheme="majorHAnsi" w:hAnsiTheme="majorHAnsi" w:cstheme="majorHAnsi"/>
          <w:lang w:val="en-IN"/>
        </w:rPr>
      </w:pPr>
      <w:r w:rsidRPr="00991424">
        <w:rPr>
          <w:rFonts w:asciiTheme="majorHAnsi" w:hAnsiTheme="majorHAnsi" w:cstheme="majorHAnsi"/>
          <w:lang w:val="en-IN"/>
        </w:rPr>
        <w:t>The exact number can vary slightly depending on the allocation-ratio formula or software used, so state “approximately 290” unless you compute it with your final software.</w:t>
      </w:r>
    </w:p>
    <w:p w14:paraId="62C67875" w14:textId="2891527D" w:rsidR="008C25B3" w:rsidRPr="00991424" w:rsidRDefault="008C25B3" w:rsidP="002A617D">
      <w:pPr>
        <w:ind w:firstLine="0"/>
        <w:rPr>
          <w:rFonts w:asciiTheme="majorHAnsi" w:hAnsiTheme="majorHAnsi" w:cstheme="majorHAnsi"/>
          <w:lang w:val="en-IN"/>
        </w:rPr>
      </w:pPr>
      <w:r w:rsidRPr="008C25B3">
        <w:rPr>
          <w:rFonts w:asciiTheme="majorHAnsi" w:hAnsiTheme="majorHAnsi" w:cstheme="majorHAnsi"/>
        </w:rPr>
        <w:t>The rarest action type contains approximately 245 development records, slightly below the planning target. That comparison may be underpowered for detecting a 10-percentage-point difference and will therefore be treated as exploratory. Fisher’s exact test, confidence intervals, effect size, and the observed rate difference will still be reported.</w:t>
      </w:r>
    </w:p>
    <w:p w14:paraId="33B0AC23" w14:textId="77777777" w:rsidR="00C006A0" w:rsidRPr="002A617D" w:rsidRDefault="00000000" w:rsidP="002A617D">
      <w:pPr>
        <w:pStyle w:val="Heading2"/>
        <w:ind w:firstLine="0"/>
        <w:rPr>
          <w:rFonts w:cstheme="majorHAnsi"/>
          <w:szCs w:val="22"/>
        </w:rPr>
      </w:pPr>
      <w:r w:rsidRPr="002A617D">
        <w:rPr>
          <w:rFonts w:cstheme="majorHAnsi"/>
          <w:szCs w:val="22"/>
        </w:rPr>
        <w:t>RQ4: Prediction-Model Planning</w:t>
      </w:r>
    </w:p>
    <w:p w14:paraId="1BC87B4E"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Required events = 20 × P = 20 × 20 = 400</w:t>
      </w:r>
    </w:p>
    <w:p w14:paraId="752F28D6"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n = required events / event rate = 400 / 0.315 = 1,269.84</w:t>
      </w:r>
    </w:p>
    <w:p w14:paraId="2D3EA137" w14:textId="70446C5D"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Variable Definition: </w:t>
      </w:r>
      <w:r w:rsidRPr="002A617D">
        <w:rPr>
          <w:rFonts w:asciiTheme="majorHAnsi" w:hAnsiTheme="majorHAnsi" w:cstheme="majorHAnsi"/>
        </w:rPr>
        <w:t xml:space="preserve">P = the prespecified maximum of 20 effective predictor parameters; 20 is the selected events-per-parameter planning screen; event rate = .315 is the preliminary development REDUCTION_10 rate; n is </w:t>
      </w:r>
      <w:r w:rsidR="00313756" w:rsidRPr="002A617D">
        <w:rPr>
          <w:rFonts w:asciiTheme="majorHAnsi" w:hAnsiTheme="majorHAnsi" w:cstheme="majorHAnsi"/>
        </w:rPr>
        <w:t>the required</w:t>
      </w:r>
      <w:r w:rsidRPr="002A617D">
        <w:rPr>
          <w:rFonts w:asciiTheme="majorHAnsi" w:hAnsiTheme="majorHAnsi" w:cstheme="majorHAnsi"/>
        </w:rPr>
        <w:t xml:space="preserve"> development records.</w:t>
      </w:r>
    </w:p>
    <w:p w14:paraId="56BB7E0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Substitution, Setup, or Step-by-Step Explanation: </w:t>
      </w:r>
      <w:r w:rsidRPr="002A617D">
        <w:rPr>
          <w:rFonts w:asciiTheme="majorHAnsi" w:hAnsiTheme="majorHAnsi" w:cstheme="majorHAnsi"/>
        </w:rPr>
        <w:t xml:space="preserve">First calculate required events: 20 events per </w:t>
      </w:r>
      <w:r w:rsidR="00FC0C83" w:rsidRPr="002A617D">
        <w:rPr>
          <w:rFonts w:asciiTheme="majorHAnsi" w:hAnsiTheme="majorHAnsi" w:cstheme="majorHAnsi"/>
        </w:rPr>
        <w:t>parameter × 20</w:t>
      </w:r>
      <w:r w:rsidRPr="002A617D">
        <w:rPr>
          <w:rFonts w:asciiTheme="majorHAnsi" w:hAnsiTheme="majorHAnsi" w:cstheme="majorHAnsi"/>
        </w:rPr>
        <w:t xml:space="preserve"> parameters = 400 events. Then divide by the preliminary event rate: n = 400/.315 = 1,269.84. Round upward.</w:t>
      </w:r>
    </w:p>
    <w:p w14:paraId="71DF354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Final Answer: </w:t>
      </w:r>
      <w:r w:rsidRPr="002A617D">
        <w:rPr>
          <w:rFonts w:asciiTheme="majorHAnsi" w:hAnsiTheme="majorHAnsi" w:cstheme="majorHAnsi"/>
        </w:rPr>
        <w:t>Round upward to 1,270 development records, plus a separate holdout set.</w:t>
      </w:r>
    </w:p>
    <w:p w14:paraId="1B0BB0F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b/>
        </w:rPr>
        <w:t xml:space="preserve">Limitation, Risk, or Diagnostic Note: </w:t>
      </w:r>
      <w:r w:rsidRPr="002A617D">
        <w:rPr>
          <w:rFonts w:asciiTheme="majorHAnsi" w:hAnsiTheme="majorHAnsi" w:cstheme="majorHAnsi"/>
        </w:rPr>
        <w:t xml:space="preserve">This is a planning screen </w:t>
      </w:r>
      <w:r w:rsidR="00485B07" w:rsidRPr="002A617D">
        <w:rPr>
          <w:rFonts w:asciiTheme="majorHAnsi" w:hAnsiTheme="majorHAnsi" w:cstheme="majorHAnsi"/>
        </w:rPr>
        <w:t xml:space="preserve">based on the events-per-variable heuristic (Peduzzi et al., 1996) </w:t>
      </w:r>
      <w:r w:rsidRPr="002A617D">
        <w:rPr>
          <w:rFonts w:asciiTheme="majorHAnsi" w:hAnsiTheme="majorHAnsi" w:cstheme="majorHAnsi"/>
        </w:rPr>
        <w:t>rather than the final Riley-style calculation. Calibration, shrinkage, predictor prevalence, and overfitting will also be evaluated.</w:t>
      </w:r>
    </w:p>
    <w:p w14:paraId="2A91F623"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lastRenderedPageBreak/>
        <w:br w:type="page"/>
      </w:r>
    </w:p>
    <w:p w14:paraId="3C9C6BD7" w14:textId="77777777" w:rsidR="00C006A0" w:rsidRPr="002A617D" w:rsidRDefault="00000000" w:rsidP="002A617D">
      <w:pPr>
        <w:pStyle w:val="Heading1"/>
        <w:pageBreakBefore/>
        <w:ind w:firstLine="0"/>
        <w:rPr>
          <w:rFonts w:cstheme="majorHAnsi"/>
          <w:szCs w:val="22"/>
        </w:rPr>
      </w:pPr>
      <w:r w:rsidRPr="002A617D">
        <w:rPr>
          <w:rFonts w:cstheme="majorHAnsi"/>
          <w:szCs w:val="22"/>
        </w:rPr>
        <w:lastRenderedPageBreak/>
        <w:t>Appendix C</w:t>
      </w:r>
    </w:p>
    <w:p w14:paraId="57E1E9C0" w14:textId="77777777" w:rsidR="00C006A0" w:rsidRPr="002A617D" w:rsidRDefault="00000000" w:rsidP="002A617D">
      <w:pPr>
        <w:pStyle w:val="Heading2"/>
        <w:ind w:firstLine="0"/>
        <w:rPr>
          <w:rFonts w:cstheme="majorHAnsi"/>
          <w:szCs w:val="22"/>
        </w:rPr>
      </w:pPr>
      <w:r w:rsidRPr="002A617D">
        <w:rPr>
          <w:rFonts w:cstheme="majorHAnsi"/>
          <w:szCs w:val="22"/>
        </w:rPr>
        <w:t>Research-Question Models, Decision Rules, and Evaluation Metrics</w:t>
      </w:r>
    </w:p>
    <w:p w14:paraId="10D15201" w14:textId="77777777" w:rsidR="00C006A0" w:rsidRPr="002A617D" w:rsidRDefault="00000000" w:rsidP="002A617D">
      <w:pPr>
        <w:pStyle w:val="Heading2"/>
        <w:ind w:firstLine="0"/>
        <w:rPr>
          <w:rFonts w:cstheme="majorHAnsi"/>
          <w:szCs w:val="22"/>
        </w:rPr>
      </w:pPr>
      <w:r w:rsidRPr="002A617D">
        <w:rPr>
          <w:rFonts w:cstheme="majorHAnsi"/>
          <w:szCs w:val="22"/>
        </w:rPr>
        <w:t>RQ1 Mathematical Specification</w:t>
      </w:r>
    </w:p>
    <w:p w14:paraId="4943AF61"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p̂g = yg/ng</w:t>
      </w:r>
    </w:p>
    <w:p w14:paraId="44ABECDC"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χ² = ΣᵢΣⱼ[(Oᵢⱼ - Eᵢⱼ)²/Eᵢⱼ]</w:t>
      </w:r>
    </w:p>
    <w:p w14:paraId="12AA9ED9" w14:textId="77777777" w:rsidR="00C006A0" w:rsidRPr="002A617D" w:rsidRDefault="00FC0C83" w:rsidP="002A617D">
      <w:pPr>
        <w:rPr>
          <w:rFonts w:asciiTheme="majorHAnsi" w:hAnsiTheme="majorHAnsi" w:cstheme="majorHAnsi"/>
        </w:rPr>
      </w:pPr>
      <w:proofErr w:type="spellStart"/>
      <w:r w:rsidRPr="002A617D">
        <w:rPr>
          <w:rFonts w:asciiTheme="majorHAnsi" w:hAnsiTheme="majorHAnsi" w:cstheme="majorHAnsi"/>
        </w:rPr>
        <w:t>yg</w:t>
      </w:r>
      <w:proofErr w:type="spellEnd"/>
      <w:r w:rsidRPr="002A617D">
        <w:rPr>
          <w:rFonts w:asciiTheme="majorHAnsi" w:hAnsiTheme="majorHAnsi" w:cstheme="majorHAnsi"/>
        </w:rPr>
        <w:t xml:space="preserve"> is the number of REDUCTION_10 events in group g; ng is the eligible count; Oᵢⱼ and Eᵢⱼ are observed and expected contingency-table counts. Report confidence intervals and Cramer's V because a large N can make minor differences statistically significant.</w:t>
      </w:r>
    </w:p>
    <w:p w14:paraId="369CA607" w14:textId="77777777" w:rsidR="00C006A0" w:rsidRPr="002A617D" w:rsidRDefault="00000000" w:rsidP="002A617D">
      <w:pPr>
        <w:pStyle w:val="Heading2"/>
        <w:ind w:firstLine="0"/>
        <w:rPr>
          <w:rFonts w:cstheme="majorHAnsi"/>
          <w:szCs w:val="22"/>
        </w:rPr>
      </w:pPr>
      <w:r w:rsidRPr="002A617D">
        <w:rPr>
          <w:rFonts w:cstheme="majorHAnsi"/>
          <w:szCs w:val="22"/>
        </w:rPr>
        <w:t>RQ2 Mathematical Specification</w:t>
      </w:r>
    </w:p>
    <w:p w14:paraId="329A210D"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log[pᵢ/(1 - pᵢ)] = β₀ + β₁Aᵢ + β₂log(1 + Rᵢ) + β₃Pᵢ + γᵀXᵢ</w:t>
      </w:r>
    </w:p>
    <w:p w14:paraId="5DF2C6A3" w14:textId="025269FB" w:rsidR="00C006A0" w:rsidRPr="002A617D" w:rsidRDefault="00FC0C83" w:rsidP="002A617D">
      <w:pPr>
        <w:rPr>
          <w:rFonts w:asciiTheme="majorHAnsi" w:hAnsiTheme="majorHAnsi" w:cstheme="majorHAnsi"/>
        </w:rPr>
      </w:pPr>
      <w:r w:rsidRPr="002A617D">
        <w:rPr>
          <w:rFonts w:asciiTheme="majorHAnsi" w:hAnsiTheme="majorHAnsi" w:cstheme="majorHAnsi"/>
        </w:rPr>
        <w:t xml:space="preserve">Aᵢ is REPORTED_ANY_SOURCE_REDUCTION_ACTION; Rᵢ is </w:t>
      </w:r>
      <w:r w:rsidR="00313756" w:rsidRPr="002A617D">
        <w:rPr>
          <w:rFonts w:asciiTheme="majorHAnsi" w:hAnsiTheme="majorHAnsi" w:cstheme="majorHAnsi"/>
        </w:rPr>
        <w:t>the current-year</w:t>
      </w:r>
      <w:r w:rsidRPr="002A617D">
        <w:rPr>
          <w:rFonts w:asciiTheme="majorHAnsi" w:hAnsiTheme="majorHAnsi" w:cstheme="majorHAnsi"/>
        </w:rPr>
        <w:t xml:space="preserve"> on-site release; Pᵢ is the production or activity ratio; Xᵢ contains </w:t>
      </w:r>
      <w:r w:rsidR="00313756" w:rsidRPr="002A617D">
        <w:rPr>
          <w:rFonts w:asciiTheme="majorHAnsi" w:hAnsiTheme="majorHAnsi" w:cstheme="majorHAnsi"/>
        </w:rPr>
        <w:t>the year,</w:t>
      </w:r>
      <w:r w:rsidRPr="002A617D">
        <w:rPr>
          <w:rFonts w:asciiTheme="majorHAnsi" w:hAnsiTheme="majorHAnsi" w:cstheme="majorHAnsi"/>
        </w:rPr>
        <w:t xml:space="preserve"> three-digit NAICS subsector, and selected chemical controls. exp(β₁) is the adjusted odds ratio. Reject H0₂ when its 95% confidence interval excludes 1.00 and p &lt; .05.</w:t>
      </w:r>
    </w:p>
    <w:p w14:paraId="45BB5007" w14:textId="77777777" w:rsidR="00C006A0" w:rsidRPr="002A617D" w:rsidRDefault="00000000" w:rsidP="002A617D">
      <w:pPr>
        <w:pStyle w:val="Heading2"/>
        <w:ind w:firstLine="0"/>
        <w:rPr>
          <w:rFonts w:cstheme="majorHAnsi"/>
          <w:szCs w:val="22"/>
        </w:rPr>
      </w:pPr>
      <w:r w:rsidRPr="002A617D">
        <w:rPr>
          <w:rFonts w:cstheme="majorHAnsi"/>
          <w:szCs w:val="22"/>
        </w:rPr>
        <w:t>RQ3 Mathematical Specification</w:t>
      </w:r>
    </w:p>
    <w:p w14:paraId="6371ACCE" w14:textId="754D9E8A" w:rsidR="002D6F61" w:rsidRPr="002D6F61" w:rsidRDefault="002D6F61" w:rsidP="002D6F61">
      <w:pPr>
        <w:rPr>
          <w:rFonts w:asciiTheme="majorHAnsi" w:hAnsiTheme="majorHAnsi" w:cstheme="majorHAnsi"/>
          <w:lang w:val="en-IN"/>
        </w:rPr>
      </w:pPr>
      <w:r w:rsidRPr="002D6F61">
        <w:rPr>
          <w:rFonts w:asciiTheme="majorHAnsi" w:hAnsiTheme="majorHAnsi" w:cstheme="majorHAnsi"/>
          <w:lang w:val="en-IN"/>
        </w:rPr>
        <w:t xml:space="preserve">For each action type </w:t>
      </w:r>
      <m:oMath>
        <m:r>
          <w:rPr>
            <w:rFonts w:ascii="Cambria Math" w:hAnsi="Cambria Math" w:cstheme="majorHAnsi"/>
            <w:lang w:val="en-IN"/>
          </w:rPr>
          <m:t>k</m:t>
        </m:r>
      </m:oMath>
      <w:r w:rsidRPr="002D6F61">
        <w:rPr>
          <w:rFonts w:asciiTheme="majorHAnsi" w:hAnsiTheme="majorHAnsi" w:cstheme="majorHAnsi"/>
          <w:lang w:val="en-IN"/>
        </w:rPr>
        <w:t>:</w:t>
      </w:r>
    </w:p>
    <w:p w14:paraId="1AFF5978" w14:textId="1E2AAEF2" w:rsidR="002D6F61" w:rsidRPr="002D6F61" w:rsidRDefault="002D6F61" w:rsidP="002D6F61">
      <w:pPr>
        <w:rPr>
          <w:rFonts w:asciiTheme="majorHAnsi" w:hAnsiTheme="majorHAnsi" w:cstheme="majorHAnsi"/>
          <w:lang w:val="en-IN"/>
        </w:rPr>
      </w:pPr>
      <m:oMathPara>
        <m:oMath>
          <m:sSub>
            <m:sSubPr>
              <m:ctrlPr>
                <w:rPr>
                  <w:rFonts w:ascii="Cambria Math" w:hAnsi="Cambria Math" w:cstheme="majorHAnsi"/>
                  <w:lang w:val="en-IN"/>
                </w:rPr>
              </m:ctrlPr>
            </m:sSubPr>
            <m:e>
              <m:acc>
                <m:accPr>
                  <m:ctrlPr>
                    <w:rPr>
                      <w:rFonts w:ascii="Cambria Math" w:hAnsi="Cambria Math" w:cstheme="majorHAnsi"/>
                      <w:lang w:val="en-IN"/>
                    </w:rPr>
                  </m:ctrlPr>
                </m:accPr>
                <m:e>
                  <m:r>
                    <w:rPr>
                      <w:rFonts w:ascii="Cambria Math" w:hAnsi="Cambria Math" w:cstheme="majorHAnsi"/>
                      <w:lang w:val="en-IN"/>
                    </w:rPr>
                    <m:t>p</m:t>
                  </m:r>
                </m:e>
              </m:acc>
            </m:e>
            <m:sub>
              <m:r>
                <w:rPr>
                  <w:rFonts w:ascii="Cambria Math" w:hAnsi="Cambria Math" w:cstheme="majorHAnsi"/>
                  <w:lang w:val="en-IN"/>
                </w:rPr>
                <m:t>k</m:t>
              </m:r>
            </m:sub>
          </m:sSub>
          <m:r>
            <w:rPr>
              <w:rFonts w:ascii="Cambria Math" w:hAnsi="Cambria Math" w:cstheme="majorHAnsi"/>
              <w:lang w:val="en-IN"/>
            </w:rPr>
            <m:t>=</m:t>
          </m:r>
          <m:f>
            <m:fPr>
              <m:ctrlPr>
                <w:rPr>
                  <w:rFonts w:ascii="Cambria Math" w:hAnsi="Cambria Math" w:cstheme="majorHAnsi"/>
                  <w:lang w:val="en-IN"/>
                </w:rPr>
              </m:ctrlPr>
            </m:fPr>
            <m:num>
              <m:sSub>
                <m:sSubPr>
                  <m:ctrlPr>
                    <w:rPr>
                      <w:rFonts w:ascii="Cambria Math" w:hAnsi="Cambria Math" w:cstheme="majorHAnsi"/>
                      <w:lang w:val="en-IN"/>
                    </w:rPr>
                  </m:ctrlPr>
                </m:sSubPr>
                <m:e>
                  <m:r>
                    <w:rPr>
                      <w:rFonts w:ascii="Cambria Math" w:hAnsi="Cambria Math" w:cstheme="majorHAnsi"/>
                      <w:lang w:val="en-IN"/>
                    </w:rPr>
                    <m:t>y</m:t>
                  </m:r>
                </m:e>
                <m:sub>
                  <m:r>
                    <w:rPr>
                      <w:rFonts w:ascii="Cambria Math" w:hAnsi="Cambria Math" w:cstheme="majorHAnsi"/>
                      <w:lang w:val="en-IN"/>
                    </w:rPr>
                    <m:t>k</m:t>
                  </m:r>
                </m:sub>
              </m:sSub>
            </m:num>
            <m:den>
              <m:sSub>
                <m:sSubPr>
                  <m:ctrlPr>
                    <w:rPr>
                      <w:rFonts w:ascii="Cambria Math" w:hAnsi="Cambria Math" w:cstheme="majorHAnsi"/>
                      <w:lang w:val="en-IN"/>
                    </w:rPr>
                  </m:ctrlPr>
                </m:sSubPr>
                <m:e>
                  <m:r>
                    <w:rPr>
                      <w:rFonts w:ascii="Cambria Math" w:hAnsi="Cambria Math" w:cstheme="majorHAnsi"/>
                      <w:lang w:val="en-IN"/>
                    </w:rPr>
                    <m:t>n</m:t>
                  </m:r>
                </m:e>
                <m:sub>
                  <m:r>
                    <w:rPr>
                      <w:rFonts w:ascii="Cambria Math" w:hAnsi="Cambria Math" w:cstheme="majorHAnsi"/>
                      <w:lang w:val="en-IN"/>
                    </w:rPr>
                    <m:t>k</m:t>
                  </m:r>
                </m:sub>
              </m:sSub>
            </m:den>
          </m:f>
          <m:r>
            <w:rPr>
              <w:rFonts w:asciiTheme="majorHAnsi" w:hAnsiTheme="majorHAnsi" w:cstheme="majorHAnsi"/>
              <w:lang w:val="en-IN"/>
            </w:rPr>
            <w:br/>
          </m:r>
        </m:oMath>
        <m:oMath>
          <m:sSub>
            <m:sSubPr>
              <m:ctrlPr>
                <w:rPr>
                  <w:rFonts w:ascii="Cambria Math" w:hAnsi="Cambria Math" w:cstheme="majorHAnsi"/>
                  <w:lang w:val="en-IN"/>
                </w:rPr>
              </m:ctrlPr>
            </m:sSubPr>
            <m:e>
              <m:acc>
                <m:accPr>
                  <m:ctrlPr>
                    <w:rPr>
                      <w:rFonts w:ascii="Cambria Math" w:hAnsi="Cambria Math" w:cstheme="majorHAnsi"/>
                      <w:lang w:val="en-IN"/>
                    </w:rPr>
                  </m:ctrlPr>
                </m:accPr>
                <m:e>
                  <m:r>
                    <w:rPr>
                      <w:rFonts w:ascii="Cambria Math" w:hAnsi="Cambria Math" w:cstheme="majorHAnsi"/>
                      <w:lang w:val="en-IN"/>
                    </w:rPr>
                    <m:t>p</m:t>
                  </m:r>
                </m:e>
              </m:acc>
            </m:e>
            <m:sub>
              <m:r>
                <w:rPr>
                  <w:rFonts w:ascii="Cambria Math" w:hAnsi="Cambria Math" w:cstheme="majorHAnsi"/>
                  <w:lang w:val="en-IN"/>
                </w:rPr>
                <m:t>0</m:t>
              </m:r>
            </m:sub>
          </m:sSub>
          <m:r>
            <w:rPr>
              <w:rFonts w:ascii="Cambria Math" w:hAnsi="Cambria Math" w:cstheme="majorHAnsi"/>
              <w:lang w:val="en-IN"/>
            </w:rPr>
            <m:t>=</m:t>
          </m:r>
          <m:f>
            <m:fPr>
              <m:ctrlPr>
                <w:rPr>
                  <w:rFonts w:ascii="Cambria Math" w:hAnsi="Cambria Math" w:cstheme="majorHAnsi"/>
                  <w:lang w:val="en-IN"/>
                </w:rPr>
              </m:ctrlPr>
            </m:fPr>
            <m:num>
              <m:sSub>
                <m:sSubPr>
                  <m:ctrlPr>
                    <w:rPr>
                      <w:rFonts w:ascii="Cambria Math" w:hAnsi="Cambria Math" w:cstheme="majorHAnsi"/>
                      <w:lang w:val="en-IN"/>
                    </w:rPr>
                  </m:ctrlPr>
                </m:sSubPr>
                <m:e>
                  <m:r>
                    <w:rPr>
                      <w:rFonts w:ascii="Cambria Math" w:hAnsi="Cambria Math" w:cstheme="majorHAnsi"/>
                      <w:lang w:val="en-IN"/>
                    </w:rPr>
                    <m:t>y</m:t>
                  </m:r>
                </m:e>
                <m:sub>
                  <m:r>
                    <w:rPr>
                      <w:rFonts w:ascii="Cambria Math" w:hAnsi="Cambria Math" w:cstheme="majorHAnsi"/>
                      <w:lang w:val="en-IN"/>
                    </w:rPr>
                    <m:t>0</m:t>
                  </m:r>
                </m:sub>
              </m:sSub>
            </m:num>
            <m:den>
              <m:sSub>
                <m:sSubPr>
                  <m:ctrlPr>
                    <w:rPr>
                      <w:rFonts w:ascii="Cambria Math" w:hAnsi="Cambria Math" w:cstheme="majorHAnsi"/>
                      <w:lang w:val="en-IN"/>
                    </w:rPr>
                  </m:ctrlPr>
                </m:sSubPr>
                <m:e>
                  <m:r>
                    <w:rPr>
                      <w:rFonts w:ascii="Cambria Math" w:hAnsi="Cambria Math" w:cstheme="majorHAnsi"/>
                      <w:lang w:val="en-IN"/>
                    </w:rPr>
                    <m:t>n</m:t>
                  </m:r>
                </m:e>
                <m:sub>
                  <m:r>
                    <w:rPr>
                      <w:rFonts w:ascii="Cambria Math" w:hAnsi="Cambria Math" w:cstheme="majorHAnsi"/>
                      <w:lang w:val="en-IN"/>
                    </w:rPr>
                    <m:t>0</m:t>
                  </m:r>
                </m:sub>
              </m:sSub>
            </m:den>
          </m:f>
          <m:r>
            <w:rPr>
              <w:rFonts w:asciiTheme="majorHAnsi" w:hAnsiTheme="majorHAnsi" w:cstheme="majorHAnsi"/>
              <w:lang w:val="en-IN"/>
            </w:rPr>
            <w:br/>
          </m:r>
        </m:oMath>
        <m:oMath>
          <m:sSub>
            <m:sSubPr>
              <m:ctrlPr>
                <w:rPr>
                  <w:rFonts w:ascii="Cambria Math" w:hAnsi="Cambria Math" w:cstheme="majorHAnsi"/>
                  <w:lang w:val="en-IN"/>
                </w:rPr>
              </m:ctrlPr>
            </m:sSubPr>
            <m:e>
              <m:r>
                <m:rPr>
                  <m:sty m:val="p"/>
                </m:rPr>
                <w:rPr>
                  <w:rFonts w:ascii="Cambria Math" w:hAnsi="Cambria Math" w:cstheme="majorHAnsi"/>
                  <w:lang w:val="en-IN"/>
                </w:rPr>
                <m:t>Δ</m:t>
              </m:r>
            </m:e>
            <m:sub>
              <m:r>
                <w:rPr>
                  <w:rFonts w:ascii="Cambria Math" w:hAnsi="Cambria Math" w:cstheme="majorHAnsi"/>
                  <w:lang w:val="en-IN"/>
                </w:rPr>
                <m:t>k</m:t>
              </m:r>
            </m:sub>
          </m:sSub>
          <m:r>
            <w:rPr>
              <w:rFonts w:ascii="Cambria Math" w:hAnsi="Cambria Math" w:cstheme="majorHAnsi"/>
              <w:lang w:val="en-IN"/>
            </w:rPr>
            <m:t>=</m:t>
          </m:r>
          <m:sSub>
            <m:sSubPr>
              <m:ctrlPr>
                <w:rPr>
                  <w:rFonts w:ascii="Cambria Math" w:hAnsi="Cambria Math" w:cstheme="majorHAnsi"/>
                  <w:lang w:val="en-IN"/>
                </w:rPr>
              </m:ctrlPr>
            </m:sSubPr>
            <m:e>
              <m:acc>
                <m:accPr>
                  <m:ctrlPr>
                    <w:rPr>
                      <w:rFonts w:ascii="Cambria Math" w:hAnsi="Cambria Math" w:cstheme="majorHAnsi"/>
                      <w:lang w:val="en-IN"/>
                    </w:rPr>
                  </m:ctrlPr>
                </m:accPr>
                <m:e>
                  <m:r>
                    <w:rPr>
                      <w:rFonts w:ascii="Cambria Math" w:hAnsi="Cambria Math" w:cstheme="majorHAnsi"/>
                      <w:lang w:val="en-IN"/>
                    </w:rPr>
                    <m:t>p</m:t>
                  </m:r>
                </m:e>
              </m:acc>
            </m:e>
            <m:sub>
              <m:r>
                <w:rPr>
                  <w:rFonts w:ascii="Cambria Math" w:hAnsi="Cambria Math" w:cstheme="majorHAnsi"/>
                  <w:lang w:val="en-IN"/>
                </w:rPr>
                <m:t>k</m:t>
              </m:r>
            </m:sub>
          </m:sSub>
          <m:r>
            <w:rPr>
              <w:rFonts w:ascii="Cambria Math" w:hAnsi="Cambria Math" w:cstheme="majorHAnsi"/>
              <w:lang w:val="en-IN"/>
            </w:rPr>
            <m:t>-</m:t>
          </m:r>
          <m:sSub>
            <m:sSubPr>
              <m:ctrlPr>
                <w:rPr>
                  <w:rFonts w:ascii="Cambria Math" w:hAnsi="Cambria Math" w:cstheme="majorHAnsi"/>
                  <w:lang w:val="en-IN"/>
                </w:rPr>
              </m:ctrlPr>
            </m:sSubPr>
            <m:e>
              <m:acc>
                <m:accPr>
                  <m:ctrlPr>
                    <w:rPr>
                      <w:rFonts w:ascii="Cambria Math" w:hAnsi="Cambria Math" w:cstheme="majorHAnsi"/>
                      <w:lang w:val="en-IN"/>
                    </w:rPr>
                  </m:ctrlPr>
                </m:accPr>
                <m:e>
                  <m:r>
                    <w:rPr>
                      <w:rFonts w:ascii="Cambria Math" w:hAnsi="Cambria Math" w:cstheme="majorHAnsi"/>
                      <w:lang w:val="en-IN"/>
                    </w:rPr>
                    <m:t>p</m:t>
                  </m:r>
                </m:e>
              </m:acc>
            </m:e>
            <m:sub>
              <m:r>
                <w:rPr>
                  <w:rFonts w:ascii="Cambria Math" w:hAnsi="Cambria Math" w:cstheme="majorHAnsi"/>
                  <w:lang w:val="en-IN"/>
                </w:rPr>
                <m:t>0</m:t>
              </m:r>
            </m:sub>
          </m:sSub>
          <m:r>
            <w:rPr>
              <w:rFonts w:asciiTheme="majorHAnsi" w:hAnsiTheme="majorHAnsi" w:cstheme="majorHAnsi"/>
              <w:lang w:val="en-IN"/>
            </w:rPr>
            <w:br/>
          </m:r>
        </m:oMath>
        <m:oMath>
          <m:r>
            <w:rPr>
              <w:rFonts w:ascii="Cambria Math" w:hAnsi="Cambria Math" w:cstheme="majorHAnsi"/>
              <w:lang w:val="en-IN"/>
            </w:rPr>
            <m:t>R</m:t>
          </m:r>
          <m:sSub>
            <m:sSubPr>
              <m:ctrlPr>
                <w:rPr>
                  <w:rFonts w:ascii="Cambria Math" w:hAnsi="Cambria Math" w:cstheme="majorHAnsi"/>
                  <w:lang w:val="en-IN"/>
                </w:rPr>
              </m:ctrlPr>
            </m:sSubPr>
            <m:e>
              <m:r>
                <w:rPr>
                  <w:rFonts w:ascii="Cambria Math" w:hAnsi="Cambria Math" w:cstheme="majorHAnsi"/>
                  <w:lang w:val="en-IN"/>
                </w:rPr>
                <m:t>R</m:t>
              </m:r>
            </m:e>
            <m:sub>
              <m:r>
                <w:rPr>
                  <w:rFonts w:ascii="Cambria Math" w:hAnsi="Cambria Math" w:cstheme="majorHAnsi"/>
                  <w:lang w:val="en-IN"/>
                </w:rPr>
                <m:t>k</m:t>
              </m:r>
            </m:sub>
          </m:sSub>
          <m:r>
            <w:rPr>
              <w:rFonts w:ascii="Cambria Math" w:hAnsi="Cambria Math" w:cstheme="majorHAnsi"/>
              <w:lang w:val="en-IN"/>
            </w:rPr>
            <m:t>=</m:t>
          </m:r>
          <m:f>
            <m:fPr>
              <m:ctrlPr>
                <w:rPr>
                  <w:rFonts w:ascii="Cambria Math" w:hAnsi="Cambria Math" w:cstheme="majorHAnsi"/>
                  <w:lang w:val="en-IN"/>
                </w:rPr>
              </m:ctrlPr>
            </m:fPr>
            <m:num>
              <m:sSub>
                <m:sSubPr>
                  <m:ctrlPr>
                    <w:rPr>
                      <w:rFonts w:ascii="Cambria Math" w:hAnsi="Cambria Math" w:cstheme="majorHAnsi"/>
                      <w:lang w:val="en-IN"/>
                    </w:rPr>
                  </m:ctrlPr>
                </m:sSubPr>
                <m:e>
                  <m:acc>
                    <m:accPr>
                      <m:ctrlPr>
                        <w:rPr>
                          <w:rFonts w:ascii="Cambria Math" w:hAnsi="Cambria Math" w:cstheme="majorHAnsi"/>
                          <w:lang w:val="en-IN"/>
                        </w:rPr>
                      </m:ctrlPr>
                    </m:accPr>
                    <m:e>
                      <m:r>
                        <w:rPr>
                          <w:rFonts w:ascii="Cambria Math" w:hAnsi="Cambria Math" w:cstheme="majorHAnsi"/>
                          <w:lang w:val="en-IN"/>
                        </w:rPr>
                        <m:t>p</m:t>
                      </m:r>
                    </m:e>
                  </m:acc>
                </m:e>
                <m:sub>
                  <m:r>
                    <w:rPr>
                      <w:rFonts w:ascii="Cambria Math" w:hAnsi="Cambria Math" w:cstheme="majorHAnsi"/>
                      <w:lang w:val="en-IN"/>
                    </w:rPr>
                    <m:t>k</m:t>
                  </m:r>
                </m:sub>
              </m:sSub>
            </m:num>
            <m:den>
              <m:sSub>
                <m:sSubPr>
                  <m:ctrlPr>
                    <w:rPr>
                      <w:rFonts w:ascii="Cambria Math" w:hAnsi="Cambria Math" w:cstheme="majorHAnsi"/>
                      <w:lang w:val="en-IN"/>
                    </w:rPr>
                  </m:ctrlPr>
                </m:sSubPr>
                <m:e>
                  <m:acc>
                    <m:accPr>
                      <m:ctrlPr>
                        <w:rPr>
                          <w:rFonts w:ascii="Cambria Math" w:hAnsi="Cambria Math" w:cstheme="majorHAnsi"/>
                          <w:lang w:val="en-IN"/>
                        </w:rPr>
                      </m:ctrlPr>
                    </m:accPr>
                    <m:e>
                      <m:r>
                        <w:rPr>
                          <w:rFonts w:ascii="Cambria Math" w:hAnsi="Cambria Math" w:cstheme="majorHAnsi"/>
                          <w:lang w:val="en-IN"/>
                        </w:rPr>
                        <m:t>p</m:t>
                      </m:r>
                    </m:e>
                  </m:acc>
                </m:e>
                <m:sub>
                  <m:r>
                    <w:rPr>
                      <w:rFonts w:ascii="Cambria Math" w:hAnsi="Cambria Math" w:cstheme="majorHAnsi"/>
                      <w:lang w:val="en-IN"/>
                    </w:rPr>
                    <m:t>0</m:t>
                  </m:r>
                </m:sub>
              </m:sSub>
            </m:den>
          </m:f>
          <m:r>
            <w:rPr>
              <w:rFonts w:asciiTheme="majorHAnsi" w:hAnsiTheme="majorHAnsi" w:cstheme="majorHAnsi"/>
              <w:lang w:val="en-IN"/>
            </w:rPr>
            <w:br/>
          </m:r>
        </m:oMath>
        <m:oMath>
          <m:sSup>
            <m:sSupPr>
              <m:ctrlPr>
                <w:rPr>
                  <w:rFonts w:ascii="Cambria Math" w:hAnsi="Cambria Math" w:cstheme="majorHAnsi"/>
                  <w:lang w:val="en-IN"/>
                </w:rPr>
              </m:ctrlPr>
            </m:sSupPr>
            <m:e>
              <m:r>
                <w:rPr>
                  <w:rFonts w:ascii="Cambria Math" w:hAnsi="Cambria Math" w:cstheme="majorHAnsi"/>
                  <w:lang w:val="en-IN"/>
                </w:rPr>
                <m:t>χ</m:t>
              </m:r>
            </m:e>
            <m:sup>
              <m:r>
                <w:rPr>
                  <w:rFonts w:ascii="Cambria Math" w:hAnsi="Cambria Math" w:cstheme="majorHAnsi"/>
                  <w:lang w:val="en-IN"/>
                </w:rPr>
                <m:t>2</m:t>
              </m:r>
            </m:sup>
          </m:sSup>
          <m:r>
            <w:rPr>
              <w:rFonts w:ascii="Cambria Math" w:hAnsi="Cambria Math" w:cstheme="majorHAnsi"/>
              <w:lang w:val="en-IN"/>
            </w:rPr>
            <m:t>=</m:t>
          </m:r>
          <m:nary>
            <m:naryPr>
              <m:chr m:val="∑"/>
              <m:limLoc m:val="undOvr"/>
              <m:grow m:val="1"/>
              <m:ctrlPr>
                <w:rPr>
                  <w:rFonts w:ascii="Cambria Math" w:hAnsi="Cambria Math" w:cstheme="majorHAnsi"/>
                  <w:lang w:val="en-IN"/>
                </w:rPr>
              </m:ctrlPr>
            </m:naryPr>
            <m:sub>
              <m:r>
                <w:rPr>
                  <w:rFonts w:ascii="Cambria Math" w:hAnsi="Cambria Math" w:cstheme="majorHAnsi"/>
                  <w:lang w:val="en-IN"/>
                </w:rPr>
                <m:t>i=1</m:t>
              </m:r>
            </m:sub>
            <m:sup>
              <m:r>
                <w:rPr>
                  <w:rFonts w:ascii="Cambria Math" w:hAnsi="Cambria Math" w:cstheme="majorHAnsi"/>
                  <w:lang w:val="en-IN"/>
                </w:rPr>
                <m:t>2</m:t>
              </m:r>
            </m:sup>
            <m:e>
              <m:nary>
                <m:naryPr>
                  <m:chr m:val="∑"/>
                  <m:limLoc m:val="undOvr"/>
                  <m:grow m:val="1"/>
                  <m:ctrlPr>
                    <w:rPr>
                      <w:rFonts w:ascii="Cambria Math" w:hAnsi="Cambria Math" w:cstheme="majorHAnsi"/>
                      <w:lang w:val="en-IN"/>
                    </w:rPr>
                  </m:ctrlPr>
                </m:naryPr>
                <m:sub>
                  <m:r>
                    <w:rPr>
                      <w:rFonts w:ascii="Cambria Math" w:hAnsi="Cambria Math" w:cstheme="majorHAnsi"/>
                      <w:lang w:val="en-IN"/>
                    </w:rPr>
                    <m:t>j=1</m:t>
                  </m:r>
                </m:sub>
                <m:sup>
                  <m:r>
                    <w:rPr>
                      <w:rFonts w:ascii="Cambria Math" w:hAnsi="Cambria Math" w:cstheme="majorHAnsi"/>
                      <w:lang w:val="en-IN"/>
                    </w:rPr>
                    <m:t>2</m:t>
                  </m:r>
                </m:sup>
                <m:e>
                  <m:f>
                    <m:fPr>
                      <m:ctrlPr>
                        <w:rPr>
                          <w:rFonts w:ascii="Cambria Math" w:hAnsi="Cambria Math" w:cstheme="majorHAnsi"/>
                          <w:lang w:val="en-IN"/>
                        </w:rPr>
                      </m:ctrlPr>
                    </m:fPr>
                    <m:num>
                      <m:sSup>
                        <m:sSupPr>
                          <m:ctrlPr>
                            <w:rPr>
                              <w:rFonts w:ascii="Cambria Math" w:hAnsi="Cambria Math" w:cstheme="majorHAnsi"/>
                              <w:lang w:val="en-IN"/>
                            </w:rPr>
                          </m:ctrlPr>
                        </m:sSupPr>
                        <m:e>
                          <m:d>
                            <m:dPr>
                              <m:ctrlPr>
                                <w:rPr>
                                  <w:rFonts w:ascii="Cambria Math" w:hAnsi="Cambria Math" w:cstheme="majorHAnsi"/>
                                  <w:lang w:val="en-IN"/>
                                </w:rPr>
                              </m:ctrlPr>
                            </m:dPr>
                            <m:e>
                              <m:sSub>
                                <m:sSubPr>
                                  <m:ctrlPr>
                                    <w:rPr>
                                      <w:rFonts w:ascii="Cambria Math" w:hAnsi="Cambria Math" w:cstheme="majorHAnsi"/>
                                      <w:lang w:val="en-IN"/>
                                    </w:rPr>
                                  </m:ctrlPr>
                                </m:sSubPr>
                                <m:e>
                                  <m:r>
                                    <w:rPr>
                                      <w:rFonts w:ascii="Cambria Math" w:hAnsi="Cambria Math" w:cstheme="majorHAnsi"/>
                                      <w:lang w:val="en-IN"/>
                                    </w:rPr>
                                    <m:t>O</m:t>
                                  </m:r>
                                </m:e>
                                <m:sub>
                                  <m:r>
                                    <w:rPr>
                                      <w:rFonts w:ascii="Cambria Math" w:hAnsi="Cambria Math" w:cstheme="majorHAnsi"/>
                                      <w:lang w:val="en-IN"/>
                                    </w:rPr>
                                    <m:t>ij</m:t>
                                  </m:r>
                                </m:sub>
                              </m:sSub>
                              <m:r>
                                <w:rPr>
                                  <w:rFonts w:ascii="Cambria Math" w:hAnsi="Cambria Math" w:cstheme="majorHAnsi"/>
                                  <w:lang w:val="en-IN"/>
                                </w:rPr>
                                <m:t>-</m:t>
                              </m:r>
                              <m:sSub>
                                <m:sSubPr>
                                  <m:ctrlPr>
                                    <w:rPr>
                                      <w:rFonts w:ascii="Cambria Math" w:hAnsi="Cambria Math" w:cstheme="majorHAnsi"/>
                                      <w:lang w:val="en-IN"/>
                                    </w:rPr>
                                  </m:ctrlPr>
                                </m:sSubPr>
                                <m:e>
                                  <m:r>
                                    <w:rPr>
                                      <w:rFonts w:ascii="Cambria Math" w:hAnsi="Cambria Math" w:cstheme="majorHAnsi"/>
                                      <w:lang w:val="en-IN"/>
                                    </w:rPr>
                                    <m:t>E</m:t>
                                  </m:r>
                                </m:e>
                                <m:sub>
                                  <m:r>
                                    <w:rPr>
                                      <w:rFonts w:ascii="Cambria Math" w:hAnsi="Cambria Math" w:cstheme="majorHAnsi"/>
                                      <w:lang w:val="en-IN"/>
                                    </w:rPr>
                                    <m:t>ij</m:t>
                                  </m:r>
                                </m:sub>
                              </m:sSub>
                            </m:e>
                          </m:d>
                        </m:e>
                        <m:sup>
                          <m:r>
                            <w:rPr>
                              <w:rFonts w:ascii="Cambria Math" w:hAnsi="Cambria Math" w:cstheme="majorHAnsi"/>
                              <w:lang w:val="en-IN"/>
                            </w:rPr>
                            <m:t>2</m:t>
                          </m:r>
                        </m:sup>
                      </m:sSup>
                    </m:num>
                    <m:den>
                      <m:sSub>
                        <m:sSubPr>
                          <m:ctrlPr>
                            <w:rPr>
                              <w:rFonts w:ascii="Cambria Math" w:hAnsi="Cambria Math" w:cstheme="majorHAnsi"/>
                              <w:lang w:val="en-IN"/>
                            </w:rPr>
                          </m:ctrlPr>
                        </m:sSubPr>
                        <m:e>
                          <m:r>
                            <w:rPr>
                              <w:rFonts w:ascii="Cambria Math" w:hAnsi="Cambria Math" w:cstheme="majorHAnsi"/>
                              <w:lang w:val="en-IN"/>
                            </w:rPr>
                            <m:t>E</m:t>
                          </m:r>
                        </m:e>
                        <m:sub>
                          <m:r>
                            <w:rPr>
                              <w:rFonts w:ascii="Cambria Math" w:hAnsi="Cambria Math" w:cstheme="majorHAnsi"/>
                              <w:lang w:val="en-IN"/>
                            </w:rPr>
                            <m:t>ij</m:t>
                          </m:r>
                        </m:sub>
                      </m:sSub>
                    </m:den>
                  </m:f>
                </m:e>
              </m:nary>
            </m:e>
          </m:nary>
          <m:r>
            <w:rPr>
              <w:rFonts w:asciiTheme="majorHAnsi" w:hAnsiTheme="majorHAnsi" w:cstheme="majorHAnsi"/>
              <w:lang w:val="en-IN"/>
            </w:rPr>
            <w:br/>
          </m:r>
        </m:oMath>
      </m:oMathPara>
    </w:p>
    <w:p w14:paraId="51180305" w14:textId="77777777" w:rsidR="002D6F61" w:rsidRPr="002D6F61" w:rsidRDefault="002D6F61" w:rsidP="002D6F61">
      <w:pPr>
        <w:rPr>
          <w:rFonts w:asciiTheme="majorHAnsi" w:hAnsiTheme="majorHAnsi" w:cstheme="majorHAnsi"/>
          <w:lang w:val="en-IN"/>
        </w:rPr>
      </w:pPr>
      <w:r w:rsidRPr="002D6F61">
        <w:rPr>
          <w:rFonts w:asciiTheme="majorHAnsi" w:hAnsiTheme="majorHAnsi" w:cstheme="majorHAnsi"/>
          <w:lang w:val="en-IN"/>
        </w:rPr>
        <w:t>Where:</w:t>
      </w:r>
    </w:p>
    <w:p w14:paraId="2138BA06" w14:textId="464EC9BD" w:rsidR="002D6F61" w:rsidRPr="002D6F61" w:rsidRDefault="002D6F61" w:rsidP="002D6F61">
      <w:pPr>
        <w:numPr>
          <w:ilvl w:val="0"/>
          <w:numId w:val="14"/>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y</m:t>
            </m:r>
          </m:e>
          <m:sub>
            <m:r>
              <w:rPr>
                <w:rFonts w:ascii="Cambria Math" w:hAnsi="Cambria Math" w:cstheme="majorHAnsi"/>
                <w:lang w:val="en-IN"/>
              </w:rPr>
              <m:t>k</m:t>
            </m:r>
          </m:sub>
        </m:sSub>
      </m:oMath>
      <w:r w:rsidRPr="002D6F61">
        <w:rPr>
          <w:rFonts w:asciiTheme="majorHAnsi" w:hAnsiTheme="majorHAnsi" w:cstheme="majorHAnsi"/>
          <w:lang w:val="en-IN"/>
        </w:rPr>
        <w:t xml:space="preserve">is the number of REDUCTION_10 events among records reporting action type </w:t>
      </w:r>
      <m:oMath>
        <m:r>
          <w:rPr>
            <w:rFonts w:ascii="Cambria Math" w:hAnsi="Cambria Math" w:cstheme="majorHAnsi"/>
            <w:lang w:val="en-IN"/>
          </w:rPr>
          <m:t>k</m:t>
        </m:r>
      </m:oMath>
    </w:p>
    <w:p w14:paraId="18453E8A" w14:textId="0307A304" w:rsidR="002D6F61" w:rsidRPr="002D6F61" w:rsidRDefault="002D6F61" w:rsidP="002D6F61">
      <w:pPr>
        <w:numPr>
          <w:ilvl w:val="0"/>
          <w:numId w:val="14"/>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n</m:t>
            </m:r>
          </m:e>
          <m:sub>
            <m:r>
              <w:rPr>
                <w:rFonts w:ascii="Cambria Math" w:hAnsi="Cambria Math" w:cstheme="majorHAnsi"/>
                <w:lang w:val="en-IN"/>
              </w:rPr>
              <m:t>k</m:t>
            </m:r>
          </m:sub>
        </m:sSub>
      </m:oMath>
      <w:r w:rsidRPr="002D6F61">
        <w:rPr>
          <w:rFonts w:asciiTheme="majorHAnsi" w:hAnsiTheme="majorHAnsi" w:cstheme="majorHAnsi"/>
          <w:lang w:val="en-IN"/>
        </w:rPr>
        <w:t xml:space="preserve">is the number of eligible records reporting action type </w:t>
      </w:r>
      <m:oMath>
        <m:r>
          <w:rPr>
            <w:rFonts w:ascii="Cambria Math" w:hAnsi="Cambria Math" w:cstheme="majorHAnsi"/>
            <w:lang w:val="en-IN"/>
          </w:rPr>
          <m:t>k</m:t>
        </m:r>
      </m:oMath>
    </w:p>
    <w:p w14:paraId="337CFD1D" w14:textId="6D17B9FF" w:rsidR="002D6F61" w:rsidRPr="002D6F61" w:rsidRDefault="002D6F61" w:rsidP="002D6F61">
      <w:pPr>
        <w:numPr>
          <w:ilvl w:val="0"/>
          <w:numId w:val="14"/>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y</m:t>
            </m:r>
          </m:e>
          <m:sub>
            <m:r>
              <w:rPr>
                <w:rFonts w:ascii="Cambria Math" w:hAnsi="Cambria Math" w:cstheme="majorHAnsi"/>
                <w:lang w:val="en-IN"/>
              </w:rPr>
              <m:t>0</m:t>
            </m:r>
          </m:sub>
        </m:sSub>
      </m:oMath>
      <w:r w:rsidRPr="002D6F61">
        <w:rPr>
          <w:rFonts w:asciiTheme="majorHAnsi" w:hAnsiTheme="majorHAnsi" w:cstheme="majorHAnsi"/>
          <w:lang w:val="en-IN"/>
        </w:rPr>
        <w:t xml:space="preserve">is the number of REDUCTION_10 events among records reporting no action </w:t>
      </w:r>
    </w:p>
    <w:p w14:paraId="5D07183A" w14:textId="05C022A5" w:rsidR="002D6F61" w:rsidRPr="002D6F61" w:rsidRDefault="002D6F61" w:rsidP="002D6F61">
      <w:pPr>
        <w:numPr>
          <w:ilvl w:val="0"/>
          <w:numId w:val="14"/>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n</m:t>
            </m:r>
          </m:e>
          <m:sub>
            <m:r>
              <w:rPr>
                <w:rFonts w:ascii="Cambria Math" w:hAnsi="Cambria Math" w:cstheme="majorHAnsi"/>
                <w:lang w:val="en-IN"/>
              </w:rPr>
              <m:t>0</m:t>
            </m:r>
          </m:sub>
        </m:sSub>
      </m:oMath>
      <w:r w:rsidRPr="002D6F61">
        <w:rPr>
          <w:rFonts w:asciiTheme="majorHAnsi" w:hAnsiTheme="majorHAnsi" w:cstheme="majorHAnsi"/>
          <w:lang w:val="en-IN"/>
        </w:rPr>
        <w:t xml:space="preserve">is the number of eligible records reporting no action </w:t>
      </w:r>
    </w:p>
    <w:p w14:paraId="743948FA" w14:textId="5089FBFD" w:rsidR="002D6F61" w:rsidRPr="002D6F61" w:rsidRDefault="002D6F61" w:rsidP="002D6F61">
      <w:pPr>
        <w:numPr>
          <w:ilvl w:val="0"/>
          <w:numId w:val="14"/>
        </w:numPr>
        <w:rPr>
          <w:rFonts w:asciiTheme="majorHAnsi" w:hAnsiTheme="majorHAnsi" w:cstheme="majorHAnsi"/>
          <w:lang w:val="en-IN"/>
        </w:rPr>
      </w:pPr>
      <m:oMath>
        <m:sSub>
          <m:sSubPr>
            <m:ctrlPr>
              <w:rPr>
                <w:rFonts w:ascii="Cambria Math" w:hAnsi="Cambria Math" w:cstheme="majorHAnsi"/>
                <w:lang w:val="en-IN"/>
              </w:rPr>
            </m:ctrlPr>
          </m:sSubPr>
          <m:e>
            <m:r>
              <m:rPr>
                <m:sty m:val="p"/>
              </m:rPr>
              <w:rPr>
                <w:rFonts w:ascii="Cambria Math" w:hAnsi="Cambria Math" w:cstheme="majorHAnsi"/>
                <w:lang w:val="en-IN"/>
              </w:rPr>
              <m:t>Δ</m:t>
            </m:r>
          </m:e>
          <m:sub>
            <m:r>
              <w:rPr>
                <w:rFonts w:ascii="Cambria Math" w:hAnsi="Cambria Math" w:cstheme="majorHAnsi"/>
                <w:lang w:val="en-IN"/>
              </w:rPr>
              <m:t>k</m:t>
            </m:r>
          </m:sub>
        </m:sSub>
      </m:oMath>
      <w:r w:rsidRPr="002D6F61">
        <w:rPr>
          <w:rFonts w:asciiTheme="majorHAnsi" w:hAnsiTheme="majorHAnsi" w:cstheme="majorHAnsi"/>
          <w:lang w:val="en-IN"/>
        </w:rPr>
        <w:t xml:space="preserve">is the percentage-point difference in reduction rates </w:t>
      </w:r>
    </w:p>
    <w:p w14:paraId="54B18BD7" w14:textId="1B825034" w:rsidR="002D6F61" w:rsidRPr="002D6F61" w:rsidRDefault="002D6F61" w:rsidP="002D6F61">
      <w:pPr>
        <w:numPr>
          <w:ilvl w:val="0"/>
          <w:numId w:val="14"/>
        </w:numPr>
        <w:rPr>
          <w:rFonts w:asciiTheme="majorHAnsi" w:hAnsiTheme="majorHAnsi" w:cstheme="majorHAnsi"/>
          <w:lang w:val="en-IN"/>
        </w:rPr>
      </w:pPr>
      <m:oMath>
        <m:r>
          <w:rPr>
            <w:rFonts w:ascii="Cambria Math" w:hAnsi="Cambria Math" w:cstheme="majorHAnsi"/>
            <w:lang w:val="en-IN"/>
          </w:rPr>
          <m:t>R</m:t>
        </m:r>
        <m:sSub>
          <m:sSubPr>
            <m:ctrlPr>
              <w:rPr>
                <w:rFonts w:ascii="Cambria Math" w:hAnsi="Cambria Math" w:cstheme="majorHAnsi"/>
                <w:lang w:val="en-IN"/>
              </w:rPr>
            </m:ctrlPr>
          </m:sSubPr>
          <m:e>
            <m:r>
              <w:rPr>
                <w:rFonts w:ascii="Cambria Math" w:hAnsi="Cambria Math" w:cstheme="majorHAnsi"/>
                <w:lang w:val="en-IN"/>
              </w:rPr>
              <m:t>R</m:t>
            </m:r>
          </m:e>
          <m:sub>
            <m:r>
              <w:rPr>
                <w:rFonts w:ascii="Cambria Math" w:hAnsi="Cambria Math" w:cstheme="majorHAnsi"/>
                <w:lang w:val="en-IN"/>
              </w:rPr>
              <m:t>k</m:t>
            </m:r>
          </m:sub>
        </m:sSub>
      </m:oMath>
      <w:r w:rsidRPr="002D6F61">
        <w:rPr>
          <w:rFonts w:asciiTheme="majorHAnsi" w:hAnsiTheme="majorHAnsi" w:cstheme="majorHAnsi"/>
          <w:lang w:val="en-IN"/>
        </w:rPr>
        <w:t xml:space="preserve">is the relative risk </w:t>
      </w:r>
    </w:p>
    <w:p w14:paraId="3A4E9C09" w14:textId="4FDF348C" w:rsidR="002D6F61" w:rsidRPr="002D6F61" w:rsidRDefault="002D6F61" w:rsidP="002D6F61">
      <w:pPr>
        <w:numPr>
          <w:ilvl w:val="0"/>
          <w:numId w:val="14"/>
        </w:numPr>
        <w:rPr>
          <w:rFonts w:asciiTheme="majorHAnsi" w:hAnsiTheme="majorHAnsi" w:cstheme="majorHAnsi"/>
          <w:lang w:val="en-IN"/>
        </w:rPr>
      </w:pPr>
      <m:oMath>
        <m:sSub>
          <m:sSubPr>
            <m:ctrlPr>
              <w:rPr>
                <w:rFonts w:ascii="Cambria Math" w:hAnsi="Cambria Math" w:cstheme="majorHAnsi"/>
                <w:lang w:val="en-IN"/>
              </w:rPr>
            </m:ctrlPr>
          </m:sSubPr>
          <m:e>
            <m:r>
              <w:rPr>
                <w:rFonts w:ascii="Cambria Math" w:hAnsi="Cambria Math" w:cstheme="majorHAnsi"/>
                <w:lang w:val="en-IN"/>
              </w:rPr>
              <m:t>O</m:t>
            </m:r>
          </m:e>
          <m:sub>
            <m:r>
              <w:rPr>
                <w:rFonts w:ascii="Cambria Math" w:hAnsi="Cambria Math" w:cstheme="majorHAnsi"/>
                <w:lang w:val="en-IN"/>
              </w:rPr>
              <m:t>ij</m:t>
            </m:r>
          </m:sub>
        </m:sSub>
      </m:oMath>
      <w:r w:rsidRPr="002D6F61">
        <w:rPr>
          <w:rFonts w:asciiTheme="majorHAnsi" w:hAnsiTheme="majorHAnsi" w:cstheme="majorHAnsi"/>
          <w:lang w:val="en-IN"/>
        </w:rPr>
        <w:t xml:space="preserve">and </w:t>
      </w:r>
      <m:oMath>
        <m:sSub>
          <m:sSubPr>
            <m:ctrlPr>
              <w:rPr>
                <w:rFonts w:ascii="Cambria Math" w:hAnsi="Cambria Math" w:cstheme="majorHAnsi"/>
                <w:lang w:val="en-IN"/>
              </w:rPr>
            </m:ctrlPr>
          </m:sSubPr>
          <m:e>
            <m:r>
              <w:rPr>
                <w:rFonts w:ascii="Cambria Math" w:hAnsi="Cambria Math" w:cstheme="majorHAnsi"/>
                <w:lang w:val="en-IN"/>
              </w:rPr>
              <m:t>E</m:t>
            </m:r>
          </m:e>
          <m:sub>
            <m:r>
              <w:rPr>
                <w:rFonts w:ascii="Cambria Math" w:hAnsi="Cambria Math" w:cstheme="majorHAnsi"/>
                <w:lang w:val="en-IN"/>
              </w:rPr>
              <m:t>ij</m:t>
            </m:r>
          </m:sub>
        </m:sSub>
      </m:oMath>
      <w:r w:rsidRPr="002D6F61">
        <w:rPr>
          <w:rFonts w:asciiTheme="majorHAnsi" w:hAnsiTheme="majorHAnsi" w:cstheme="majorHAnsi"/>
          <w:lang w:val="en-IN"/>
        </w:rPr>
        <w:t>are the observed and expected counts</w:t>
      </w:r>
    </w:p>
    <w:p w14:paraId="3A737381" w14:textId="6A8DAC4D" w:rsidR="00C006A0" w:rsidRPr="00514406" w:rsidRDefault="002D6F61" w:rsidP="002D6F61">
      <w:pPr>
        <w:rPr>
          <w:rFonts w:asciiTheme="majorHAnsi" w:hAnsiTheme="majorHAnsi" w:cstheme="majorHAnsi"/>
          <w:lang w:val="en-IN"/>
        </w:rPr>
      </w:pPr>
      <w:r w:rsidRPr="002D6F61">
        <w:rPr>
          <w:rFonts w:asciiTheme="majorHAnsi" w:hAnsiTheme="majorHAnsi" w:cstheme="majorHAnsi"/>
        </w:rPr>
        <w:t>A separate 2 × 2 table will be created for each action type. Pearson chi-square will be used when expected counts are adequate; Fisher’s exact test will be used when expected counts are small. Holm-adjusted p-values will be used across the five comparisons. Action types are nonexclusive, so a record may appear in more than one action-type comparison. The no-action reference group will remain the same in every comparison</w:t>
      </w:r>
      <w:r>
        <w:rPr>
          <w:rFonts w:asciiTheme="majorHAnsi" w:hAnsiTheme="majorHAnsi" w:cstheme="majorHAnsi"/>
        </w:rPr>
        <w:t>.</w:t>
      </w:r>
    </w:p>
    <w:p w14:paraId="7A22FDDE" w14:textId="77777777" w:rsidR="00C006A0" w:rsidRPr="002A617D" w:rsidRDefault="00000000" w:rsidP="002A617D">
      <w:pPr>
        <w:pStyle w:val="Heading2"/>
        <w:ind w:firstLine="0"/>
        <w:rPr>
          <w:rFonts w:cstheme="majorHAnsi"/>
          <w:szCs w:val="22"/>
        </w:rPr>
      </w:pPr>
      <w:r w:rsidRPr="002A617D">
        <w:rPr>
          <w:rFonts w:cstheme="majorHAnsi"/>
          <w:szCs w:val="22"/>
        </w:rPr>
        <w:t>RQ4 Penalized Prediction Model</w:t>
      </w:r>
    </w:p>
    <w:p w14:paraId="2B721DF8" w14:textId="77777777" w:rsidR="00C006A0" w:rsidRPr="002A617D" w:rsidRDefault="00000000" w:rsidP="002A617D">
      <w:pPr>
        <w:ind w:left="720"/>
        <w:rPr>
          <w:rFonts w:asciiTheme="majorHAnsi" w:hAnsiTheme="majorHAnsi" w:cstheme="majorHAnsi"/>
        </w:rPr>
      </w:pPr>
      <w:r w:rsidRPr="002A617D">
        <w:rPr>
          <w:rFonts w:asciiTheme="majorHAnsi" w:hAnsiTheme="majorHAnsi" w:cstheme="majorHAnsi"/>
        </w:rPr>
        <w:t>L(β) = -Σᵢ[yᵢlog(pᵢ) + (1 - yᵢ)log(1 - pᵢ)] + λ[(1 - αᵣ)||β||₂²/2 + αᵣ||β||₁]</w:t>
      </w:r>
    </w:p>
    <w:p w14:paraId="53F4715C" w14:textId="76417DA9" w:rsidR="00C006A0" w:rsidRPr="002A617D" w:rsidRDefault="00FC0C83" w:rsidP="002A617D">
      <w:pPr>
        <w:rPr>
          <w:rFonts w:asciiTheme="majorHAnsi" w:hAnsiTheme="majorHAnsi" w:cstheme="majorHAnsi"/>
        </w:rPr>
      </w:pPr>
      <w:r w:rsidRPr="002A617D">
        <w:rPr>
          <w:rFonts w:asciiTheme="majorHAnsi" w:hAnsiTheme="majorHAnsi" w:cstheme="majorHAnsi"/>
        </w:rPr>
        <w:t xml:space="preserve">λ controls penalty </w:t>
      </w:r>
      <w:r w:rsidR="00313756" w:rsidRPr="002A617D">
        <w:rPr>
          <w:rFonts w:asciiTheme="majorHAnsi" w:hAnsiTheme="majorHAnsi" w:cstheme="majorHAnsi"/>
        </w:rPr>
        <w:t>strength,</w:t>
      </w:r>
      <w:r w:rsidRPr="002A617D">
        <w:rPr>
          <w:rFonts w:asciiTheme="majorHAnsi" w:hAnsiTheme="majorHAnsi" w:cstheme="majorHAnsi"/>
        </w:rPr>
        <w:t xml:space="preserve"> and αᵣ controls the elastic-net mix. All preprocessing and tuning occur within the development period. The 2023 to 2024 transition is used once as the final holdout.</w:t>
      </w:r>
    </w:p>
    <w:p w14:paraId="63ADAE16" w14:textId="77777777" w:rsidR="00C006A0" w:rsidRPr="002A617D" w:rsidRDefault="00C006A0" w:rsidP="002A617D">
      <w:pPr>
        <w:rPr>
          <w:rFonts w:asciiTheme="majorHAnsi" w:hAnsiTheme="majorHAnsi" w:cstheme="majorHAnsi"/>
        </w:rPr>
      </w:pPr>
    </w:p>
    <w:p w14:paraId="18FC6FC4"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C1 defines the prediction metrics used to assess the final holdout model</w:t>
      </w:r>
      <w:r w:rsidR="00485B07" w:rsidRPr="002A617D">
        <w:rPr>
          <w:rFonts w:asciiTheme="majorHAnsi" w:hAnsiTheme="majorHAnsi" w:cstheme="majorHAnsi"/>
        </w:rPr>
        <w:t>, following established guidance on evaluating prediction-model performance and calibration (</w:t>
      </w:r>
      <w:proofErr w:type="spellStart"/>
      <w:r w:rsidR="00485B07" w:rsidRPr="002A617D">
        <w:rPr>
          <w:rFonts w:asciiTheme="majorHAnsi" w:hAnsiTheme="majorHAnsi" w:cstheme="majorHAnsi"/>
        </w:rPr>
        <w:t>Steyerberg</w:t>
      </w:r>
      <w:proofErr w:type="spellEnd"/>
      <w:r w:rsidR="00485B07" w:rsidRPr="002A617D">
        <w:rPr>
          <w:rFonts w:asciiTheme="majorHAnsi" w:hAnsiTheme="majorHAnsi" w:cstheme="majorHAnsi"/>
        </w:rPr>
        <w:t xml:space="preserve"> et al</w:t>
      </w:r>
      <w:r w:rsidRPr="002A617D">
        <w:rPr>
          <w:rFonts w:asciiTheme="majorHAnsi" w:hAnsiTheme="majorHAnsi" w:cstheme="majorHAnsi"/>
        </w:rPr>
        <w:t>.</w:t>
      </w:r>
      <w:r w:rsidR="00485B07" w:rsidRPr="002A617D">
        <w:rPr>
          <w:rFonts w:asciiTheme="majorHAnsi" w:hAnsiTheme="majorHAnsi" w:cstheme="majorHAnsi"/>
        </w:rPr>
        <w:t xml:space="preserve">, 2010; Van </w:t>
      </w:r>
      <w:proofErr w:type="spellStart"/>
      <w:r w:rsidR="00485B07" w:rsidRPr="002A617D">
        <w:rPr>
          <w:rFonts w:asciiTheme="majorHAnsi" w:hAnsiTheme="majorHAnsi" w:cstheme="majorHAnsi"/>
        </w:rPr>
        <w:t>Calster</w:t>
      </w:r>
      <w:proofErr w:type="spellEnd"/>
      <w:r w:rsidR="00485B07" w:rsidRPr="002A617D">
        <w:rPr>
          <w:rFonts w:asciiTheme="majorHAnsi" w:hAnsiTheme="majorHAnsi" w:cstheme="majorHAnsi"/>
        </w:rPr>
        <w:t xml:space="preserve"> et al., 2019).</w:t>
      </w:r>
    </w:p>
    <w:p w14:paraId="275869A7"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lastRenderedPageBreak/>
        <w:t>Table C1</w:t>
      </w:r>
    </w:p>
    <w:p w14:paraId="05D9EF08"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Prediction Metrics and Interpretation</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515"/>
        <w:gridCol w:w="4091"/>
        <w:gridCol w:w="3754"/>
      </w:tblGrid>
      <w:tr w:rsidR="00C006A0" w:rsidRPr="002A617D" w14:paraId="7C4DB921" w14:textId="77777777">
        <w:trPr>
          <w:tblHeader/>
          <w:jc w:val="center"/>
        </w:trPr>
        <w:tc>
          <w:tcPr>
            <w:tcW w:w="1584" w:type="dxa"/>
            <w:tcBorders>
              <w:bottom w:val="single" w:sz="8" w:space="0" w:color="000000"/>
            </w:tcBorders>
            <w:tcMar>
              <w:top w:w="80" w:type="dxa"/>
              <w:left w:w="80" w:type="dxa"/>
              <w:bottom w:w="80" w:type="dxa"/>
              <w:right w:w="80" w:type="dxa"/>
            </w:tcMar>
            <w:vAlign w:val="center"/>
          </w:tcPr>
          <w:p w14:paraId="14B3C4B3"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Metric</w:t>
            </w:r>
          </w:p>
        </w:tc>
        <w:tc>
          <w:tcPr>
            <w:tcW w:w="4608" w:type="dxa"/>
            <w:tcBorders>
              <w:bottom w:val="single" w:sz="8" w:space="0" w:color="000000"/>
            </w:tcBorders>
            <w:tcMar>
              <w:top w:w="80" w:type="dxa"/>
              <w:left w:w="80" w:type="dxa"/>
              <w:bottom w:w="80" w:type="dxa"/>
              <w:right w:w="80" w:type="dxa"/>
            </w:tcMar>
            <w:vAlign w:val="center"/>
          </w:tcPr>
          <w:p w14:paraId="4F8DC2BF"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Formula or definition</w:t>
            </w:r>
          </w:p>
        </w:tc>
        <w:tc>
          <w:tcPr>
            <w:tcW w:w="4176" w:type="dxa"/>
            <w:tcBorders>
              <w:bottom w:val="single" w:sz="8" w:space="0" w:color="000000"/>
            </w:tcBorders>
            <w:tcMar>
              <w:top w:w="80" w:type="dxa"/>
              <w:left w:w="80" w:type="dxa"/>
              <w:bottom w:w="80" w:type="dxa"/>
              <w:right w:w="80" w:type="dxa"/>
            </w:tcMar>
            <w:vAlign w:val="center"/>
          </w:tcPr>
          <w:p w14:paraId="0C74EA50"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Interpretation</w:t>
            </w:r>
          </w:p>
        </w:tc>
      </w:tr>
      <w:tr w:rsidR="00C006A0" w:rsidRPr="002A617D" w14:paraId="08AF739E" w14:textId="77777777">
        <w:trPr>
          <w:jc w:val="center"/>
        </w:trPr>
        <w:tc>
          <w:tcPr>
            <w:tcW w:w="1584" w:type="dxa"/>
            <w:tcMar>
              <w:top w:w="80" w:type="dxa"/>
              <w:left w:w="80" w:type="dxa"/>
              <w:bottom w:w="80" w:type="dxa"/>
              <w:right w:w="80" w:type="dxa"/>
            </w:tcMar>
            <w:vAlign w:val="center"/>
          </w:tcPr>
          <w:p w14:paraId="4CC41E6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Precision</w:t>
            </w:r>
          </w:p>
        </w:tc>
        <w:tc>
          <w:tcPr>
            <w:tcW w:w="4608" w:type="dxa"/>
            <w:tcMar>
              <w:top w:w="80" w:type="dxa"/>
              <w:left w:w="80" w:type="dxa"/>
              <w:bottom w:w="80" w:type="dxa"/>
              <w:right w:w="80" w:type="dxa"/>
            </w:tcMar>
            <w:vAlign w:val="center"/>
          </w:tcPr>
          <w:p w14:paraId="1AD003C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TP / (TP + FP)</w:t>
            </w:r>
          </w:p>
        </w:tc>
        <w:tc>
          <w:tcPr>
            <w:tcW w:w="4176" w:type="dxa"/>
            <w:tcMar>
              <w:top w:w="80" w:type="dxa"/>
              <w:left w:w="80" w:type="dxa"/>
              <w:bottom w:w="80" w:type="dxa"/>
              <w:right w:w="80" w:type="dxa"/>
            </w:tcMar>
            <w:vAlign w:val="center"/>
          </w:tcPr>
          <w:p w14:paraId="392CD9E2" w14:textId="1BD16575"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Among records flagged as positive, the </w:t>
            </w:r>
            <w:r w:rsidR="00313756" w:rsidRPr="002A617D">
              <w:rPr>
                <w:rFonts w:asciiTheme="majorHAnsi" w:hAnsiTheme="majorHAnsi" w:cstheme="majorHAnsi"/>
              </w:rPr>
              <w:t>proportion was</w:t>
            </w:r>
            <w:r w:rsidRPr="002A617D">
              <w:rPr>
                <w:rFonts w:asciiTheme="majorHAnsi" w:hAnsiTheme="majorHAnsi" w:cstheme="majorHAnsi"/>
              </w:rPr>
              <w:t xml:space="preserve"> correctly flagged.</w:t>
            </w:r>
          </w:p>
        </w:tc>
      </w:tr>
      <w:tr w:rsidR="00C006A0" w:rsidRPr="002A617D" w14:paraId="479EFBBB" w14:textId="77777777">
        <w:trPr>
          <w:jc w:val="center"/>
        </w:trPr>
        <w:tc>
          <w:tcPr>
            <w:tcW w:w="1584" w:type="dxa"/>
            <w:tcMar>
              <w:top w:w="80" w:type="dxa"/>
              <w:left w:w="80" w:type="dxa"/>
              <w:bottom w:w="80" w:type="dxa"/>
              <w:right w:w="80" w:type="dxa"/>
            </w:tcMar>
            <w:vAlign w:val="center"/>
          </w:tcPr>
          <w:p w14:paraId="4DF336E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Recall</w:t>
            </w:r>
          </w:p>
        </w:tc>
        <w:tc>
          <w:tcPr>
            <w:tcW w:w="4608" w:type="dxa"/>
            <w:tcMar>
              <w:top w:w="80" w:type="dxa"/>
              <w:left w:w="80" w:type="dxa"/>
              <w:bottom w:w="80" w:type="dxa"/>
              <w:right w:w="80" w:type="dxa"/>
            </w:tcMar>
            <w:vAlign w:val="center"/>
          </w:tcPr>
          <w:p w14:paraId="068F540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TP / (TP + FN)</w:t>
            </w:r>
          </w:p>
        </w:tc>
        <w:tc>
          <w:tcPr>
            <w:tcW w:w="4176" w:type="dxa"/>
            <w:tcMar>
              <w:top w:w="80" w:type="dxa"/>
              <w:left w:w="80" w:type="dxa"/>
              <w:bottom w:w="80" w:type="dxa"/>
              <w:right w:w="80" w:type="dxa"/>
            </w:tcMar>
            <w:vAlign w:val="center"/>
          </w:tcPr>
          <w:p w14:paraId="43985FC6" w14:textId="3B289385"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 xml:space="preserve">Among all actual positive records, the </w:t>
            </w:r>
            <w:r w:rsidR="00313756" w:rsidRPr="002A617D">
              <w:rPr>
                <w:rFonts w:asciiTheme="majorHAnsi" w:hAnsiTheme="majorHAnsi" w:cstheme="majorHAnsi"/>
              </w:rPr>
              <w:t>proportion is</w:t>
            </w:r>
            <w:r w:rsidRPr="002A617D">
              <w:rPr>
                <w:rFonts w:asciiTheme="majorHAnsi" w:hAnsiTheme="majorHAnsi" w:cstheme="majorHAnsi"/>
              </w:rPr>
              <w:t xml:space="preserve"> detected.</w:t>
            </w:r>
          </w:p>
        </w:tc>
      </w:tr>
      <w:tr w:rsidR="00C006A0" w:rsidRPr="002A617D" w14:paraId="077F587A" w14:textId="77777777">
        <w:trPr>
          <w:jc w:val="center"/>
        </w:trPr>
        <w:tc>
          <w:tcPr>
            <w:tcW w:w="1584" w:type="dxa"/>
            <w:tcMar>
              <w:top w:w="80" w:type="dxa"/>
              <w:left w:w="80" w:type="dxa"/>
              <w:bottom w:w="80" w:type="dxa"/>
              <w:right w:w="80" w:type="dxa"/>
            </w:tcMar>
            <w:vAlign w:val="center"/>
          </w:tcPr>
          <w:p w14:paraId="392C15B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F1</w:t>
            </w:r>
          </w:p>
        </w:tc>
        <w:tc>
          <w:tcPr>
            <w:tcW w:w="4608" w:type="dxa"/>
            <w:tcMar>
              <w:top w:w="80" w:type="dxa"/>
              <w:left w:w="80" w:type="dxa"/>
              <w:bottom w:w="80" w:type="dxa"/>
              <w:right w:w="80" w:type="dxa"/>
            </w:tcMar>
            <w:vAlign w:val="center"/>
          </w:tcPr>
          <w:p w14:paraId="6B4AE79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2</w:t>
            </w:r>
            <w:r w:rsidR="00FC0C83" w:rsidRPr="002A617D">
              <w:rPr>
                <w:rFonts w:asciiTheme="majorHAnsi" w:hAnsiTheme="majorHAnsi" w:cstheme="majorHAnsi"/>
              </w:rPr>
              <w:t xml:space="preserve"> × </w:t>
            </w:r>
            <w:r w:rsidRPr="002A617D">
              <w:rPr>
                <w:rFonts w:asciiTheme="majorHAnsi" w:hAnsiTheme="majorHAnsi" w:cstheme="majorHAnsi"/>
              </w:rPr>
              <w:t>Precision</w:t>
            </w:r>
            <w:r w:rsidR="00FC0C83" w:rsidRPr="002A617D">
              <w:rPr>
                <w:rFonts w:asciiTheme="majorHAnsi" w:hAnsiTheme="majorHAnsi" w:cstheme="majorHAnsi"/>
              </w:rPr>
              <w:t xml:space="preserve"> × </w:t>
            </w:r>
            <w:r w:rsidRPr="002A617D">
              <w:rPr>
                <w:rFonts w:asciiTheme="majorHAnsi" w:hAnsiTheme="majorHAnsi" w:cstheme="majorHAnsi"/>
              </w:rPr>
              <w:t>Recall / (Precision + Recall)</w:t>
            </w:r>
          </w:p>
        </w:tc>
        <w:tc>
          <w:tcPr>
            <w:tcW w:w="4176" w:type="dxa"/>
            <w:tcMar>
              <w:top w:w="80" w:type="dxa"/>
              <w:left w:w="80" w:type="dxa"/>
              <w:bottom w:w="80" w:type="dxa"/>
              <w:right w:w="80" w:type="dxa"/>
            </w:tcMar>
            <w:vAlign w:val="center"/>
          </w:tcPr>
          <w:p w14:paraId="33A2CC2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Balances precision and recall for the stated positive class.</w:t>
            </w:r>
          </w:p>
        </w:tc>
      </w:tr>
      <w:tr w:rsidR="00C006A0" w:rsidRPr="002A617D" w14:paraId="0E0FFE3D" w14:textId="77777777">
        <w:trPr>
          <w:jc w:val="center"/>
        </w:trPr>
        <w:tc>
          <w:tcPr>
            <w:tcW w:w="1584" w:type="dxa"/>
            <w:tcMar>
              <w:top w:w="80" w:type="dxa"/>
              <w:left w:w="80" w:type="dxa"/>
              <w:bottom w:w="80" w:type="dxa"/>
              <w:right w:w="80" w:type="dxa"/>
            </w:tcMar>
            <w:vAlign w:val="center"/>
          </w:tcPr>
          <w:p w14:paraId="3B72056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Brier score</w:t>
            </w:r>
          </w:p>
        </w:tc>
        <w:tc>
          <w:tcPr>
            <w:tcW w:w="4608" w:type="dxa"/>
            <w:tcMar>
              <w:top w:w="80" w:type="dxa"/>
              <w:left w:w="80" w:type="dxa"/>
              <w:bottom w:w="80" w:type="dxa"/>
              <w:right w:w="80" w:type="dxa"/>
            </w:tcMar>
            <w:vAlign w:val="center"/>
          </w:tcPr>
          <w:p w14:paraId="20462C64" w14:textId="77777777" w:rsidR="00C006A0" w:rsidRPr="002A617D" w:rsidRDefault="00FC0C83" w:rsidP="002A617D">
            <w:pPr>
              <w:ind w:firstLine="0"/>
              <w:rPr>
                <w:rFonts w:asciiTheme="majorHAnsi" w:hAnsiTheme="majorHAnsi" w:cstheme="majorHAnsi"/>
              </w:rPr>
            </w:pPr>
            <w:r w:rsidRPr="002A617D">
              <w:rPr>
                <w:rFonts w:asciiTheme="majorHAnsi" w:hAnsiTheme="majorHAnsi" w:cstheme="majorHAnsi"/>
              </w:rPr>
              <w:t>(1/n) Σ(pᵢ - yᵢ)²</w:t>
            </w:r>
          </w:p>
        </w:tc>
        <w:tc>
          <w:tcPr>
            <w:tcW w:w="4176" w:type="dxa"/>
            <w:tcMar>
              <w:top w:w="80" w:type="dxa"/>
              <w:left w:w="80" w:type="dxa"/>
              <w:bottom w:w="80" w:type="dxa"/>
              <w:right w:w="80" w:type="dxa"/>
            </w:tcMar>
            <w:vAlign w:val="center"/>
          </w:tcPr>
          <w:p w14:paraId="3F21C85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Mean squared probability error; lower is better.</w:t>
            </w:r>
          </w:p>
        </w:tc>
      </w:tr>
      <w:tr w:rsidR="00C006A0" w:rsidRPr="002A617D" w14:paraId="5DE8DE11" w14:textId="77777777">
        <w:trPr>
          <w:jc w:val="center"/>
        </w:trPr>
        <w:tc>
          <w:tcPr>
            <w:tcW w:w="1584" w:type="dxa"/>
            <w:tcMar>
              <w:top w:w="80" w:type="dxa"/>
              <w:left w:w="80" w:type="dxa"/>
              <w:bottom w:w="80" w:type="dxa"/>
              <w:right w:w="80" w:type="dxa"/>
            </w:tcMar>
            <w:vAlign w:val="center"/>
          </w:tcPr>
          <w:p w14:paraId="16991FF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ROC-AUC</w:t>
            </w:r>
          </w:p>
        </w:tc>
        <w:tc>
          <w:tcPr>
            <w:tcW w:w="4608" w:type="dxa"/>
            <w:tcMar>
              <w:top w:w="80" w:type="dxa"/>
              <w:left w:w="80" w:type="dxa"/>
              <w:bottom w:w="80" w:type="dxa"/>
              <w:right w:w="80" w:type="dxa"/>
            </w:tcMar>
            <w:vAlign w:val="center"/>
          </w:tcPr>
          <w:p w14:paraId="0B6BE3E2"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Probability that a randomly selected positive record receives a higher score than a randomly selected negative record.</w:t>
            </w:r>
          </w:p>
        </w:tc>
        <w:tc>
          <w:tcPr>
            <w:tcW w:w="4176" w:type="dxa"/>
            <w:tcMar>
              <w:top w:w="80" w:type="dxa"/>
              <w:left w:w="80" w:type="dxa"/>
              <w:bottom w:w="80" w:type="dxa"/>
              <w:right w:w="80" w:type="dxa"/>
            </w:tcMar>
            <w:vAlign w:val="center"/>
          </w:tcPr>
          <w:p w14:paraId="4511FB7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Ranking performance across thresholds; .50 represents chance ranking.</w:t>
            </w:r>
          </w:p>
        </w:tc>
      </w:tr>
      <w:tr w:rsidR="00C006A0" w:rsidRPr="002A617D" w14:paraId="780AD964" w14:textId="77777777">
        <w:trPr>
          <w:jc w:val="center"/>
        </w:trPr>
        <w:tc>
          <w:tcPr>
            <w:tcW w:w="1584" w:type="dxa"/>
            <w:tcMar>
              <w:top w:w="80" w:type="dxa"/>
              <w:left w:w="80" w:type="dxa"/>
              <w:bottom w:w="80" w:type="dxa"/>
              <w:right w:w="80" w:type="dxa"/>
            </w:tcMar>
            <w:vAlign w:val="center"/>
          </w:tcPr>
          <w:p w14:paraId="499C2A36"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Calibration</w:t>
            </w:r>
          </w:p>
        </w:tc>
        <w:tc>
          <w:tcPr>
            <w:tcW w:w="4608" w:type="dxa"/>
            <w:tcMar>
              <w:top w:w="80" w:type="dxa"/>
              <w:left w:w="80" w:type="dxa"/>
              <w:bottom w:w="80" w:type="dxa"/>
              <w:right w:w="80" w:type="dxa"/>
            </w:tcMar>
            <w:vAlign w:val="center"/>
          </w:tcPr>
          <w:p w14:paraId="070C330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Agreement between predicted probabilities and observed event rates.</w:t>
            </w:r>
          </w:p>
        </w:tc>
        <w:tc>
          <w:tcPr>
            <w:tcW w:w="4176" w:type="dxa"/>
            <w:tcMar>
              <w:top w:w="80" w:type="dxa"/>
              <w:left w:w="80" w:type="dxa"/>
              <w:bottom w:w="80" w:type="dxa"/>
              <w:right w:w="80" w:type="dxa"/>
            </w:tcMar>
            <w:vAlign w:val="center"/>
          </w:tcPr>
          <w:p w14:paraId="7A0DA1F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Assessed with a calibration plot and calibration summaries.</w:t>
            </w:r>
          </w:p>
        </w:tc>
      </w:tr>
    </w:tbl>
    <w:p w14:paraId="5342C3BE"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For operational reporting, nonreduction may be coded as the positive class. The class definition will be stated before metrics are calculated and will not change across analyses.</w:t>
      </w:r>
    </w:p>
    <w:p w14:paraId="435C37F3" w14:textId="77777777" w:rsidR="00C006A0" w:rsidRPr="002A617D" w:rsidRDefault="00C006A0" w:rsidP="002A617D">
      <w:pPr>
        <w:rPr>
          <w:rFonts w:asciiTheme="majorHAnsi" w:hAnsiTheme="majorHAnsi" w:cstheme="majorHAnsi"/>
        </w:rPr>
      </w:pPr>
    </w:p>
    <w:p w14:paraId="43DB3CA5" w14:textId="77777777" w:rsidR="00C006A0" w:rsidRPr="002A617D" w:rsidRDefault="00000000" w:rsidP="002A617D">
      <w:pPr>
        <w:rPr>
          <w:rFonts w:asciiTheme="majorHAnsi" w:hAnsiTheme="majorHAnsi" w:cstheme="majorHAnsi"/>
        </w:rPr>
      </w:pPr>
      <w:r w:rsidRPr="002A617D">
        <w:rPr>
          <w:rFonts w:asciiTheme="majorHAnsi" w:hAnsiTheme="majorHAnsi" w:cstheme="majorHAnsi"/>
        </w:rPr>
        <w:t>Table C2 presents the prespecified diagnostic checks and the planned response when each issue is identified.</w:t>
      </w:r>
    </w:p>
    <w:p w14:paraId="4CB257D6"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b/>
        </w:rPr>
        <w:lastRenderedPageBreak/>
        <w:t>Table C2</w:t>
      </w:r>
    </w:p>
    <w:p w14:paraId="70E09B09" w14:textId="77777777" w:rsidR="00C006A0" w:rsidRPr="002A617D" w:rsidRDefault="00000000" w:rsidP="002A617D">
      <w:pPr>
        <w:keepNext/>
        <w:ind w:firstLine="0"/>
        <w:rPr>
          <w:rFonts w:asciiTheme="majorHAnsi" w:hAnsiTheme="majorHAnsi" w:cstheme="majorHAnsi"/>
        </w:rPr>
      </w:pPr>
      <w:r w:rsidRPr="002A617D">
        <w:rPr>
          <w:rFonts w:asciiTheme="majorHAnsi" w:hAnsiTheme="majorHAnsi" w:cstheme="majorHAnsi"/>
          <w:i/>
        </w:rPr>
        <w:t>Prespecified Diagnostic Checks</w:t>
      </w:r>
    </w:p>
    <w:tbl>
      <w:tblPr>
        <w:tblStyle w:val="TableGrid"/>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066"/>
        <w:gridCol w:w="3106"/>
        <w:gridCol w:w="4188"/>
      </w:tblGrid>
      <w:tr w:rsidR="00C006A0" w:rsidRPr="002A617D" w14:paraId="32B716D7" w14:textId="77777777" w:rsidTr="002D6F61">
        <w:trPr>
          <w:tblHeader/>
          <w:jc w:val="center"/>
        </w:trPr>
        <w:tc>
          <w:tcPr>
            <w:tcW w:w="2066" w:type="dxa"/>
            <w:tcBorders>
              <w:bottom w:val="single" w:sz="8" w:space="0" w:color="000000"/>
            </w:tcBorders>
            <w:tcMar>
              <w:top w:w="80" w:type="dxa"/>
              <w:left w:w="80" w:type="dxa"/>
              <w:bottom w:w="80" w:type="dxa"/>
              <w:right w:w="80" w:type="dxa"/>
            </w:tcMar>
            <w:vAlign w:val="center"/>
          </w:tcPr>
          <w:p w14:paraId="73A8907E"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Risk or diagnostic</w:t>
            </w:r>
          </w:p>
        </w:tc>
        <w:tc>
          <w:tcPr>
            <w:tcW w:w="3106" w:type="dxa"/>
            <w:tcBorders>
              <w:bottom w:val="single" w:sz="8" w:space="0" w:color="000000"/>
            </w:tcBorders>
            <w:tcMar>
              <w:top w:w="80" w:type="dxa"/>
              <w:left w:w="80" w:type="dxa"/>
              <w:bottom w:w="80" w:type="dxa"/>
              <w:right w:w="80" w:type="dxa"/>
            </w:tcMar>
            <w:vAlign w:val="center"/>
          </w:tcPr>
          <w:p w14:paraId="24BC2517"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Check</w:t>
            </w:r>
          </w:p>
        </w:tc>
        <w:tc>
          <w:tcPr>
            <w:tcW w:w="4188" w:type="dxa"/>
            <w:tcBorders>
              <w:bottom w:val="single" w:sz="8" w:space="0" w:color="000000"/>
            </w:tcBorders>
            <w:tcMar>
              <w:top w:w="80" w:type="dxa"/>
              <w:left w:w="80" w:type="dxa"/>
              <w:bottom w:w="80" w:type="dxa"/>
              <w:right w:w="80" w:type="dxa"/>
            </w:tcMar>
            <w:vAlign w:val="center"/>
          </w:tcPr>
          <w:p w14:paraId="60E7ABCF" w14:textId="77777777" w:rsidR="00C006A0" w:rsidRPr="002A617D" w:rsidRDefault="00000000" w:rsidP="002A617D">
            <w:pPr>
              <w:ind w:firstLine="0"/>
              <w:jc w:val="center"/>
              <w:rPr>
                <w:rFonts w:asciiTheme="majorHAnsi" w:hAnsiTheme="majorHAnsi" w:cstheme="majorHAnsi"/>
              </w:rPr>
            </w:pPr>
            <w:r w:rsidRPr="002A617D">
              <w:rPr>
                <w:rFonts w:asciiTheme="majorHAnsi" w:hAnsiTheme="majorHAnsi" w:cstheme="majorHAnsi"/>
                <w:b/>
              </w:rPr>
              <w:t>Planned response</w:t>
            </w:r>
          </w:p>
        </w:tc>
      </w:tr>
      <w:tr w:rsidR="00C006A0" w:rsidRPr="002A617D" w14:paraId="702631FF" w14:textId="77777777" w:rsidTr="002D6F61">
        <w:trPr>
          <w:jc w:val="center"/>
        </w:trPr>
        <w:tc>
          <w:tcPr>
            <w:tcW w:w="2066" w:type="dxa"/>
            <w:tcMar>
              <w:top w:w="80" w:type="dxa"/>
              <w:left w:w="80" w:type="dxa"/>
              <w:bottom w:w="80" w:type="dxa"/>
              <w:right w:w="80" w:type="dxa"/>
            </w:tcMar>
            <w:vAlign w:val="center"/>
          </w:tcPr>
          <w:p w14:paraId="34F40C8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Missing data</w:t>
            </w:r>
          </w:p>
        </w:tc>
        <w:tc>
          <w:tcPr>
            <w:tcW w:w="3106" w:type="dxa"/>
            <w:tcMar>
              <w:top w:w="80" w:type="dxa"/>
              <w:left w:w="80" w:type="dxa"/>
              <w:bottom w:w="80" w:type="dxa"/>
              <w:right w:w="80" w:type="dxa"/>
            </w:tcMar>
            <w:vAlign w:val="center"/>
          </w:tcPr>
          <w:p w14:paraId="11904E8A"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Report missingness by variable and year.</w:t>
            </w:r>
          </w:p>
        </w:tc>
        <w:tc>
          <w:tcPr>
            <w:tcW w:w="4188" w:type="dxa"/>
            <w:tcMar>
              <w:top w:w="80" w:type="dxa"/>
              <w:left w:w="80" w:type="dxa"/>
              <w:bottom w:w="80" w:type="dxa"/>
              <w:right w:w="80" w:type="dxa"/>
            </w:tcMar>
            <w:vAlign w:val="center"/>
          </w:tcPr>
          <w:p w14:paraId="6821B4E9"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Use complete cases when missingness is small; otherwise use a simple development-only imputation or missing category and disclose it.</w:t>
            </w:r>
          </w:p>
        </w:tc>
      </w:tr>
      <w:tr w:rsidR="00C006A0" w:rsidRPr="002A617D" w14:paraId="2F5681B0" w14:textId="77777777" w:rsidTr="002D6F61">
        <w:trPr>
          <w:jc w:val="center"/>
        </w:trPr>
        <w:tc>
          <w:tcPr>
            <w:tcW w:w="2066" w:type="dxa"/>
            <w:tcMar>
              <w:top w:w="80" w:type="dxa"/>
              <w:left w:w="80" w:type="dxa"/>
              <w:bottom w:w="80" w:type="dxa"/>
              <w:right w:w="80" w:type="dxa"/>
            </w:tcMar>
            <w:vAlign w:val="center"/>
          </w:tcPr>
          <w:p w14:paraId="0458FE4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Unit conflict</w:t>
            </w:r>
          </w:p>
        </w:tc>
        <w:tc>
          <w:tcPr>
            <w:tcW w:w="3106" w:type="dxa"/>
            <w:tcMar>
              <w:top w:w="80" w:type="dxa"/>
              <w:left w:w="80" w:type="dxa"/>
              <w:bottom w:w="80" w:type="dxa"/>
              <w:right w:w="80" w:type="dxa"/>
            </w:tcMar>
            <w:vAlign w:val="center"/>
          </w:tcPr>
          <w:p w14:paraId="65206A6C"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Compare UNIT OF MEASURE across each matched pair.</w:t>
            </w:r>
          </w:p>
        </w:tc>
        <w:tc>
          <w:tcPr>
            <w:tcW w:w="4188" w:type="dxa"/>
            <w:tcMar>
              <w:top w:w="80" w:type="dxa"/>
              <w:left w:w="80" w:type="dxa"/>
              <w:bottom w:w="80" w:type="dxa"/>
              <w:right w:w="80" w:type="dxa"/>
            </w:tcMar>
            <w:vAlign w:val="center"/>
          </w:tcPr>
          <w:p w14:paraId="279F8FA5"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Exclude inconsistent pairs from percentage-change calculations; report excluded counts.</w:t>
            </w:r>
          </w:p>
        </w:tc>
      </w:tr>
      <w:tr w:rsidR="00C006A0" w:rsidRPr="002A617D" w14:paraId="50799AE3" w14:textId="77777777" w:rsidTr="002D6F61">
        <w:trPr>
          <w:jc w:val="center"/>
        </w:trPr>
        <w:tc>
          <w:tcPr>
            <w:tcW w:w="2066" w:type="dxa"/>
            <w:tcMar>
              <w:top w:w="80" w:type="dxa"/>
              <w:left w:w="80" w:type="dxa"/>
              <w:bottom w:w="80" w:type="dxa"/>
              <w:right w:w="80" w:type="dxa"/>
            </w:tcMar>
            <w:vAlign w:val="center"/>
          </w:tcPr>
          <w:p w14:paraId="24BA0120" w14:textId="32974A89" w:rsidR="00C006A0" w:rsidRPr="002A617D" w:rsidRDefault="002D6F61" w:rsidP="002A617D">
            <w:pPr>
              <w:ind w:firstLine="0"/>
              <w:rPr>
                <w:rFonts w:asciiTheme="majorHAnsi" w:hAnsiTheme="majorHAnsi" w:cstheme="majorHAnsi"/>
              </w:rPr>
            </w:pPr>
            <w:r w:rsidRPr="002D6F61">
              <w:rPr>
                <w:rFonts w:asciiTheme="majorHAnsi" w:hAnsiTheme="majorHAnsi" w:cstheme="majorHAnsi"/>
              </w:rPr>
              <w:t>Sparse action type</w:t>
            </w:r>
          </w:p>
        </w:tc>
        <w:tc>
          <w:tcPr>
            <w:tcW w:w="3106" w:type="dxa"/>
            <w:tcMar>
              <w:top w:w="80" w:type="dxa"/>
              <w:left w:w="80" w:type="dxa"/>
              <w:bottom w:w="80" w:type="dxa"/>
              <w:right w:w="80" w:type="dxa"/>
            </w:tcMar>
            <w:vAlign w:val="center"/>
          </w:tcPr>
          <w:p w14:paraId="0EC9E758" w14:textId="7F85AF3A" w:rsidR="00C006A0" w:rsidRPr="002A617D" w:rsidRDefault="002D6F61" w:rsidP="002A617D">
            <w:pPr>
              <w:ind w:firstLine="0"/>
              <w:rPr>
                <w:rFonts w:asciiTheme="majorHAnsi" w:hAnsiTheme="majorHAnsi" w:cstheme="majorHAnsi"/>
              </w:rPr>
            </w:pPr>
            <w:r w:rsidRPr="002D6F61">
              <w:rPr>
                <w:rFonts w:asciiTheme="majorHAnsi" w:hAnsiTheme="majorHAnsi" w:cstheme="majorHAnsi"/>
              </w:rPr>
              <w:t>Review action-type counts, outcome counts, and expected cell frequencies</w:t>
            </w:r>
            <w:r w:rsidR="00000000" w:rsidRPr="002A617D">
              <w:rPr>
                <w:rFonts w:asciiTheme="majorHAnsi" w:hAnsiTheme="majorHAnsi" w:cstheme="majorHAnsi"/>
              </w:rPr>
              <w:t>.</w:t>
            </w:r>
          </w:p>
        </w:tc>
        <w:tc>
          <w:tcPr>
            <w:tcW w:w="4188" w:type="dxa"/>
            <w:tcMar>
              <w:top w:w="80" w:type="dxa"/>
              <w:left w:w="80" w:type="dxa"/>
              <w:bottom w:w="80" w:type="dxa"/>
              <w:right w:w="80" w:type="dxa"/>
            </w:tcMar>
            <w:vAlign w:val="center"/>
          </w:tcPr>
          <w:p w14:paraId="72BCCFB7" w14:textId="186353B3" w:rsidR="00C006A0" w:rsidRPr="002A617D" w:rsidRDefault="002D6F61" w:rsidP="002A617D">
            <w:pPr>
              <w:ind w:firstLine="0"/>
              <w:rPr>
                <w:rFonts w:asciiTheme="majorHAnsi" w:hAnsiTheme="majorHAnsi" w:cstheme="majorHAnsi"/>
              </w:rPr>
            </w:pPr>
            <w:r w:rsidRPr="002D6F61">
              <w:rPr>
                <w:rFonts w:asciiTheme="majorHAnsi" w:hAnsiTheme="majorHAnsi" w:cstheme="majorHAnsi"/>
              </w:rPr>
              <w:t>Use Fisher’s exact test when needed; report confidence intervals; label underpowered comparisons exploratory</w:t>
            </w:r>
            <w:r w:rsidR="00000000" w:rsidRPr="002A617D">
              <w:rPr>
                <w:rFonts w:asciiTheme="majorHAnsi" w:hAnsiTheme="majorHAnsi" w:cstheme="majorHAnsi"/>
              </w:rPr>
              <w:t>.</w:t>
            </w:r>
          </w:p>
        </w:tc>
      </w:tr>
      <w:tr w:rsidR="00C006A0" w:rsidRPr="002A617D" w14:paraId="53558E28" w14:textId="77777777" w:rsidTr="002D6F61">
        <w:trPr>
          <w:jc w:val="center"/>
        </w:trPr>
        <w:tc>
          <w:tcPr>
            <w:tcW w:w="2066" w:type="dxa"/>
            <w:tcMar>
              <w:top w:w="80" w:type="dxa"/>
              <w:left w:w="80" w:type="dxa"/>
              <w:bottom w:w="80" w:type="dxa"/>
              <w:right w:w="80" w:type="dxa"/>
            </w:tcMar>
            <w:vAlign w:val="center"/>
          </w:tcPr>
          <w:p w14:paraId="6437D699" w14:textId="2E52B5DE" w:rsidR="00C006A0" w:rsidRPr="002A617D" w:rsidRDefault="002D6F61" w:rsidP="002A617D">
            <w:pPr>
              <w:ind w:firstLine="0"/>
              <w:rPr>
                <w:rFonts w:asciiTheme="majorHAnsi" w:hAnsiTheme="majorHAnsi" w:cstheme="majorHAnsi"/>
              </w:rPr>
            </w:pPr>
            <w:r w:rsidRPr="002D6F61">
              <w:rPr>
                <w:rFonts w:asciiTheme="majorHAnsi" w:hAnsiTheme="majorHAnsi" w:cstheme="majorHAnsi"/>
              </w:rPr>
              <w:t>Logistic-model multicollinearity</w:t>
            </w:r>
          </w:p>
        </w:tc>
        <w:tc>
          <w:tcPr>
            <w:tcW w:w="3106" w:type="dxa"/>
            <w:tcMar>
              <w:top w:w="80" w:type="dxa"/>
              <w:left w:w="80" w:type="dxa"/>
              <w:bottom w:w="80" w:type="dxa"/>
              <w:right w:w="80" w:type="dxa"/>
            </w:tcMar>
            <w:vAlign w:val="center"/>
          </w:tcPr>
          <w:p w14:paraId="4D308725" w14:textId="011BE8CF" w:rsidR="00C006A0" w:rsidRPr="002A617D" w:rsidRDefault="002D6F61" w:rsidP="002A617D">
            <w:pPr>
              <w:ind w:firstLine="0"/>
              <w:rPr>
                <w:rFonts w:asciiTheme="majorHAnsi" w:hAnsiTheme="majorHAnsi" w:cstheme="majorHAnsi"/>
              </w:rPr>
            </w:pPr>
            <w:r w:rsidRPr="002D6F61">
              <w:rPr>
                <w:rFonts w:asciiTheme="majorHAnsi" w:hAnsiTheme="majorHAnsi" w:cstheme="majorHAnsi"/>
              </w:rPr>
              <w:t>Inspect correlation and variance-inflation diagnostics for RQ2 and RQ4 predictors</w:t>
            </w:r>
            <w:r w:rsidR="00000000" w:rsidRPr="002A617D">
              <w:rPr>
                <w:rFonts w:asciiTheme="majorHAnsi" w:hAnsiTheme="majorHAnsi" w:cstheme="majorHAnsi"/>
              </w:rPr>
              <w:t>.</w:t>
            </w:r>
          </w:p>
        </w:tc>
        <w:tc>
          <w:tcPr>
            <w:tcW w:w="4188" w:type="dxa"/>
            <w:tcMar>
              <w:top w:w="80" w:type="dxa"/>
              <w:left w:w="80" w:type="dxa"/>
              <w:bottom w:w="80" w:type="dxa"/>
              <w:right w:w="80" w:type="dxa"/>
            </w:tcMar>
            <w:vAlign w:val="center"/>
          </w:tcPr>
          <w:p w14:paraId="59BD6EEE" w14:textId="33255F68" w:rsidR="00C006A0" w:rsidRPr="002A617D" w:rsidRDefault="002D6F61" w:rsidP="002A617D">
            <w:pPr>
              <w:ind w:firstLine="0"/>
              <w:rPr>
                <w:rFonts w:asciiTheme="majorHAnsi" w:hAnsiTheme="majorHAnsi" w:cstheme="majorHAnsi"/>
              </w:rPr>
            </w:pPr>
            <w:r w:rsidRPr="002D6F61">
              <w:rPr>
                <w:rFonts w:asciiTheme="majorHAnsi" w:hAnsiTheme="majorHAnsi" w:cstheme="majorHAnsi"/>
              </w:rPr>
              <w:t>Remove or regroup redundant model predictors</w:t>
            </w:r>
            <w:r w:rsidR="00000000" w:rsidRPr="002A617D">
              <w:rPr>
                <w:rFonts w:asciiTheme="majorHAnsi" w:hAnsiTheme="majorHAnsi" w:cstheme="majorHAnsi"/>
              </w:rPr>
              <w:t>.</w:t>
            </w:r>
          </w:p>
        </w:tc>
      </w:tr>
      <w:tr w:rsidR="002D6F61" w:rsidRPr="002A617D" w14:paraId="3D903308" w14:textId="77777777" w:rsidTr="002D6F61">
        <w:trPr>
          <w:jc w:val="center"/>
        </w:trPr>
        <w:tc>
          <w:tcPr>
            <w:tcW w:w="2066" w:type="dxa"/>
            <w:tcMar>
              <w:top w:w="80" w:type="dxa"/>
              <w:left w:w="80" w:type="dxa"/>
              <w:bottom w:w="80" w:type="dxa"/>
              <w:right w:w="80" w:type="dxa"/>
            </w:tcMar>
            <w:vAlign w:val="center"/>
          </w:tcPr>
          <w:p w14:paraId="292431D4" w14:textId="1E494E40" w:rsidR="002D6F61" w:rsidRPr="002D6F61" w:rsidRDefault="002D6F61" w:rsidP="002A617D">
            <w:pPr>
              <w:ind w:firstLine="0"/>
              <w:rPr>
                <w:rFonts w:asciiTheme="majorHAnsi" w:hAnsiTheme="majorHAnsi" w:cstheme="majorHAnsi"/>
              </w:rPr>
            </w:pPr>
            <w:r w:rsidRPr="002D6F61">
              <w:rPr>
                <w:rFonts w:asciiTheme="majorHAnsi" w:hAnsiTheme="majorHAnsi" w:cstheme="majorHAnsi"/>
              </w:rPr>
              <w:t>Multiple comparisons in RQ3</w:t>
            </w:r>
          </w:p>
        </w:tc>
        <w:tc>
          <w:tcPr>
            <w:tcW w:w="3106" w:type="dxa"/>
            <w:tcMar>
              <w:top w:w="80" w:type="dxa"/>
              <w:left w:w="80" w:type="dxa"/>
              <w:bottom w:w="80" w:type="dxa"/>
              <w:right w:w="80" w:type="dxa"/>
            </w:tcMar>
            <w:vAlign w:val="center"/>
          </w:tcPr>
          <w:p w14:paraId="6C985885" w14:textId="5D1C59E6" w:rsidR="002D6F61" w:rsidRPr="002D6F61" w:rsidRDefault="002D6F61" w:rsidP="002A617D">
            <w:pPr>
              <w:ind w:firstLine="0"/>
              <w:rPr>
                <w:rFonts w:asciiTheme="majorHAnsi" w:hAnsiTheme="majorHAnsi" w:cstheme="majorHAnsi"/>
              </w:rPr>
            </w:pPr>
            <w:r w:rsidRPr="002D6F61">
              <w:rPr>
                <w:rFonts w:asciiTheme="majorHAnsi" w:hAnsiTheme="majorHAnsi" w:cstheme="majorHAnsi"/>
              </w:rPr>
              <w:t>Review the five planned action-type p-values</w:t>
            </w:r>
          </w:p>
        </w:tc>
        <w:tc>
          <w:tcPr>
            <w:tcW w:w="4188" w:type="dxa"/>
            <w:tcMar>
              <w:top w:w="80" w:type="dxa"/>
              <w:left w:w="80" w:type="dxa"/>
              <w:bottom w:w="80" w:type="dxa"/>
              <w:right w:w="80" w:type="dxa"/>
            </w:tcMar>
            <w:vAlign w:val="center"/>
          </w:tcPr>
          <w:p w14:paraId="2B88E399" w14:textId="0A0CA4EE" w:rsidR="002D6F61" w:rsidRPr="002D6F61" w:rsidRDefault="002D6F61" w:rsidP="002A617D">
            <w:pPr>
              <w:ind w:firstLine="0"/>
              <w:rPr>
                <w:rFonts w:asciiTheme="majorHAnsi" w:hAnsiTheme="majorHAnsi" w:cstheme="majorHAnsi"/>
              </w:rPr>
            </w:pPr>
            <w:r w:rsidRPr="002D6F61">
              <w:rPr>
                <w:rFonts w:asciiTheme="majorHAnsi" w:hAnsiTheme="majorHAnsi" w:cstheme="majorHAnsi"/>
              </w:rPr>
              <w:t>Apply Holm adjustment and interpret adjusted p-values together with effect sizes</w:t>
            </w:r>
          </w:p>
        </w:tc>
      </w:tr>
      <w:tr w:rsidR="00C006A0" w:rsidRPr="002A617D" w14:paraId="11F11359" w14:textId="77777777" w:rsidTr="002D6F61">
        <w:trPr>
          <w:jc w:val="center"/>
        </w:trPr>
        <w:tc>
          <w:tcPr>
            <w:tcW w:w="2066" w:type="dxa"/>
            <w:tcMar>
              <w:top w:w="80" w:type="dxa"/>
              <w:left w:w="80" w:type="dxa"/>
              <w:bottom w:w="80" w:type="dxa"/>
              <w:right w:w="80" w:type="dxa"/>
            </w:tcMar>
            <w:vAlign w:val="center"/>
          </w:tcPr>
          <w:p w14:paraId="143B6B60"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Separation or unstable logistic estimates</w:t>
            </w:r>
          </w:p>
        </w:tc>
        <w:tc>
          <w:tcPr>
            <w:tcW w:w="3106" w:type="dxa"/>
            <w:tcMar>
              <w:top w:w="80" w:type="dxa"/>
              <w:left w:w="80" w:type="dxa"/>
              <w:bottom w:w="80" w:type="dxa"/>
              <w:right w:w="80" w:type="dxa"/>
            </w:tcMar>
            <w:vAlign w:val="center"/>
          </w:tcPr>
          <w:p w14:paraId="4693095B" w14:textId="781949DE"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Inspect convergence, large coefficients, and wide intervals.</w:t>
            </w:r>
            <w:r w:rsidR="002D6F61">
              <w:rPr>
                <w:rFonts w:asciiTheme="majorHAnsi" w:hAnsiTheme="majorHAnsi" w:cstheme="majorHAnsi"/>
              </w:rPr>
              <w:t xml:space="preserve"> </w:t>
            </w:r>
            <w:r w:rsidR="002D6F61" w:rsidRPr="002D6F61">
              <w:rPr>
                <w:rFonts w:asciiTheme="majorHAnsi" w:hAnsiTheme="majorHAnsi" w:cstheme="majorHAnsi"/>
              </w:rPr>
              <w:t>Applies to RQ2 and RQ4 only.</w:t>
            </w:r>
          </w:p>
        </w:tc>
        <w:tc>
          <w:tcPr>
            <w:tcW w:w="4188" w:type="dxa"/>
            <w:tcMar>
              <w:top w:w="80" w:type="dxa"/>
              <w:left w:w="80" w:type="dxa"/>
              <w:bottom w:w="80" w:type="dxa"/>
              <w:right w:w="80" w:type="dxa"/>
            </w:tcMar>
            <w:vAlign w:val="center"/>
          </w:tcPr>
          <w:p w14:paraId="11DACCD7"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Apply regularization or simplify the model; do not present unstable rankings.</w:t>
            </w:r>
          </w:p>
        </w:tc>
      </w:tr>
      <w:tr w:rsidR="00C006A0" w:rsidRPr="002A617D" w14:paraId="05EC8747" w14:textId="77777777" w:rsidTr="002D6F61">
        <w:trPr>
          <w:jc w:val="center"/>
        </w:trPr>
        <w:tc>
          <w:tcPr>
            <w:tcW w:w="2066" w:type="dxa"/>
            <w:tcMar>
              <w:top w:w="80" w:type="dxa"/>
              <w:left w:w="80" w:type="dxa"/>
              <w:bottom w:w="80" w:type="dxa"/>
              <w:right w:w="80" w:type="dxa"/>
            </w:tcMar>
            <w:vAlign w:val="center"/>
          </w:tcPr>
          <w:p w14:paraId="687FFC7F"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lastRenderedPageBreak/>
              <w:t>Temporal disruption</w:t>
            </w:r>
          </w:p>
        </w:tc>
        <w:tc>
          <w:tcPr>
            <w:tcW w:w="3106" w:type="dxa"/>
            <w:tcMar>
              <w:top w:w="80" w:type="dxa"/>
              <w:left w:w="80" w:type="dxa"/>
              <w:bottom w:w="80" w:type="dxa"/>
              <w:right w:w="80" w:type="dxa"/>
            </w:tcMar>
            <w:vAlign w:val="center"/>
          </w:tcPr>
          <w:p w14:paraId="110672B3"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Repeat association models without 2020 to 2021.</w:t>
            </w:r>
          </w:p>
        </w:tc>
        <w:tc>
          <w:tcPr>
            <w:tcW w:w="4188" w:type="dxa"/>
            <w:tcMar>
              <w:top w:w="80" w:type="dxa"/>
              <w:left w:w="80" w:type="dxa"/>
              <w:bottom w:w="80" w:type="dxa"/>
              <w:right w:w="80" w:type="dxa"/>
            </w:tcMar>
            <w:vAlign w:val="center"/>
          </w:tcPr>
          <w:p w14:paraId="3F6AF958"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Compare direction and magnitude with the primary result.</w:t>
            </w:r>
          </w:p>
        </w:tc>
      </w:tr>
      <w:tr w:rsidR="00C006A0" w:rsidRPr="002A617D" w14:paraId="33CC2F64" w14:textId="77777777" w:rsidTr="002D6F61">
        <w:trPr>
          <w:jc w:val="center"/>
        </w:trPr>
        <w:tc>
          <w:tcPr>
            <w:tcW w:w="2066" w:type="dxa"/>
            <w:tcMar>
              <w:top w:w="80" w:type="dxa"/>
              <w:left w:w="80" w:type="dxa"/>
              <w:bottom w:w="80" w:type="dxa"/>
              <w:right w:w="80" w:type="dxa"/>
            </w:tcMar>
            <w:vAlign w:val="center"/>
          </w:tcPr>
          <w:p w14:paraId="5E0E6E41"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Prediction drift or poor calibration</w:t>
            </w:r>
          </w:p>
        </w:tc>
        <w:tc>
          <w:tcPr>
            <w:tcW w:w="3106" w:type="dxa"/>
            <w:tcMar>
              <w:top w:w="80" w:type="dxa"/>
              <w:left w:w="80" w:type="dxa"/>
              <w:bottom w:w="80" w:type="dxa"/>
              <w:right w:w="80" w:type="dxa"/>
            </w:tcMar>
            <w:vAlign w:val="center"/>
          </w:tcPr>
          <w:p w14:paraId="6AA8AE0B"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Compare holdout discrimination and calibration with development results.</w:t>
            </w:r>
          </w:p>
        </w:tc>
        <w:tc>
          <w:tcPr>
            <w:tcW w:w="4188" w:type="dxa"/>
            <w:tcMar>
              <w:top w:w="80" w:type="dxa"/>
              <w:left w:w="80" w:type="dxa"/>
              <w:bottom w:w="80" w:type="dxa"/>
              <w:right w:w="80" w:type="dxa"/>
            </w:tcMar>
            <w:vAlign w:val="center"/>
          </w:tcPr>
          <w:p w14:paraId="6429D48E" w14:textId="77777777" w:rsidR="00C006A0" w:rsidRPr="002A617D" w:rsidRDefault="00000000" w:rsidP="002A617D">
            <w:pPr>
              <w:ind w:firstLine="0"/>
              <w:rPr>
                <w:rFonts w:asciiTheme="majorHAnsi" w:hAnsiTheme="majorHAnsi" w:cstheme="majorHAnsi"/>
              </w:rPr>
            </w:pPr>
            <w:r w:rsidRPr="002A617D">
              <w:rPr>
                <w:rFonts w:asciiTheme="majorHAnsi" w:hAnsiTheme="majorHAnsi" w:cstheme="majorHAnsi"/>
              </w:rPr>
              <w:t>Do not recommend operational screening when holdout performance is weak.</w:t>
            </w:r>
          </w:p>
        </w:tc>
      </w:tr>
    </w:tbl>
    <w:p w14:paraId="6BD2EBC8" w14:textId="77777777" w:rsidR="00860885" w:rsidRPr="002A617D" w:rsidRDefault="00000000" w:rsidP="002A617D">
      <w:pPr>
        <w:rPr>
          <w:rFonts w:asciiTheme="majorHAnsi" w:hAnsiTheme="majorHAnsi" w:cstheme="majorHAnsi"/>
        </w:rPr>
      </w:pPr>
      <w:r w:rsidRPr="002A617D">
        <w:rPr>
          <w:rFonts w:asciiTheme="majorHAnsi" w:hAnsiTheme="majorHAnsi" w:cstheme="majorHAnsi"/>
        </w:rPr>
        <w:br w:type="page"/>
      </w:r>
    </w:p>
    <w:p w14:paraId="3AFFF206" w14:textId="77777777" w:rsidR="00860885" w:rsidRPr="002A617D" w:rsidRDefault="00000000" w:rsidP="002A617D">
      <w:pPr>
        <w:pStyle w:val="Heading1"/>
        <w:rPr>
          <w:rFonts w:cstheme="majorHAnsi"/>
          <w:szCs w:val="22"/>
        </w:rPr>
      </w:pPr>
      <w:r w:rsidRPr="002A617D">
        <w:rPr>
          <w:rFonts w:cstheme="majorHAnsi"/>
          <w:szCs w:val="22"/>
        </w:rPr>
        <w:t>Appendix D</w:t>
      </w:r>
    </w:p>
    <w:p w14:paraId="07F4974A" w14:textId="77777777" w:rsidR="00860885" w:rsidRPr="002A617D" w:rsidRDefault="00000000" w:rsidP="002A617D">
      <w:pPr>
        <w:pStyle w:val="Heading2"/>
        <w:rPr>
          <w:rFonts w:cstheme="majorHAnsi"/>
          <w:szCs w:val="22"/>
        </w:rPr>
      </w:pPr>
      <w:r w:rsidRPr="002A617D">
        <w:rPr>
          <w:rFonts w:cstheme="majorHAnsi"/>
          <w:szCs w:val="22"/>
        </w:rPr>
        <w:t>GitHub Repository: Data Reconciliation and Folder Structure</w:t>
      </w:r>
    </w:p>
    <w:p w14:paraId="4D5CB3D2" w14:textId="77777777" w:rsidR="00860885" w:rsidRPr="002A617D" w:rsidRDefault="00000000" w:rsidP="002A617D">
      <w:pPr>
        <w:rPr>
          <w:rFonts w:asciiTheme="majorHAnsi" w:hAnsiTheme="majorHAnsi" w:cstheme="majorHAnsi"/>
        </w:rPr>
      </w:pPr>
      <w:r w:rsidRPr="002A617D">
        <w:rPr>
          <w:rFonts w:asciiTheme="majorHAnsi" w:hAnsiTheme="majorHAnsi" w:cstheme="majorHAnsi"/>
        </w:rPr>
        <w:t>Per course requirements, the complete code and data pipeline for this project are maintained in a public GitHub repository with open access for reviewers:</w:t>
      </w:r>
    </w:p>
    <w:p w14:paraId="786B5321" w14:textId="77777777" w:rsidR="00860885" w:rsidRPr="002A617D" w:rsidRDefault="00000000" w:rsidP="002A617D">
      <w:pPr>
        <w:rPr>
          <w:rFonts w:asciiTheme="majorHAnsi" w:hAnsiTheme="majorHAnsi" w:cstheme="majorHAnsi"/>
        </w:rPr>
      </w:pPr>
      <w:r w:rsidRPr="002A617D">
        <w:rPr>
          <w:rFonts w:asciiTheme="majorHAnsi" w:hAnsiTheme="majorHAnsi" w:cstheme="majorHAnsi"/>
          <w:color w:val="0550AE"/>
        </w:rPr>
        <w:t>https://github.com/somndas3/qm640-tri-pollution-prevention-capstone</w:t>
      </w:r>
    </w:p>
    <w:p w14:paraId="48612302" w14:textId="77777777" w:rsidR="00860885" w:rsidRPr="002A617D" w:rsidRDefault="00000000" w:rsidP="002A617D">
      <w:pPr>
        <w:rPr>
          <w:rFonts w:asciiTheme="majorHAnsi" w:hAnsiTheme="majorHAnsi" w:cstheme="majorHAnsi"/>
        </w:rPr>
      </w:pPr>
      <w:r w:rsidRPr="002A617D">
        <w:rPr>
          <w:rFonts w:asciiTheme="majorHAnsi" w:hAnsiTheme="majorHAnsi" w:cstheme="majorHAnsi"/>
        </w:rPr>
        <w:t>The repository contains the README, a data folder with EPA download instructions and a 200-row sample per reporting year, an exploratory-analysis notebook, a data-preparation script, and this synopsis document.</w:t>
      </w:r>
    </w:p>
    <w:p w14:paraId="5188CDAE" w14:textId="77777777" w:rsidR="00860885" w:rsidRPr="002A617D" w:rsidRDefault="00000000" w:rsidP="002A617D">
      <w:pPr>
        <w:pStyle w:val="Heading2"/>
        <w:rPr>
          <w:rFonts w:cstheme="majorHAnsi"/>
          <w:szCs w:val="22"/>
        </w:rPr>
      </w:pPr>
      <w:r w:rsidRPr="002A617D">
        <w:rPr>
          <w:rFonts w:cstheme="majorHAnsi"/>
          <w:szCs w:val="22"/>
        </w:rPr>
        <w:t>D.1 Repository Folder Structure</w:t>
      </w:r>
    </w:p>
    <w:p w14:paraId="084770C5" w14:textId="281FCF20" w:rsidR="00860885" w:rsidRPr="002A617D" w:rsidRDefault="002A617D" w:rsidP="002A617D">
      <w:pPr>
        <w:spacing w:before="120" w:after="120"/>
        <w:ind w:firstLine="0"/>
        <w:rPr>
          <w:rFonts w:asciiTheme="majorHAnsi" w:hAnsiTheme="majorHAnsi" w:cstheme="majorHAnsi"/>
        </w:rPr>
      </w:pPr>
      <w:r w:rsidRPr="002A617D">
        <w:rPr>
          <w:rFonts w:asciiTheme="majorHAnsi" w:hAnsiTheme="majorHAnsi" w:cstheme="majorHAnsi"/>
        </w:rPr>
        <w:t>qm640-tri-pollution-prevention-capstone/</w:t>
        <w:br/>
        <w:t>|-- README.md                      (problem statement + dataset source)</w:t>
        <w:br/>
        <w:t>|-- requirements.txt</w:t>
        <w:br/>
        <w:t>|-- data/</w:t>
        <w:br/>
        <w:t>|   |-- README.md                  (EPA download links + reproduction instructions)</w:t>
        <w:br/>
        <w:t>|   `-- sample/                    (200-row sample, File 1A + 2A, 2020-2024)</w:t>
        <w:br/>
        <w:t>|-- notebooks/</w:t>
        <w:br/>
        <w:t>|   `-- 01_data_exploration.ipynb  (shape, head, dtypes, missing values, Table 3 reconciliation)</w:t>
        <w:br/>
        <w:t>|-- src/</w:t>
        <w:br/>
        <w:t>|   `-- data_prep.py               (Form R + manufacturing NAICS filter + consolidation, 1A/2A join)</w:t>
        <w:br/>
        <w:t>`-- reports/</w:t>
        <w:br/>
        <w:t xml:space="preserve">    `-- QM640_Synopsis_TRI_2020_2024.docx</w:t>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proofErr w:type="spellStart"/>
      <w:r w:rsidRPr="002A617D">
        <w:rPr>
          <w:rFonts w:asciiTheme="majorHAnsi" w:hAnsiTheme="majorHAnsi" w:cstheme="majorHAnsi"/>
        </w:rPr>
      </w:r>
      <w:proofErr w:type="spellEnd"/>
      <w:r w:rsidRPr="002A617D">
        <w:rPr>
          <w:rFonts w:asciiTheme="majorHAnsi" w:hAnsiTheme="majorHAnsi" w:cstheme="majorHAnsi"/>
        </w:rPr>
      </w:r>
      <w:r w:rsidRPr="002A617D">
        <w:rPr>
          <w:rFonts w:asciiTheme="majorHAnsi" w:hAnsiTheme="majorHAnsi" w:cstheme="majorHAnsi"/>
        </w:rPr>
      </w:r>
      <w:proofErr w:type="spellStart"/>
      <w:r w:rsidRPr="002A617D">
        <w:rPr>
          <w:rFonts w:asciiTheme="majorHAnsi" w:hAnsiTheme="majorHAnsi" w:cstheme="majorHAnsi"/>
        </w:rPr>
      </w:r>
      <w:proofErr w:type="spellEnd"/>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r w:rsidRPr="002A617D">
        <w:rPr>
          <w:rFonts w:asciiTheme="majorHAnsi" w:hAnsiTheme="majorHAnsi" w:cstheme="majorHAnsi"/>
        </w:rPr>
      </w:r>
    </w:p>
    <w:p w14:paraId="37BDDFE7" w14:textId="77777777" w:rsidR="00860885" w:rsidRPr="002A617D" w:rsidRDefault="00000000" w:rsidP="002A617D">
      <w:pPr>
        <w:pStyle w:val="Heading2"/>
        <w:rPr>
          <w:rFonts w:cstheme="majorHAnsi"/>
          <w:szCs w:val="22"/>
        </w:rPr>
      </w:pPr>
      <w:r w:rsidRPr="002A617D">
        <w:rPr>
          <w:rFonts w:cstheme="majorHAnsi"/>
          <w:szCs w:val="22"/>
        </w:rPr>
        <w:t>D.2 Reconciling GitHub Data Counts With Table 3</w:t>
      </w:r>
    </w:p>
    <w:p w14:paraId="0A436C73" w14:textId="77777777" w:rsidR="00860885" w:rsidRPr="002A617D" w:rsidRDefault="00000000" w:rsidP="002A617D">
      <w:pPr>
        <w:rPr>
          <w:rFonts w:asciiTheme="majorHAnsi" w:hAnsiTheme="majorHAnsi" w:cstheme="majorHAnsi"/>
        </w:rPr>
      </w:pPr>
      <w:r w:rsidRPr="002A617D">
        <w:rPr>
          <w:rFonts w:asciiTheme="majorHAnsi" w:hAnsiTheme="majorHAnsi" w:cstheme="majorHAnsi"/>
        </w:rPr>
        <w:t>The GitHub repository's data-preparation script and notebook operate on the raw EPA TRI Basic Plus files as downloaded, before any filtering. That raw row count is not the same count reported in Table 3 of the Data Description section, which reflects records after the Form R filter, the manufacturing NAICS (31, 32, or 33) filter, and duplicate consolidation. Table D1 below reconciles the two: it walks each reporting year from raw rows through both filters to the final consolidated count, confirming an exact match with Table 3 for every year, including the 2024 test/holdout year.</w:t>
      </w:r>
    </w:p>
    <w:p w14:paraId="57A42ED9" w14:textId="77777777" w:rsidR="00860885" w:rsidRPr="002A617D" w:rsidRDefault="00000000" w:rsidP="002A617D">
      <w:pPr>
        <w:rPr>
          <w:rFonts w:asciiTheme="majorHAnsi" w:hAnsiTheme="majorHAnsi" w:cstheme="majorHAnsi"/>
        </w:rPr>
      </w:pPr>
      <w:r w:rsidRPr="002A617D">
        <w:rPr>
          <w:rFonts w:asciiTheme="majorHAnsi" w:hAnsiTheme="majorHAnsi" w:cstheme="majorHAnsi"/>
          <w:b/>
        </w:rPr>
        <w:t>Table D1</w:t>
      </w:r>
    </w:p>
    <w:p w14:paraId="50A62814" w14:textId="77777777" w:rsidR="00860885" w:rsidRPr="002A617D" w:rsidRDefault="00000000" w:rsidP="002A617D">
      <w:pPr>
        <w:rPr>
          <w:rFonts w:asciiTheme="majorHAnsi" w:hAnsiTheme="majorHAnsi" w:cstheme="majorHAnsi"/>
        </w:rPr>
      </w:pPr>
      <w:r w:rsidRPr="002A617D">
        <w:rPr>
          <w:rFonts w:asciiTheme="majorHAnsi" w:hAnsiTheme="majorHAnsi" w:cstheme="majorHAnsi"/>
          <w:i/>
        </w:rPr>
        <w:t>Reconciliation of Raw File Row Counts With Table 3 Analysis-Ready Counts</w:t>
      </w:r>
    </w:p>
    <w:p w14:paraId="115C5AAA" w14:textId="77777777" w:rsidR="00860885" w:rsidRPr="002A617D" w:rsidRDefault="00000000" w:rsidP="002A617D">
      <w:pPr>
        <w:jc w:val="center"/>
        <w:rPr>
          <w:rFonts w:asciiTheme="majorHAnsi" w:hAnsiTheme="majorHAnsi" w:cstheme="majorHAnsi"/>
        </w:rPr>
      </w:pPr>
    </w:p>
    <w:tbl>
      <w:tblPr>
        <w:tblStyle w:val="TableGrid"/>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W w:w="0" w:type="auto"/>
      </w:tblPr>
      <w:tblGrid>
        <w:gridCol w:w="1872"/>
        <w:gridCol w:w="1584"/>
        <w:gridCol w:w="1584"/>
        <w:gridCol w:w="2160"/>
        <w:gridCol w:w="2160"/>
      </w:tblGrid>
      <w:tr>
        <w:tc>
          <w:tcPr>
            <w:tcW w:type="dxa" w:w="1872"/>
            <w:tcMar>
              <w:top w:w="80" w:type="dxa"/>
              <w:left w:w="80" w:type="dxa"/>
              <w:bottom w:w="80" w:type="dxa"/>
              <w:right w:w="80" w:type="dxa"/>
            </w:tcMar>
            <w:vAlign w:val="center"/>
            <w:tcBorders>
              <w:bottom w:val="single" w:sz="8" w:space="0" w:color="000000"/>
            </w:tcBorders>
          </w:tcPr>
          <w:p>
            <w:pPr>
              <w:ind w:firstLine="0"/>
              <w:jc w:val="center"/>
            </w:pPr>
            <w:r/>
            <w:r>
              <w:rPr>
                <w:b/>
              </w:rPr>
              <w:t>Reporting year</w:t>
            </w:r>
          </w:p>
        </w:tc>
        <w:tc>
          <w:tcPr>
            <w:tcW w:type="dxa" w:w="1584"/>
            <w:tcMar>
              <w:top w:w="80" w:type="dxa"/>
              <w:left w:w="80" w:type="dxa"/>
              <w:bottom w:w="80" w:type="dxa"/>
              <w:right w:w="80" w:type="dxa"/>
            </w:tcMar>
            <w:vAlign w:val="center"/>
            <w:tcBorders>
              <w:bottom w:val="single" w:sz="8" w:space="0" w:color="000000"/>
            </w:tcBorders>
          </w:tcPr>
          <w:p>
            <w:pPr>
              <w:ind w:firstLine="0"/>
              <w:jc w:val="center"/>
            </w:pPr>
            <w:r/>
            <w:r>
              <w:rPr>
                <w:b/>
              </w:rPr>
              <w:t>Raw rows</w:t>
            </w:r>
          </w:p>
        </w:tc>
        <w:tc>
          <w:tcPr>
            <w:tcW w:type="dxa" w:w="1584"/>
            <w:tcMar>
              <w:top w:w="80" w:type="dxa"/>
              <w:left w:w="80" w:type="dxa"/>
              <w:bottom w:w="80" w:type="dxa"/>
              <w:right w:w="80" w:type="dxa"/>
            </w:tcMar>
            <w:vAlign w:val="center"/>
            <w:tcBorders>
              <w:bottom w:val="single" w:sz="8" w:space="0" w:color="000000"/>
            </w:tcBorders>
          </w:tcPr>
          <w:p>
            <w:pPr>
              <w:ind w:firstLine="0"/>
              <w:jc w:val="center"/>
            </w:pPr>
            <w:r/>
            <w:r>
              <w:rPr>
                <w:b/>
              </w:rPr>
              <w:t>Form R records</w:t>
            </w:r>
          </w:p>
        </w:tc>
        <w:tc>
          <w:tcPr>
            <w:tcW w:type="dxa" w:w="2160"/>
            <w:tcMar>
              <w:top w:w="80" w:type="dxa"/>
              <w:left w:w="80" w:type="dxa"/>
              <w:bottom w:w="80" w:type="dxa"/>
              <w:right w:w="80" w:type="dxa"/>
            </w:tcMar>
            <w:vAlign w:val="center"/>
            <w:tcBorders>
              <w:bottom w:val="single" w:sz="8" w:space="0" w:color="000000"/>
            </w:tcBorders>
          </w:tcPr>
          <w:p>
            <w:pPr>
              <w:ind w:firstLine="0"/>
              <w:jc w:val="center"/>
            </w:pPr>
            <w:r/>
            <w:r>
              <w:rPr>
                <w:b/>
              </w:rPr>
              <w:t>+ Manufacturing NAICS</w:t>
            </w:r>
          </w:p>
        </w:tc>
        <w:tc>
          <w:tcPr>
            <w:tcW w:type="dxa" w:w="2160"/>
            <w:tcMar>
              <w:top w:w="80" w:type="dxa"/>
              <w:left w:w="80" w:type="dxa"/>
              <w:bottom w:w="80" w:type="dxa"/>
              <w:right w:w="80" w:type="dxa"/>
            </w:tcMar>
            <w:vAlign w:val="center"/>
            <w:tcBorders>
              <w:bottom w:val="single" w:sz="8" w:space="0" w:color="000000"/>
            </w:tcBorders>
          </w:tcPr>
          <w:p>
            <w:pPr>
              <w:ind w:firstLine="0"/>
              <w:jc w:val="center"/>
            </w:pPr>
            <w:r/>
            <w:r>
              <w:rPr>
                <w:b/>
              </w:rPr>
              <w:t>Consolidated (= Table 3)</w:t>
            </w:r>
          </w:p>
        </w:tc>
      </w:tr>
      <w:tr>
        <w:tc>
          <w:tcPr>
            <w:tcW w:type="dxa" w:w="1872"/>
            <w:tcMar>
              <w:top w:w="80" w:type="dxa"/>
              <w:left w:w="80" w:type="dxa"/>
              <w:bottom w:w="80" w:type="dxa"/>
              <w:right w:w="80" w:type="dxa"/>
            </w:tcMar>
            <w:vAlign w:val="center"/>
          </w:tcPr>
          <w:p>
            <w:pPr>
              <w:ind w:firstLine="0"/>
            </w:pPr>
            <w:r/>
            <w:r>
              <w:t>2020</w:t>
            </w:r>
          </w:p>
        </w:tc>
        <w:tc>
          <w:tcPr>
            <w:tcW w:type="dxa" w:w="1584"/>
            <w:tcMar>
              <w:top w:w="80" w:type="dxa"/>
              <w:left w:w="80" w:type="dxa"/>
              <w:bottom w:w="80" w:type="dxa"/>
              <w:right w:w="80" w:type="dxa"/>
            </w:tcMar>
            <w:vAlign w:val="center"/>
          </w:tcPr>
          <w:p>
            <w:pPr>
              <w:ind w:firstLine="0"/>
            </w:pPr>
            <w:r/>
            <w:r>
              <w:t>78,654</w:t>
            </w:r>
          </w:p>
        </w:tc>
        <w:tc>
          <w:tcPr>
            <w:tcW w:type="dxa" w:w="1584"/>
            <w:tcMar>
              <w:top w:w="80" w:type="dxa"/>
              <w:left w:w="80" w:type="dxa"/>
              <w:bottom w:w="80" w:type="dxa"/>
              <w:right w:w="80" w:type="dxa"/>
            </w:tcMar>
            <w:vAlign w:val="center"/>
          </w:tcPr>
          <w:p>
            <w:pPr>
              <w:ind w:firstLine="0"/>
            </w:pPr>
            <w:r/>
            <w:r>
              <w:t>70,035</w:t>
            </w:r>
          </w:p>
        </w:tc>
        <w:tc>
          <w:tcPr>
            <w:tcW w:type="dxa" w:w="2160"/>
            <w:tcMar>
              <w:top w:w="80" w:type="dxa"/>
              <w:left w:w="80" w:type="dxa"/>
              <w:bottom w:w="80" w:type="dxa"/>
              <w:right w:w="80" w:type="dxa"/>
            </w:tcMar>
            <w:vAlign w:val="center"/>
          </w:tcPr>
          <w:p>
            <w:pPr>
              <w:ind w:firstLine="0"/>
            </w:pPr>
            <w:r/>
            <w:r>
              <w:t>57,004</w:t>
            </w:r>
          </w:p>
        </w:tc>
        <w:tc>
          <w:tcPr>
            <w:tcW w:type="dxa" w:w="2160"/>
            <w:tcMar>
              <w:top w:w="80" w:type="dxa"/>
              <w:left w:w="80" w:type="dxa"/>
              <w:bottom w:w="80" w:type="dxa"/>
              <w:right w:w="80" w:type="dxa"/>
            </w:tcMar>
            <w:vAlign w:val="center"/>
          </w:tcPr>
          <w:p>
            <w:pPr>
              <w:ind w:firstLine="0"/>
            </w:pPr>
            <w:r/>
            <w:r>
              <w:t>56,462</w:t>
            </w:r>
          </w:p>
        </w:tc>
      </w:tr>
      <w:tr>
        <w:tc>
          <w:tcPr>
            <w:tcW w:type="dxa" w:w="1872"/>
            <w:tcMar>
              <w:top w:w="80" w:type="dxa"/>
              <w:left w:w="80" w:type="dxa"/>
              <w:bottom w:w="80" w:type="dxa"/>
              <w:right w:w="80" w:type="dxa"/>
            </w:tcMar>
            <w:vAlign w:val="center"/>
          </w:tcPr>
          <w:p>
            <w:pPr>
              <w:ind w:firstLine="0"/>
            </w:pPr>
            <w:r/>
            <w:r>
              <w:t>2021</w:t>
            </w:r>
          </w:p>
        </w:tc>
        <w:tc>
          <w:tcPr>
            <w:tcW w:type="dxa" w:w="1584"/>
            <w:tcMar>
              <w:top w:w="80" w:type="dxa"/>
              <w:left w:w="80" w:type="dxa"/>
              <w:bottom w:w="80" w:type="dxa"/>
              <w:right w:w="80" w:type="dxa"/>
            </w:tcMar>
            <w:vAlign w:val="center"/>
          </w:tcPr>
          <w:p>
            <w:pPr>
              <w:ind w:firstLine="0"/>
            </w:pPr>
            <w:r/>
            <w:r>
              <w:t>78,241</w:t>
            </w:r>
          </w:p>
        </w:tc>
        <w:tc>
          <w:tcPr>
            <w:tcW w:type="dxa" w:w="1584"/>
            <w:tcMar>
              <w:top w:w="80" w:type="dxa"/>
              <w:left w:w="80" w:type="dxa"/>
              <w:bottom w:w="80" w:type="dxa"/>
              <w:right w:w="80" w:type="dxa"/>
            </w:tcMar>
            <w:vAlign w:val="center"/>
          </w:tcPr>
          <w:p>
            <w:pPr>
              <w:ind w:firstLine="0"/>
            </w:pPr>
            <w:r/>
            <w:r>
              <w:t>69,578</w:t>
            </w:r>
          </w:p>
        </w:tc>
        <w:tc>
          <w:tcPr>
            <w:tcW w:type="dxa" w:w="2160"/>
            <w:tcMar>
              <w:top w:w="80" w:type="dxa"/>
              <w:left w:w="80" w:type="dxa"/>
              <w:bottom w:w="80" w:type="dxa"/>
              <w:right w:w="80" w:type="dxa"/>
            </w:tcMar>
            <w:vAlign w:val="center"/>
          </w:tcPr>
          <w:p>
            <w:pPr>
              <w:ind w:firstLine="0"/>
            </w:pPr>
            <w:r/>
            <w:r>
              <w:t>56,750</w:t>
            </w:r>
          </w:p>
        </w:tc>
        <w:tc>
          <w:tcPr>
            <w:tcW w:type="dxa" w:w="2160"/>
            <w:tcMar>
              <w:top w:w="80" w:type="dxa"/>
              <w:left w:w="80" w:type="dxa"/>
              <w:bottom w:w="80" w:type="dxa"/>
              <w:right w:w="80" w:type="dxa"/>
            </w:tcMar>
            <w:vAlign w:val="center"/>
          </w:tcPr>
          <w:p>
            <w:pPr>
              <w:ind w:firstLine="0"/>
            </w:pPr>
            <w:r/>
            <w:r>
              <w:t>56,219</w:t>
            </w:r>
          </w:p>
        </w:tc>
      </w:tr>
      <w:tr>
        <w:tc>
          <w:tcPr>
            <w:tcW w:type="dxa" w:w="1872"/>
            <w:tcMar>
              <w:top w:w="80" w:type="dxa"/>
              <w:left w:w="80" w:type="dxa"/>
              <w:bottom w:w="80" w:type="dxa"/>
              <w:right w:w="80" w:type="dxa"/>
            </w:tcMar>
            <w:vAlign w:val="center"/>
          </w:tcPr>
          <w:p>
            <w:pPr>
              <w:ind w:firstLine="0"/>
            </w:pPr>
            <w:r/>
            <w:r>
              <w:t>2022</w:t>
            </w:r>
          </w:p>
        </w:tc>
        <w:tc>
          <w:tcPr>
            <w:tcW w:type="dxa" w:w="1584"/>
            <w:tcMar>
              <w:top w:w="80" w:type="dxa"/>
              <w:left w:w="80" w:type="dxa"/>
              <w:bottom w:w="80" w:type="dxa"/>
              <w:right w:w="80" w:type="dxa"/>
            </w:tcMar>
            <w:vAlign w:val="center"/>
          </w:tcPr>
          <w:p>
            <w:pPr>
              <w:ind w:firstLine="0"/>
            </w:pPr>
            <w:r/>
            <w:r>
              <w:t>80,039</w:t>
            </w:r>
          </w:p>
        </w:tc>
        <w:tc>
          <w:tcPr>
            <w:tcW w:type="dxa" w:w="1584"/>
            <w:tcMar>
              <w:top w:w="80" w:type="dxa"/>
              <w:left w:w="80" w:type="dxa"/>
              <w:bottom w:w="80" w:type="dxa"/>
              <w:right w:w="80" w:type="dxa"/>
            </w:tcMar>
            <w:vAlign w:val="center"/>
          </w:tcPr>
          <w:p>
            <w:pPr>
              <w:ind w:firstLine="0"/>
            </w:pPr>
            <w:r/>
            <w:r>
              <w:t>71,004</w:t>
            </w:r>
          </w:p>
        </w:tc>
        <w:tc>
          <w:tcPr>
            <w:tcW w:type="dxa" w:w="2160"/>
            <w:tcMar>
              <w:top w:w="80" w:type="dxa"/>
              <w:left w:w="80" w:type="dxa"/>
              <w:bottom w:w="80" w:type="dxa"/>
              <w:right w:w="80" w:type="dxa"/>
            </w:tcMar>
            <w:vAlign w:val="center"/>
          </w:tcPr>
          <w:p>
            <w:pPr>
              <w:ind w:firstLine="0"/>
            </w:pPr>
            <w:r/>
            <w:r>
              <w:t>56,725</w:t>
            </w:r>
          </w:p>
        </w:tc>
        <w:tc>
          <w:tcPr>
            <w:tcW w:type="dxa" w:w="2160"/>
            <w:tcMar>
              <w:top w:w="80" w:type="dxa"/>
              <w:left w:w="80" w:type="dxa"/>
              <w:bottom w:w="80" w:type="dxa"/>
              <w:right w:w="80" w:type="dxa"/>
            </w:tcMar>
            <w:vAlign w:val="center"/>
          </w:tcPr>
          <w:p>
            <w:pPr>
              <w:ind w:firstLine="0"/>
            </w:pPr>
            <w:r/>
            <w:r>
              <w:t>56,155</w:t>
            </w:r>
          </w:p>
        </w:tc>
      </w:tr>
      <w:tr>
        <w:tc>
          <w:tcPr>
            <w:tcW w:type="dxa" w:w="1872"/>
            <w:tcMar>
              <w:top w:w="80" w:type="dxa"/>
              <w:left w:w="80" w:type="dxa"/>
              <w:bottom w:w="80" w:type="dxa"/>
              <w:right w:w="80" w:type="dxa"/>
            </w:tcMar>
            <w:vAlign w:val="center"/>
          </w:tcPr>
          <w:p>
            <w:pPr>
              <w:ind w:firstLine="0"/>
            </w:pPr>
            <w:r/>
            <w:r>
              <w:t>2023</w:t>
            </w:r>
          </w:p>
        </w:tc>
        <w:tc>
          <w:tcPr>
            <w:tcW w:type="dxa" w:w="1584"/>
            <w:tcMar>
              <w:top w:w="80" w:type="dxa"/>
              <w:left w:w="80" w:type="dxa"/>
              <w:bottom w:w="80" w:type="dxa"/>
              <w:right w:w="80" w:type="dxa"/>
            </w:tcMar>
            <w:vAlign w:val="center"/>
          </w:tcPr>
          <w:p>
            <w:pPr>
              <w:ind w:firstLine="0"/>
            </w:pPr>
            <w:r/>
            <w:r>
              <w:t>78,647</w:t>
            </w:r>
          </w:p>
        </w:tc>
        <w:tc>
          <w:tcPr>
            <w:tcW w:type="dxa" w:w="1584"/>
            <w:tcMar>
              <w:top w:w="80" w:type="dxa"/>
              <w:left w:w="80" w:type="dxa"/>
              <w:bottom w:w="80" w:type="dxa"/>
              <w:right w:w="80" w:type="dxa"/>
            </w:tcMar>
            <w:vAlign w:val="center"/>
          </w:tcPr>
          <w:p>
            <w:pPr>
              <w:ind w:firstLine="0"/>
            </w:pPr>
            <w:r/>
            <w:r>
              <w:t>69,809</w:t>
            </w:r>
          </w:p>
        </w:tc>
        <w:tc>
          <w:tcPr>
            <w:tcW w:type="dxa" w:w="2160"/>
            <w:tcMar>
              <w:top w:w="80" w:type="dxa"/>
              <w:left w:w="80" w:type="dxa"/>
              <w:bottom w:w="80" w:type="dxa"/>
              <w:right w:w="80" w:type="dxa"/>
            </w:tcMar>
            <w:vAlign w:val="center"/>
          </w:tcPr>
          <w:p>
            <w:pPr>
              <w:ind w:firstLine="0"/>
            </w:pPr>
            <w:r/>
            <w:r>
              <w:t>55,882</w:t>
            </w:r>
          </w:p>
        </w:tc>
        <w:tc>
          <w:tcPr>
            <w:tcW w:type="dxa" w:w="2160"/>
            <w:tcMar>
              <w:top w:w="80" w:type="dxa"/>
              <w:left w:w="80" w:type="dxa"/>
              <w:bottom w:w="80" w:type="dxa"/>
              <w:right w:w="80" w:type="dxa"/>
            </w:tcMar>
            <w:vAlign w:val="center"/>
          </w:tcPr>
          <w:p>
            <w:pPr>
              <w:ind w:firstLine="0"/>
            </w:pPr>
            <w:r/>
            <w:r>
              <w:t>55,349</w:t>
            </w:r>
          </w:p>
        </w:tc>
      </w:tr>
      <w:tr>
        <w:tc>
          <w:tcPr>
            <w:tcW w:type="dxa" w:w="1872"/>
            <w:tcMar>
              <w:top w:w="80" w:type="dxa"/>
              <w:left w:w="80" w:type="dxa"/>
              <w:bottom w:w="80" w:type="dxa"/>
              <w:right w:w="80" w:type="dxa"/>
            </w:tcMar>
            <w:vAlign w:val="center"/>
          </w:tcPr>
          <w:p>
            <w:pPr>
              <w:ind w:firstLine="0"/>
            </w:pPr>
            <w:r/>
            <w:r>
              <w:t>2024 (holdout)</w:t>
            </w:r>
          </w:p>
        </w:tc>
        <w:tc>
          <w:tcPr>
            <w:tcW w:type="dxa" w:w="1584"/>
            <w:tcMar>
              <w:top w:w="80" w:type="dxa"/>
              <w:left w:w="80" w:type="dxa"/>
              <w:bottom w:w="80" w:type="dxa"/>
              <w:right w:w="80" w:type="dxa"/>
            </w:tcMar>
            <w:vAlign w:val="center"/>
          </w:tcPr>
          <w:p>
            <w:pPr>
              <w:ind w:firstLine="0"/>
            </w:pPr>
            <w:r/>
            <w:r>
              <w:t>77,295</w:t>
            </w:r>
          </w:p>
        </w:tc>
        <w:tc>
          <w:tcPr>
            <w:tcW w:type="dxa" w:w="1584"/>
            <w:tcMar>
              <w:top w:w="80" w:type="dxa"/>
              <w:left w:w="80" w:type="dxa"/>
              <w:bottom w:w="80" w:type="dxa"/>
              <w:right w:w="80" w:type="dxa"/>
            </w:tcMar>
            <w:vAlign w:val="center"/>
          </w:tcPr>
          <w:p>
            <w:pPr>
              <w:ind w:firstLine="0"/>
            </w:pPr>
            <w:r/>
            <w:r>
              <w:t>68,567</w:t>
            </w:r>
          </w:p>
        </w:tc>
        <w:tc>
          <w:tcPr>
            <w:tcW w:type="dxa" w:w="2160"/>
            <w:tcMar>
              <w:top w:w="80" w:type="dxa"/>
              <w:left w:w="80" w:type="dxa"/>
              <w:bottom w:w="80" w:type="dxa"/>
              <w:right w:w="80" w:type="dxa"/>
            </w:tcMar>
            <w:vAlign w:val="center"/>
          </w:tcPr>
          <w:p>
            <w:pPr>
              <w:ind w:firstLine="0"/>
            </w:pPr>
            <w:r/>
            <w:r>
              <w:t>54,595</w:t>
            </w:r>
          </w:p>
        </w:tc>
        <w:tc>
          <w:tcPr>
            <w:tcW w:type="dxa" w:w="2160"/>
            <w:tcMar>
              <w:top w:w="80" w:type="dxa"/>
              <w:left w:w="80" w:type="dxa"/>
              <w:bottom w:w="80" w:type="dxa"/>
              <w:right w:w="80" w:type="dxa"/>
            </w:tcMar>
            <w:vAlign w:val="center"/>
          </w:tcPr>
          <w:p>
            <w:pPr>
              <w:ind w:firstLine="0"/>
            </w:pPr>
            <w:r/>
            <w:r>
              <w:t>54,115</w:t>
            </w:r>
          </w:p>
        </w:tc>
      </w:tr>
    </w:tbl>
    <w:sectPr w:rsidR="00860885" w:rsidRPr="002A617D" w:rsidSect="005134E3">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AD3C" w14:textId="77777777" w:rsidR="00F624FE" w:rsidRDefault="00F624FE">
      <w:pPr>
        <w:spacing w:line="240" w:lineRule="auto"/>
      </w:pPr>
      <w:r>
        <w:separator/>
      </w:r>
    </w:p>
  </w:endnote>
  <w:endnote w:type="continuationSeparator" w:id="0">
    <w:p w14:paraId="4D8C86FF" w14:textId="77777777" w:rsidR="00F624FE" w:rsidRDefault="00F62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F431" w14:textId="77777777" w:rsidR="005134E3" w:rsidRDefault="00513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5D7A" w14:textId="77777777" w:rsidR="005134E3" w:rsidRDefault="00513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94C8" w14:textId="77777777" w:rsidR="005134E3" w:rsidRDefault="00513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9275D" w14:textId="77777777" w:rsidR="00F624FE" w:rsidRDefault="00F624FE">
      <w:pPr>
        <w:spacing w:line="240" w:lineRule="auto"/>
      </w:pPr>
      <w:r>
        <w:separator/>
      </w:r>
    </w:p>
  </w:footnote>
  <w:footnote w:type="continuationSeparator" w:id="0">
    <w:p w14:paraId="5345773F" w14:textId="77777777" w:rsidR="00F624FE" w:rsidRDefault="00F624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8A3C" w14:textId="77777777" w:rsidR="005134E3" w:rsidRDefault="00513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4511" w14:textId="77777777" w:rsidR="00C006A0" w:rsidRPr="005134E3" w:rsidRDefault="00000000">
    <w:pPr>
      <w:pStyle w:val="Header"/>
      <w:jc w:val="right"/>
      <w:rPr>
        <w:rFonts w:ascii="Calibri" w:hAnsi="Calibri" w:cs="Calibri"/>
      </w:rPr>
    </w:pPr>
    <w:r w:rsidRPr="005134E3">
      <w:rPr>
        <w:rFonts w:ascii="Calibri" w:hAnsi="Calibri" w:cs="Calibri"/>
      </w:rPr>
      <w:fldChar w:fldCharType="begin"/>
    </w:r>
    <w:r w:rsidRPr="005134E3">
      <w:rPr>
        <w:rFonts w:ascii="Calibri" w:hAnsi="Calibri" w:cs="Calibri"/>
      </w:rPr>
      <w:instrText xml:space="preserve"> PAGE </w:instrText>
    </w:r>
    <w:r w:rsidRPr="005134E3">
      <w:rPr>
        <w:rFonts w:ascii="Calibri" w:hAnsi="Calibri" w:cs="Calibri"/>
      </w:rPr>
      <w:fldChar w:fldCharType="separate"/>
    </w:r>
    <w:r w:rsidR="00970538" w:rsidRPr="005134E3">
      <w:rPr>
        <w:rFonts w:ascii="Calibri" w:hAnsi="Calibri" w:cs="Calibri"/>
        <w:noProof/>
      </w:rPr>
      <w:t>1</w:t>
    </w:r>
    <w:r w:rsidRPr="005134E3">
      <w:rPr>
        <w:rFonts w:ascii="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C139" w14:textId="77777777" w:rsidR="005134E3" w:rsidRDefault="00513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A91804"/>
    <w:multiLevelType w:val="multilevel"/>
    <w:tmpl w:val="31EE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674D0"/>
    <w:multiLevelType w:val="multilevel"/>
    <w:tmpl w:val="2D5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52978"/>
    <w:multiLevelType w:val="multilevel"/>
    <w:tmpl w:val="596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75388"/>
    <w:multiLevelType w:val="multilevel"/>
    <w:tmpl w:val="BE88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21BF1"/>
    <w:multiLevelType w:val="multilevel"/>
    <w:tmpl w:val="423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220377">
    <w:abstractNumId w:val="8"/>
  </w:num>
  <w:num w:numId="2" w16cid:durableId="1307705781">
    <w:abstractNumId w:val="6"/>
  </w:num>
  <w:num w:numId="3" w16cid:durableId="1626041759">
    <w:abstractNumId w:val="5"/>
  </w:num>
  <w:num w:numId="4" w16cid:durableId="827525482">
    <w:abstractNumId w:val="4"/>
  </w:num>
  <w:num w:numId="5" w16cid:durableId="1312295584">
    <w:abstractNumId w:val="7"/>
  </w:num>
  <w:num w:numId="6" w16cid:durableId="1761752492">
    <w:abstractNumId w:val="3"/>
  </w:num>
  <w:num w:numId="7" w16cid:durableId="1183057965">
    <w:abstractNumId w:val="2"/>
  </w:num>
  <w:num w:numId="8" w16cid:durableId="1334185993">
    <w:abstractNumId w:val="1"/>
  </w:num>
  <w:num w:numId="9" w16cid:durableId="20403251">
    <w:abstractNumId w:val="0"/>
  </w:num>
  <w:num w:numId="10" w16cid:durableId="1718973401">
    <w:abstractNumId w:val="9"/>
  </w:num>
  <w:num w:numId="11" w16cid:durableId="762842163">
    <w:abstractNumId w:val="10"/>
  </w:num>
  <w:num w:numId="12" w16cid:durableId="1236626816">
    <w:abstractNumId w:val="11"/>
  </w:num>
  <w:num w:numId="13" w16cid:durableId="874150519">
    <w:abstractNumId w:val="12"/>
  </w:num>
  <w:num w:numId="14" w16cid:durableId="704524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2D1"/>
    <w:rsid w:val="0015074B"/>
    <w:rsid w:val="0029639D"/>
    <w:rsid w:val="00297451"/>
    <w:rsid w:val="002A617D"/>
    <w:rsid w:val="002D6F61"/>
    <w:rsid w:val="002F5B9D"/>
    <w:rsid w:val="00313756"/>
    <w:rsid w:val="00326F90"/>
    <w:rsid w:val="003720D4"/>
    <w:rsid w:val="0040499B"/>
    <w:rsid w:val="00485B07"/>
    <w:rsid w:val="005134E3"/>
    <w:rsid w:val="00514406"/>
    <w:rsid w:val="00545D7D"/>
    <w:rsid w:val="005D5219"/>
    <w:rsid w:val="00634492"/>
    <w:rsid w:val="00751E6C"/>
    <w:rsid w:val="00765918"/>
    <w:rsid w:val="00860885"/>
    <w:rsid w:val="008B06F3"/>
    <w:rsid w:val="008C25B3"/>
    <w:rsid w:val="00970538"/>
    <w:rsid w:val="00991424"/>
    <w:rsid w:val="00A26932"/>
    <w:rsid w:val="00AA1D8D"/>
    <w:rsid w:val="00AA3BEA"/>
    <w:rsid w:val="00AD1C11"/>
    <w:rsid w:val="00B47730"/>
    <w:rsid w:val="00B53715"/>
    <w:rsid w:val="00C006A0"/>
    <w:rsid w:val="00CB0664"/>
    <w:rsid w:val="00CD4F95"/>
    <w:rsid w:val="00F624FE"/>
    <w:rsid w:val="00FC0C83"/>
    <w:rsid w:val="00FC693F"/>
    <w:rsid w:val="00FD6A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34708"/>
  <w14:defaultImageDpi w14:val="300"/>
  <w15:docId w15:val="{E5E350FE-81AC-408C-A9FB-DEB9CDD7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344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D27CE10-3FFB-45E2-BED3-250CA624E0D7}">
  <we:reference id="wa200010453" version="1.0.0.1" store="en-US" storeType="OMEX"/>
  <we:alternateReferences>
    <we:reference id="WA200010453" version="1.0.0.1" store="" storeType="OMEX"/>
  </we:alternateReferences>
  <we:properties>
    <we:property name="claude.fileId" value="&quot;1fc23944-7d23-4855-bd7a-cc174c26568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02FAA41-0A84-4649-B370-C221A0CDEFB3}">
  <we:reference id="wa200000368" version="1.0.0.0" store="en-US" storeType="OMEX"/>
  <we:alternateReferences>
    <we:reference id="WA200000368" version="1.0.0.0" store="" storeType="OMEX"/>
  </we:alternateReferences>
  <we:properties>
    <we:property name="documentId" value="&quot;928636f4ae17f15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42</Pages>
  <Words>7064</Words>
  <Characters>40267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QM640 Synopsis - Pollution-Prevention Actions and Next-Year Toxic Release Reduction</vt:lpstr>
    </vt:vector>
  </TitlesOfParts>
  <Manager/>
  <Company/>
  <LinksUpToDate>false</LinksUpToDate>
  <CharactersWithSpaces>47237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Synopsis - Pollution-Prevention Actions and Next-Year Toxic Release Reduction</dc:title>
  <dc:subject>QM640 Data Analytics Capstone Synopsis</dc:subject>
  <dc:creator>Somnath Das</dc:creator>
  <cp:keywords/>
  <dc:description>generated by python-docx</dc:description>
  <cp:lastModifiedBy>Somnath Das</cp:lastModifiedBy>
  <cp:revision>8</cp:revision>
  <cp:lastPrinted>2026-07-19T03:51:00Z</cp:lastPrinted>
  <dcterms:created xsi:type="dcterms:W3CDTF">2026-07-13T17:09:00Z</dcterms:created>
  <dcterms:modified xsi:type="dcterms:W3CDTF">2026-07-19T03:58:00Z</dcterms:modified>
  <cp:category/>
</cp:coreProperties>
</file>