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Arial Unicode MS" w:hint="eastAsia"/>
          <w:b/>
          <w:color w:val="2E74B5"/>
          <w:sz w:val="19"/>
          <w:lang w:val="zh-CN" w:eastAsia="zh-CN"/>
        </w:rPr>
        <w:t>PROJECT HANDOFF · CURRENT STATE</w:t>
      </w:r>
    </w:p>
    <w:p>
      <w:pPr>
        <w:spacing w:before="0" w:after="120"/>
      </w:pPr>
      <w:r>
        <w:rPr>
          <w:rFonts w:ascii="Calibri" w:hAnsi="Calibri" w:eastAsia="Arial Unicode MS" w:hint="eastAsia"/>
          <w:b/>
          <w:color w:val="0B2545"/>
          <w:sz w:val="48"/>
          <w:lang w:val="zh-CN" w:eastAsia="zh-CN"/>
        </w:rPr>
        <w:t>滇界 V4 项目最新进展与开发交接</w:t>
      </w:r>
    </w:p>
    <w:p>
      <w:pPr>
        <w:spacing w:after="240"/>
      </w:pPr>
      <w:r>
        <w:rPr>
          <w:rFonts w:ascii="Calibri" w:hAnsi="Calibri" w:eastAsia="Arial Unicode MS" w:hint="eastAsia"/>
          <w:color w:val="5F6368"/>
          <w:sz w:val="25"/>
          <w:lang w:val="zh-CN" w:eastAsia="zh-CN"/>
        </w:rPr>
        <w:t>生产现状、代码分支、业务规则、数据快照与后续执行计划</w:t>
      </w:r>
    </w:p>
    <w:p>
      <w:pPr>
        <w:widowControl/>
        <w:spacing w:before="0" w:after="40" w:line="240" w:lineRule="auto"/>
        <w:ind w:left="72"/>
      </w:pPr>
      <w:r>
        <w:rPr>
          <w:rFonts w:ascii="Calibri" w:hAnsi="Calibri" w:eastAsia="Arial Unicode MS" w:hint="eastAsia"/>
          <w:color w:val="5F6368"/>
          <w:sz w:val="19"/>
          <w:lang w:val="zh-CN" w:eastAsia="zh-CN"/>
        </w:rPr>
        <w:t>更新时间：2026-07-20（Asia/Shanghai）</w:t>
      </w:r>
    </w:p>
    <w:p>
      <w:pPr>
        <w:widowControl/>
        <w:spacing w:before="0" w:after="40" w:line="240" w:lineRule="auto"/>
        <w:ind w:left="72"/>
      </w:pPr>
      <w:r>
        <w:rPr>
          <w:rFonts w:ascii="Calibri" w:hAnsi="Calibri" w:eastAsia="Arial Unicode MS" w:hint="eastAsia"/>
          <w:color w:val="5F6368"/>
          <w:sz w:val="19"/>
          <w:lang w:val="zh-CN" w:eastAsia="zh-CN"/>
        </w:rPr>
        <w:t>适用对象：项目负责人、总架构师、后端、前端、测试、运维及接手开发的 AI</w:t>
      </w:r>
    </w:p>
    <w:p>
      <w:pPr>
        <w:widowControl/>
        <w:spacing w:before="0" w:after="40" w:line="240" w:lineRule="auto"/>
        <w:ind w:left="72"/>
      </w:pPr>
      <w:r>
        <w:rPr>
          <w:rFonts w:ascii="Calibri" w:hAnsi="Calibri" w:eastAsia="Arial Unicode MS" w:hint="eastAsia"/>
          <w:color w:val="5F6368"/>
          <w:sz w:val="19"/>
          <w:lang w:val="zh-CN" w:eastAsia="zh-CN"/>
        </w:rPr>
        <w:t>工作区：</w:t>
      </w:r>
      <w:r>
        <w:rPr>
          <w:rFonts w:ascii="Consolas" w:hAnsi="Consolas" w:eastAsia="Arial Unicode MS" w:hint="eastAsia"/>
          <w:color w:val="1F4D78"/>
          <w:sz w:val="18"/>
          <w:lang w:val="zh-CN" w:eastAsia="zh-CN"/>
        </w:rPr>
        <w:t>/Users/somnusyi/Documents/Codex/dianjie-V4-rebuilt</w:t>
      </w:r>
    </w:p>
    <w:p>
      <w:pPr>
        <w:widowControl/>
        <w:spacing w:before="0" w:after="40" w:line="240" w:lineRule="auto"/>
        <w:ind w:left="72"/>
      </w:pPr>
      <w:r>
        <w:rPr>
          <w:rFonts w:ascii="Calibri" w:hAnsi="Calibri" w:eastAsia="Arial Unicode MS" w:hint="eastAsia"/>
          <w:color w:val="5F6368"/>
          <w:sz w:val="19"/>
          <w:lang w:val="zh-CN" w:eastAsia="zh-CN"/>
        </w:rPr>
        <w:t>生产入口：</w:t>
      </w:r>
      <w:r>
        <w:rPr>
          <w:rFonts w:ascii="Consolas" w:hAnsi="Consolas" w:eastAsia="Arial Unicode MS" w:hint="eastAsia"/>
          <w:color w:val="1F4D78"/>
          <w:sz w:val="18"/>
          <w:lang w:val="zh-CN" w:eastAsia="zh-CN"/>
        </w:rPr>
        <w:t>http://116.62.32.162:8080/v2/login</w:t>
      </w:r>
    </w:p>
    <w:p>
      <w:pPr>
        <w:widowControl/>
        <w:spacing w:before="0" w:after="40" w:line="240" w:lineRule="auto"/>
        <w:ind w:left="72"/>
      </w:pPr>
      <w:r>
        <w:rPr>
          <w:rFonts w:ascii="Calibri" w:hAnsi="Calibri" w:eastAsia="Arial Unicode MS" w:hint="eastAsia"/>
          <w:color w:val="5F6368"/>
          <w:sz w:val="19"/>
          <w:lang w:val="zh-CN" w:eastAsia="zh-CN"/>
        </w:rPr>
        <w:t>安全说明：本文不包含任何账号密码、数据库连接串、云密钥或员工个人凭证。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0. 接手者先读：当前最重要的结论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生产系统稳定在线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：生产应用提交为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0fabd1f4ecbfdada0fae829be4cd011489604583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，API、数据库、Web 和 CMB 辅助进程健康。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GitHub 与 Gitea 的 `main` 均为 `fedae92`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：该提交只比生产多一份五店上线文档；实际生产应用代码仍对应其父提交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0fabd1f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本地存在一条未部署的供应链加固分支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release/20260715-p0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当前为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e902b61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，包含 25 个相对共同基线的独有提交；它与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已分叉，不能直接当作生产最新代码部署。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禁止整分支覆盖或直接部署 release 分支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已新增 20 个独有提交和 62 条迁移，覆盖在线盘点、供应商库存模式、版本化 BOM、库存单位/成本、门店月结等；release 分支只有 56 条迁移。应将供应链加固提交逐项移植到最新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，解决冲突后完整回归。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生产已有两家启用门店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：瑶海店已真实运行；包河万达店已建档，但没有店长/厨师长账号、初始盘点基准和门店安全库存策略，尚不满足真实库存和日报扣库上线条件。</w:t>
      </w:r>
    </w:p>
    <w:p>
      <w:pPr>
        <w:numPr>
          <w:ilvl w:val="0"/>
          <w:numId w:val="910"/>
        </w:numPr>
      </w:pP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4–6 月经营数据已作为财务月结入库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：不会倒灌到日报或实时营业额。现有页面只能较方便地查看 6 月，4–5 月缺少历史月份入口，这是明确的展示待办。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1. 项目定位与目标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滇界 V4 是南京云洱之境餐饮集团使用的多角色、可扩展连锁餐饮经营管理系统。当前以合肥瑶海店为真实试点，正在向包河万达店及后续 5 家门店扩展。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系统的核心目标不是单独做一个“采购工具”或“库存表”，而是形成以下可信业务闭环：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门店按实时预估库存提出订货；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供应商接单、调整实发、配送；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门店现场验收并一次性确认差异；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实收形成门店入库和移动平均成本；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每日营业与菜品销量双表导入；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已发布 BOM 将销量换算成食材消耗；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盘点、门店报损和历史流水共同形成实时预估库存；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应付、对账、发票、付款、凭证和月结形成财务事实；</w:t>
      </w:r>
    </w:p>
    <w:p>
      <w:pPr>
        <w:numPr>
          <w:ilvl w:val="0"/>
          <w:numId w:val="91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老板、财务、总厨、店长、厨师长、供应商按各自权限使用同一套数据。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2. 版本、仓库与环境真相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2.1 版本矩阵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600"/>
        <w:gridCol w:w="1750"/>
        <w:gridCol w:w="1500"/>
        <w:gridCol w:w="45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对象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当前版本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状态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生产应用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0fabd1f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已部署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新店上线引导、单位/成本、BOM 生命周期、月结均已上线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GitHub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main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fedae92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已同步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比生产多一份五店上线说明文档，无应用代码差异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Gitea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main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fedae92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已同步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地址：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http://192.168.1.129:1606/weilun/dianjie-V4.git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主功能分支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feature/chef-bom-lifecycle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 /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fedae92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已同步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与远端 main 同点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本地供应链加固分支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release/20260715-p0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 /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e902b61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未合并、未部署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供应链并发、幂等、事务和审计加固候选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GitHub release 分支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origin/release/20260715-p0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 /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e46a646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落后本地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本地后续 14 个提交尚未推送</w:t>
            </w:r>
          </w:p>
        </w:tc>
      </w:tr>
    </w:tbl>
    <w:p>
      <w:pPr>
        <w:spacing w:after="40"/>
      </w:pP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共同分叉点为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f33d091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。相对该点，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有 20 个独有提交，release 分支有 25 个独有提交。当前工作区位于 release 分支，且存在用户业务文件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库存主数据映射审计_2026-07-15.xlsx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；该文件不得删除、修改或擅自加入 Git。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2.2 生产环境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服务器：阿里云 ECS，应用目录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/app/dianjie-v4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对外地址：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http://116.62.32.162:8080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生产进程：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dianjie-v4-api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dianjie-v4-web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dianjie-v4-cmb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均在线。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数据库：PostgreSQL，生产迁移账本 62 条，最后迁移完成时间为 2026-07-19 18:35（UTC+8）。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发布脚本：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scripts/deploy-worktree.sh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；包含部署锁、版本祖先检查、生产 DB/构建备份、迁移、构建上传、PM2 重启与健康检查。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当前证书和凭证轮换按负责人要求暂缓；未经授权不得自行处理。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2.3 本地开发环境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Web 常用入口：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http://localhost:3200/v2/login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API 常用入口：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http://127.0.0.1:4444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PostgreSQL：本机 Docker，常用端口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127.0.0.1:5434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集成测试必须使用名称以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_test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或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_ci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结尾的隔离数据库；测试保护器会拒绝连接业务库。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不要在正在运行的本地 Next.js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.next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目录直接做生产构建；使用干净 worktree 或项目安全构建脚本。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3. 技术架构</w:t>
      </w:r>
    </w:p>
    <w:p>
      <w:pPr>
        <w:widowControl/>
        <w:spacing w:before="0" w:after="160" w:line="240" w:lineRule="auto"/>
        <w:ind w:left="288" w:right="288"/>
        <w:shd w:fill="F2F4F7"/>
      </w:pPr>
      <w:r>
        <w:rPr>
          <w:rFonts w:ascii="Consolas" w:hAnsi="Consolas" w:eastAsia="Arial Unicode MS" w:hint="eastAsia"/>
          <w:color w:val="0B2545"/>
          <w:sz w:val="17"/>
          <w:lang w:val="zh-CN" w:eastAsia="zh-CN"/>
        </w:rPr>
        <w:t>浏览器 / PWA / Capacitor</w:t>
        <w:br/>
        <w:t xml:space="preserve">          │</w:t>
        <w:br/>
        <w:t xml:space="preserve">          ▼</w:t>
        <w:br/>
        <w:t xml:space="preserve"> Next.js 14 + React 18 + Tailwind</w:t>
        <w:br/>
        <w:t xml:space="preserve">          │ REST / JWT</w:t>
        <w:br/>
        <w:t xml:space="preserve">          ▼</w:t>
        <w:br/>
        <w:t xml:space="preserve"> Fastify 4 + TypeScript</w:t>
        <w:br/>
        <w:t xml:space="preserve">          │</w:t>
        <w:br/>
        <w:t xml:space="preserve">          ▼</w:t>
        <w:br/>
        <w:t xml:space="preserve"> Prisma 5 + PostgreSQL</w:t>
        <w:br/>
        <w:br/>
        <w:t>辅助能力：Redis / BullMQ、阿里云 OSS、CMB Python 服务、美团接口代码、企业微信代码、Sentry SDK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3.1 Monorepo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路径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apps/web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多角色 Web/PWA、移动端和财务 PC 页面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Fastify REST API、领域服务、导入器、调度与外部集成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apps/cmb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招行国密请求辅助服务；自动付款当前关闭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packages/db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Prisma schema、迁移、客户端和 seed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scripts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构建、部署、迁移核验、数据回填和专项验收脚本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3.2 必须保持的工程边界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多租户查询必须带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tenantId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；门店角色再限定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storeId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，供应商角色再限定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supplierId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金额使用 Prisma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Decimal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，禁止用 JavaScript 浮点累计关键财务金额。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状态、库存、金额、事件和审计日志应处于同一事务；失败必须全部回滚或可安全重试。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幂等键必须校验“同键同内容”，同键不同内容返回 409，不能静默返回旧结果。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历史单据读取冻结快照，商品改名、改分类、改价格不能改变历史单据。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微信和旧 Android WebView 禁止依赖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crypto.randomUUID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；使用项目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clientRequestId()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不得用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prisma db push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代替正式迁移。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不拆微服务；除 CMB 辅助服务外，继续保持模块化单体，先保证业务一致性。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4. 角色与主要工作台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800"/>
        <w:gridCol w:w="2000"/>
        <w:gridCol w:w="5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角色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主要职责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主要入口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老板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集团经营、门店、审批、资金和利润总览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/v2/boss/home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/v2/boss/stores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财务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各店、应付、发票、付款、凭证、月结与报表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/v2/finance/home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/v2/finance-pc/home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总厨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菜品档案、版本化 BOM、报损/差异仲裁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/v2/chef-director/home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/v2/chef-director/dishes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店长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营业、日报上传、实时库存、安全库存和门店运营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/v2/manager/home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/v2/manager/ops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厨师长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实时库存、订货、收货、盘点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/v2/chef/home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/v2/chef/inventory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普通厨师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门店业务协作；必须绑定门店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受角色路由限制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供应商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商品/分类、接单、实发、配送、库存与对账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/v2/supplier/home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管理员/工程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账号、门店和系统配置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/users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、工程工作台</w:t>
            </w:r>
          </w:p>
        </w:tc>
      </w:tr>
    </w:tbl>
    <w:p>
      <w:pPr>
        <w:spacing w:after="40"/>
      </w:pP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账号密码不写入交接文档。需要生产账号时由项目负责人通过安全渠道提供，或由管理员按最小权限新建。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5. 当前模块成熟度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600"/>
        <w:gridCol w:w="1750"/>
        <w:gridCol w:w="1500"/>
        <w:gridCol w:w="45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模块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生产状态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当前完成度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主要剩余事项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登录与权限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企微完整 SSO、生产测试账号治理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门店建档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新店资料校验、账号和盘点上线门槛自动化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订货单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将 release 分支的并发/幂等加固移植到 main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配送与实发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移植发货/送达审计原子性和重放校验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门店收货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持续真实 UAT；禁止事后补报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供应商商品/分类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移植分类并发加固；长期主数据模型评审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供应商库存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已上线，可配置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 xml:space="preserve">当前正式供应商为 </w:t>
            </w: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NOT_TRACKED</w:t>
            </w: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；做期初盘点后才切严格库存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门店预计库存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包河店缺初始基准；各店安全线尚未配置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在线盘点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生产尚无通过在线流程确认的盘点单；需真实 UAT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日报双表导入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每日连续使用、历史月份展示、异常提醒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菜品与 BOM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5 个待处理 BOM 任务；持续补齐规格和新菜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移动平均成本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高价值 SKU 单位换算复核、成本月末对账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月度利润/结账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已导入 4–6 月；缺历史月份查看入口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财务应付/发票/付款/凭证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已上线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中高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真实财务 UAT、release 分支凭证/事务加固整合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美团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代码存在、生产未启用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中低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平台审核、配置、门店映射、影子双跑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CMB 自动付款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服务在线、自动付款关闭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受控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必须获得业务授权后才能启用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监控与 CI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部分具备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中低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Sentry DSN、正式 CI、staging 和告警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6. 已确认且不得擅自改变的业务规则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6.1 订货、实发与收货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所有货物由供应商直接送门店，目前没有集团总仓。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一张订货单允许多次配送；每次配送生成独立配送单。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必须保留原始订货量、单价和金额；供应商改单必须由门店确认。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供应商发货前可以调整本次实发量；实发量决定配送金额和供应商库存扣减。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页面和接口必须区分订购量、实发量、实收量，以及订货金额、实发金额、应付金额。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门店必须在收货时一次性确认短缺、破损、变质、品质和证据；收货确认是供应商责任截止点。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收货确认后不得再向供应商补报，不建立“免费补送”；之后发现的问题进入门店内部报损或盘点差异。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到货差异应付按“合格实收数量 × 订货冻结单价”计算。</w:t>
      </w:r>
    </w:p>
    <w:p>
      <w:pPr>
        <w:numPr>
          <w:ilvl w:val="0"/>
          <w:numId w:val="912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已确认入库单的商品、数量、价格和应付不可直接倒改；非金额资料可做有审计的备注更正。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6.2 供应商库存与门店库存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供应商库存和门店库存是两本独立账。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供应商有物理库存、活动预占和可用库存：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可用 = 物理 - 活动预占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启用严格库存时，接单预占，取消/拒单释放，发货核销预占并扣物理库存。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未完成供应商期初盘点时使用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NOT_TRACKED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，不得因为系统库存为 0 阻断真实发货。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门店预计库存：最近可信盘点基准 + 后续确认实收入库 - BOM/人工消耗 - 门店内部报损。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门店盘点与供应商无关，不能生成供应商差异、应付调整或供应商库存变化。</w:t>
      </w:r>
    </w:p>
    <w:p>
      <w:pPr>
        <w:numPr>
          <w:ilvl w:val="0"/>
          <w:numId w:val="913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已确认盘点不可编辑；录错时整单冲销后重新盘点。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6.3 日报、菜品与 BOM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美团接口正式接入前，店长每天上午 11:00 前上传前一营业日两份 Excel：综合营业统计、菜品销售明细。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必须先预览再确认；确认后原子更新营业、菜品销量和可执行 BOM 库存消耗。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套餐不得作为最终扣库明细，应使用实际出货菜品。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退菜不补回库存；BOM 使用毛重口径。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百家蘸料不扣库存；赠品按对应库存商品直接扣减。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鲜鸡和冻品只能按已确认映射替代，不能模糊串货。</w:t>
      </w:r>
    </w:p>
    <w:p>
      <w:pPr>
        <w:numPr>
          <w:ilvl w:val="0"/>
          <w:numId w:val="914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菜品未建档或缺可执行 BOM 时可显式暂缓，进入总厨待办；补齐后幂等回补历史消耗。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7. 库存单位、成本与 BOM 模型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7.1 P1：采购单位与库存基础单位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商品保存采购单位、库存基础单位、每采购单位包含的基础单位数量和验证状态。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收货按采购单位录入；库存、BOM、消耗和门店安全线统一使用库存基础单位。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收货、消耗和报损保存单位/成本快照，主数据后改不影响历史。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已确认示例：生蚝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1 箱 = 18 个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；乌苏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1 箱 = 6 罐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生产共有 456 个商品单位合同：182 个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VERIFIED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，274 个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INFERRED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；其中启用商品 452 个。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7.2 P2：移动平均成本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收货后用剩余正库存与本次采购成本重算基础单位移动平均成本。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预估库存为负时，新收货成本成为新的可信成本，避免负库存放大成本。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日报 BOM 消耗和门店报损使用当时移动平均成本。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中间计算保留 6 位小数，业务单据金额最后统一四舍五入。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BOM 页面不再把不可靠的采购包装价格直接当作单份菜品成本。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8. 生产数据快照（2026-07-20 只读核验）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8.1 主数据与业务事实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指标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当前值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启用门店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活跃用户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18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启用供应商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启用商品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452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菜品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162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已发布 BOM 版本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135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已确认/已记账收货单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48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库存消耗记录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682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已确认日报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3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已确认财务月结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待处理 BOM 任务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5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已历史回补 BOM 任务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13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8.2 门店上线状态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650"/>
        <w:gridCol w:w="850"/>
        <w:gridCol w:w="1450"/>
        <w:gridCol w:w="1400"/>
        <w:gridCol w:w="1400"/>
        <w:gridCol w:w="26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门店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状态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账号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库存基准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安全库存策略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判断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DJ001 合肥瑶海店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运营中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店长 1、厨师长 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2026-07-13，167/167 项匹配，价值约 ¥31,649.59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尚无门店策略记录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已真实运行；需补重点 SKU 安全线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DJ002 合肥包河万达店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运营中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无已绑定店长/厨师长/厨师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无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无</w:t>
            </w:r>
          </w:p>
        </w:tc>
        <w:tc>
          <w:tcPr>
            <w:tcW w:type="dxa" w:w="2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b/>
                <w:color w:val="202124"/>
                <w:sz w:val="18"/>
                <w:lang w:val="zh-CN" w:eastAsia="zh-CN"/>
              </w:rPr>
              <w:t>未满足库存与日报上线门槛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8.3 已确认日报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600"/>
        <w:gridCol w:w="1750"/>
        <w:gridCol w:w="1500"/>
        <w:gridCol w:w="45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营业日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营业额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营业收入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订单量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2026-07-16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¥5,717.40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¥4,330.98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22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2026-07-17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¥7,468.50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¥6,065.28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27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2026-07-18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¥11,132.30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¥9,315.35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39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8.4 4–6 月财务月结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1600"/>
        <w:gridCol w:w="1750"/>
        <w:gridCol w:w="1500"/>
        <w:gridCol w:w="45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月份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财务营业收入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净利润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¥0.00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-¥550.50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2026-05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¥236,210.05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¥83,765.00</w:t>
            </w:r>
          </w:p>
        </w:tc>
        <w:tc>
          <w:tcPr>
            <w:tcW w:type="dxa" w:w="4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2026-06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¥239,639.47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-¥47,803.63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已确认</w:t>
            </w:r>
          </w:p>
        </w:tc>
      </w:tr>
    </w:tbl>
    <w:p>
      <w:pPr>
        <w:spacing w:after="40"/>
      </w:pP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这些数据保存在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store_monthly_closes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，用于对应月份的财务 P&amp;L，不会倒灌到日报或实时营业额。目前店长“营业 → 上月”可看到 6 月及“财务月结已确认”；4–5 月没有历史月份选择器，属于 P1 展示缺口。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9. 自动化验证证据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9.1 当前生产/main 证据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API 单元测试：24 个文件，121 项通过。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Web 单元测试：5 个文件，16 项通过。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PostgreSQL 集成测试：13 个文件，56 项通过。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新店专项流程：建店、账号门店绑定、安全库存、首次盘点和库存读取通过。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供应链专项流程：下单、接单、预占、发货、到货、实收、应付和争议通过。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干净 worktree 生产构建：API 成功，Web 142 个页面成功。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生产部署后 API、数据库、Web 及关键角色页面健康。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9.2 未合并 release 分支证据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API 单元测试：106/106。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PostgreSQL 集成测试：56/56。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Web 测试：13/13；前后端 TypeScript 检查通过。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从空库执行 release 的 56 条迁移并与 schema 对比为零差异。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真实 HTTP 流程覆盖创建订货、改单、发货、送达、收货的并发重放、审计失败回滚和状态竞争。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这些证据只证明 release 分支本身在其旧基线可用，</w:t>
      </w:r>
      <w:r>
        <w:rPr>
          <w:rFonts w:ascii="Calibri" w:hAnsi="Calibri" w:eastAsia="Arial Unicode MS" w:hint="eastAsia"/>
          <w:b/>
          <w:color w:val="202124"/>
          <w:sz w:val="22"/>
          <w:lang w:val="zh-CN" w:eastAsia="zh-CN"/>
        </w:rPr>
        <w:t>不能替代将其移植到当前 main 后的重新测试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10. 未合并供应链加固分支说明</w:t>
      </w:r>
    </w:p>
    <w:p>
      <w:pPr>
        <w:widowControl/>
        <w:spacing w:before="0" w:after="120" w:line="264" w:lineRule="auto"/>
      </w:pP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release/20260715-p0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的主要价值是加强供应链写入的一致性：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商品、数量、金额和状态输入边界；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分类创建、导入、排序和单品编辑的并发串行；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供应商入库批次编号并发；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收货确认、拒收、作废的状态竞争；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厨师验收与配送状态并发；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发货和送达业务事实与审计日志原子性；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订货创建、发货、改单的同键同内容幂等和并发回放；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操作日志失败时业务事实整体回滚。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推荐整合方式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从最新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origin/main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新建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integration/supply-hardening-main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按领域分组移植，不要把 release 分支整体合并后直接部署。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推荐顺序：输入边界 → 分类并发 → 收货状态机 → 配送审计 → 订货/发货/改单幂等。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每组解决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orders.ts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receipts.ts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products.ts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lossClaims.ts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与 main 新单位/成本/BOM/库存逻辑的冲突。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每组运行单元、集成、TypeScript 和专项 HTTP E2E。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最后在生产备份副本上执行全部 62 条 main 迁移和整合后 schema 核验。</w:t>
      </w:r>
    </w:p>
    <w:p>
      <w:pPr>
        <w:numPr>
          <w:ilvl w:val="0"/>
          <w:numId w:val="915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只有在 GitHub/Gitea main 同步、干净 worktree 构建和生产备份完成后部署。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11. 五店扩展的标准上线流程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每家店必须逐项完成后才能打开真实日报扣库：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财务创建门店主档，确认门店编号、名称、地址和开业状态。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管理员创建并绑定店长、厨师长账号；普通厨师账号也必须绑定门店。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厨师长完成开业初始全品项盘点并确认，建立第一条可信库存基准。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店长设置重点 SKU 的安全库存和补货目标。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用真实小额采购单跑通下单、接单、发货和收货，核对库存增加和移动平均成本。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上传首份日报，确认门店、日期、营业额、营业收入、订单、优惠、菜品映射和 BOM 无阻断问题。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确认日报后抽查至少 5 个高销量菜品的 BOM 扣减与库存余额。</w:t>
      </w:r>
    </w:p>
    <w:p>
      <w:pPr>
        <w:numPr>
          <w:ilvl w:val="0"/>
          <w:numId w:val="916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店长、厨师长和财务共同签字确认后，将门店从试运行切为正式运行。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当前包河万达店应立即从第 2 步开始，不应先上传真实日报。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12. 下一阶段任务优先级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P0：生产安全与第二店上线</w:t>
      </w:r>
    </w:p>
    <w:p>
      <w:pPr>
        <w:numPr>
          <w:ilvl w:val="0"/>
          <w:numId w:val="917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为 DJ002 创建并绑定店长、厨师长账号。</w:t>
      </w:r>
    </w:p>
    <w:p>
      <w:pPr>
        <w:numPr>
          <w:ilvl w:val="0"/>
          <w:numId w:val="917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导入并确认 DJ002 开业初始盘点；设置重点 SKU 安全线和补货目标。</w:t>
      </w:r>
    </w:p>
    <w:p>
      <w:pPr>
        <w:numPr>
          <w:ilvl w:val="0"/>
          <w:numId w:val="917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将 release 供应链加固逐组移植到最新 main，完成 62 迁移基线上的全量回归。</w:t>
      </w:r>
    </w:p>
    <w:p>
      <w:pPr>
        <w:numPr>
          <w:ilvl w:val="0"/>
          <w:numId w:val="917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给 4–6 月财务月结增加历史月份选择器和来源/差异说明。</w:t>
      </w:r>
    </w:p>
    <w:p>
      <w:pPr>
        <w:numPr>
          <w:ilvl w:val="0"/>
          <w:numId w:val="917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对生产 274 个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INFERRED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单位换算按销量、金额和混淆风险排序，优先人工确认高风险 SKU。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P1：业务完整性</w:t>
      </w:r>
    </w:p>
    <w:p>
      <w:pPr>
        <w:numPr>
          <w:ilvl w:val="0"/>
          <w:numId w:val="918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总厨处理 5 个待办 BOM，持续补齐新菜、规格菜和实际出货菜。</w:t>
      </w:r>
    </w:p>
    <w:p>
      <w:pPr>
        <w:numPr>
          <w:ilvl w:val="0"/>
          <w:numId w:val="918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为瑶海店配置重点商品安全库存，为后续店铺形成可复制模板。</w:t>
      </w:r>
    </w:p>
    <w:p>
      <w:pPr>
        <w:numPr>
          <w:ilvl w:val="0"/>
          <w:numId w:val="918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做连续 7 天“日报 → BOM → 库存 → 采购 → 收货 → 成本”真实对账。</w:t>
      </w:r>
    </w:p>
    <w:p>
      <w:pPr>
        <w:numPr>
          <w:ilvl w:val="0"/>
          <w:numId w:val="918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完成在线盘点生产 UAT：创建、录入、证据、提交、确认、冲销和历史查看。</w:t>
      </w:r>
    </w:p>
    <w:p>
      <w:pPr>
        <w:numPr>
          <w:ilvl w:val="0"/>
          <w:numId w:val="918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建立供应商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NOT_TRACKED → STRICT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的期初盘点、启用审批和回退规则。</w:t>
      </w:r>
    </w:p>
    <w:p>
      <w:pPr>
        <w:pStyle w:val="Heading2"/>
      </w:pPr>
      <w:r>
        <w:rPr>
          <w:rFonts w:ascii="Calibri" w:hAnsi="Calibri" w:eastAsia="Arial Unicode MS" w:hint="eastAsia"/>
          <w:color w:val="2E74B5"/>
          <w:sz w:val="26"/>
          <w:lang w:val="zh-CN" w:eastAsia="zh-CN"/>
        </w:rPr>
        <w:t>P2：规模化与外部集成</w:t>
      </w:r>
    </w:p>
    <w:p>
      <w:pPr>
        <w:numPr>
          <w:ilvl w:val="0"/>
          <w:numId w:val="919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美团接口审核、配置、门店映射和影子双跑；正式切换前保留人工日报核对。</w:t>
      </w:r>
    </w:p>
    <w:p>
      <w:pPr>
        <w:numPr>
          <w:ilvl w:val="0"/>
          <w:numId w:val="919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配置 Sentry、CI、staging、日志告警和数据质量日报。</w:t>
      </w:r>
    </w:p>
    <w:p>
      <w:pPr>
        <w:numPr>
          <w:ilvl w:val="0"/>
          <w:numId w:val="919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企业微信 HTTPS、域名、SSO 和通知 E2E。</w:t>
      </w:r>
    </w:p>
    <w:p>
      <w:pPr>
        <w:numPr>
          <w:ilvl w:val="0"/>
          <w:numId w:val="919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经业务授权后再做 CMB 自动付款影子验证；默认继续关闭。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13. 标准发布与回滚流程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确认目标提交已推送 GitHub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，并同步 Gitea。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使用独立部署 worktree，保证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git status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干净。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运行 API/Web 单元测试、隔离 PostgreSQL 集成测试、API build、Web TypeScript 与正式构建。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在生产备份副本上执行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prisma migrate deploy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和 schema 核验。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运行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scripts/deploy-worktree.sh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；不得绕过部署锁、版本祖先检查和自动备份。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部署后核验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/api/health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/v2/login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和各角色关键页面。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核对 PM2、迁移账本、错误日志增长、生产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.deployed-commit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。</w:t>
      </w:r>
    </w:p>
    <w:p>
      <w:pPr>
        <w:numPr>
          <w:ilvl w:val="0"/>
          <w:numId w:val="92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出现核心链路错误时，使用部署前数据库和构建备份按标准流程回滚；禁止手工改生产数据掩盖问题。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14. 关键文件索引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文件/目录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Arial Unicode MS" w:hint="eastAsia"/>
                <w:b/>
                <w:color w:val="0B2545"/>
                <w:sz w:val="19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packages/db/prisma/schema.prisma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数据模型唯一权威入口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packages/db/prisma/migrations/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正式迁移账本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apps/api/src/routes/orders.ts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订货、接单、发货和改单主路由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apps/api/src/routes/receipts.ts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收货、确认、拒收、作废和应付事实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apps/api/src/routes/inventory.ts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门店实时预估库存和策略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apps/api/src/routes/inventoryCounts.ts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在线盘点状态机和可信基准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apps/api/src/routes/dailyBusinessImports.ts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双表日报预览、确认和 BOM 扣减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apps/api/src/routes/dishes.ts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菜品、BOM 版本、发布和历史回补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apps/api/src/services/inventoryUnits.ts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采购单位/库存基础单位换算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apps/api/src/services/inventoryCosting.ts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移动平均成本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apps/api/src/services/storeInventory.ts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门店库存滚动计算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apps/api/src/routes/profit.ts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日报经营与财务月结利润口径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apps/api/tests/routes/supplyChainFlow.integration.test.ts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供应链 PostgreSQL 集成主测试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apps/api/tests/routes/newStoreOnboarding.integration.test.ts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新店上线专项测试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scripts/deploy-worktree.sh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标准生产部署入口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FIVE_STORE_ROLLOUT_READINESS_2026-07-19.md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五店上线门槛与上一轮验收记录（位于 main）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onsolas" w:hAnsi="Consolas" w:eastAsia="Arial Unicode MS" w:hint="eastAsia"/>
                <w:color w:val="1F4D78"/>
                <w:sz w:val="18"/>
                <w:lang w:val="zh-CN" w:eastAsia="zh-CN"/>
              </w:rPr>
              <w:t>SUPPLY_CHAIN_DECISIONS_2026-07-18.md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Arial Unicode MS" w:hint="eastAsia"/>
                <w:color w:val="202124"/>
                <w:sz w:val="18"/>
                <w:lang w:val="zh-CN" w:eastAsia="zh-CN"/>
              </w:rPr>
              <w:t>供应链已确认业务规则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15. 接手第一天建议清单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阅读本文、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SUPPLY_CHAIN_DECISIONS_2026-07-18.md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和 main 上的五店上线文档。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不改代码，先确认 GitHub main、Gitea main、生产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.deployed-commit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和当前工作区分支。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保护未跟踪的用户 Excel 文件，不做清理或批量提交。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从 </w:t>
      </w:r>
      <w:r>
        <w:rPr>
          <w:rFonts w:ascii="Consolas" w:hAnsi="Consolas" w:eastAsia="Arial Unicode MS" w:hint="eastAsia"/>
          <w:color w:val="1F4D78"/>
          <w:sz w:val="21"/>
          <w:lang w:val="zh-CN" w:eastAsia="zh-CN"/>
        </w:rPr>
        <w:t>origin/main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 xml:space="preserve"> 创建新的供应链整合分支，不直接在当前 release 分支继续堆功能。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先完成 DJ002 账号与初始库存资料收集；没有盘点时不进行真实库存扣减。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将 release 加固拆成可审查的小批次移植，每批测试后提交。</w:t>
      </w:r>
    </w:p>
    <w:p>
      <w:pPr>
        <w:numPr>
          <w:ilvl w:val="0"/>
          <w:numId w:val="921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所有生产操作先备份、后发布、再验收，并把提交号和验证结果写回交接记录。</w:t>
      </w:r>
    </w:p>
    <w:p>
      <w:pPr>
        <w:pStyle w:val="Heading1"/>
      </w:pPr>
      <w:r>
        <w:rPr>
          <w:rFonts w:ascii="Calibri" w:hAnsi="Calibri" w:eastAsia="Arial Unicode MS" w:hint="eastAsia"/>
          <w:color w:val="2E74B5"/>
          <w:sz w:val="32"/>
          <w:lang w:val="zh-CN" w:eastAsia="zh-CN"/>
        </w:rPr>
        <w:t>16. 交接完成标准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接手者只有在以下问题都能明确回答时，才算完成交接：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生产当前运行哪个提交，GitHub/Gitea main 又分别是什么？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为什么 release 分支不能直接部署？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供应商库存和门店库存为什么必须分账？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订购量、实发量、实收量和应付金额分别由什么决定？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日报确认如何通过 BOM 扣减库存，缺 BOM 时如何暂缓和回补？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新门店为什么必须先建账号、做初始盘点和安全库存？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4–6 月数据为什么不显示在实时营业额中？</w:t>
      </w:r>
    </w:p>
    <w:p>
      <w:pPr>
        <w:numPr>
          <w:ilvl w:val="0"/>
          <w:numId w:val="900"/>
        </w:numPr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如何运行隔离集成测试、标准部署和回滚？</w:t>
      </w:r>
    </w:p>
    <w:p>
      <w:pPr>
        <w:widowControl/>
        <w:spacing w:before="0" w:after="120" w:line="264" w:lineRule="auto"/>
      </w:pP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以上任一项不清楚，应先补齐理解和验证证据，再继续生产开发。</w:t>
      </w:r>
    </w:p>
    <w:p>
      <w:pPr>
        <w:spacing w:before="160" w:after="200" w:line="264" w:lineRule="auto"/>
        <w:ind w:left="216" w:right="216"/>
        <w:shd w:fill="FFF4E5"/>
        <w:pBdr>
          <w:left w:val="single" w:sz="18" w:space="8" w:color="B7791F"/>
        </w:pBdr>
      </w:pPr>
      <w:r>
        <w:rPr>
          <w:rFonts w:ascii="Calibri" w:hAnsi="Calibri" w:eastAsia="Arial Unicode MS" w:hint="eastAsia"/>
          <w:b/>
          <w:color w:val="7A5A00"/>
          <w:sz w:val="22"/>
          <w:lang w:val="zh-CN" w:eastAsia="zh-CN"/>
        </w:rPr>
        <w:t xml:space="preserve">交接底线  </w:t>
      </w:r>
      <w:r>
        <w:rPr>
          <w:rFonts w:ascii="Calibri" w:hAnsi="Calibri" w:eastAsia="Arial Unicode MS" w:hint="eastAsia"/>
          <w:color w:val="202124"/>
          <w:sz w:val="22"/>
          <w:lang w:val="zh-CN" w:eastAsia="zh-CN"/>
        </w:rPr>
        <w:t>任何人不得把未合并 release 分支直接覆盖生产，也不得在包河万达店缺少账号和初始盘点时启用真实库存扣减。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 w:hint="eastAsia"/>
        <w:color w:val="5F6368"/>
        <w:sz w:val="18"/>
        <w:lang w:val="zh-CN" w:eastAsia="zh-CN"/>
      </w:rPr>
      <w:t xml:space="preserve">第 </w:t>
    </w:r>
    <w:fldSimple w:instr="PAGE">
      <w:r>
        <w:rPr>
          <w:rFonts w:ascii="Calibri" w:hAnsi="Calibri"/>
          <w:color w:val="5F6368"/>
          <w:sz w:val="18"/>
        </w:rPr>
        <w:t>1</w:t>
      </w:r>
    </w:fldSimple>
    <w:r>
      <w:rPr>
        <w:rFonts w:ascii="Calibri" w:hAnsi="Calibri" w:eastAsia="Arial Unicode MS" w:hint="eastAsia"/>
        <w:color w:val="5F6368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rPr>
        <w:tblHeader w:val="true"/>
      </w:trP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Calibri" w:hAnsi="Calibri" w:eastAsia="Arial Unicode MS" w:hint="eastAsia"/>
              <w:b/>
              <w:color w:val="5F6368"/>
              <w:sz w:val="18"/>
              <w:lang w:val="zh-CN" w:eastAsia="zh-CN"/>
            </w:rPr>
            <w:t>滇界 V4 · 项目交接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Arial Unicode MS" w:hint="eastAsia"/>
              <w:color w:val="5F6368"/>
              <w:sz w:val="18"/>
              <w:lang w:val="zh-CN" w:eastAsia="zh-CN"/>
            </w:rPr>
            <w:t>内部技术文档 · 2026-07-20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9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00">
    <w:abstractNumId w:val="900"/>
  </w:num>
  <w:num w:numId="910">
    <w:abstractNumId w:val="901"/>
    <w:lvlOverride w:ilvl="0">
      <w:startOverride w:val="1"/>
    </w:lvlOverride>
  </w:num>
  <w:num w:numId="911">
    <w:abstractNumId w:val="901"/>
    <w:lvlOverride w:ilvl="0">
      <w:startOverride w:val="1"/>
    </w:lvlOverride>
  </w:num>
  <w:num w:numId="912">
    <w:abstractNumId w:val="901"/>
    <w:lvlOverride w:ilvl="0">
      <w:startOverride w:val="1"/>
    </w:lvlOverride>
  </w:num>
  <w:num w:numId="913">
    <w:abstractNumId w:val="901"/>
    <w:lvlOverride w:ilvl="0">
      <w:startOverride w:val="1"/>
    </w:lvlOverride>
  </w:num>
  <w:num w:numId="914">
    <w:abstractNumId w:val="901"/>
    <w:lvlOverride w:ilvl="0">
      <w:startOverride w:val="1"/>
    </w:lvlOverride>
  </w:num>
  <w:num w:numId="915">
    <w:abstractNumId w:val="901"/>
    <w:lvlOverride w:ilvl="0">
      <w:startOverride w:val="1"/>
    </w:lvlOverride>
  </w:num>
  <w:num w:numId="916">
    <w:abstractNumId w:val="901"/>
    <w:lvlOverride w:ilvl="0">
      <w:startOverride w:val="1"/>
    </w:lvlOverride>
  </w:num>
  <w:num w:numId="917">
    <w:abstractNumId w:val="901"/>
    <w:lvlOverride w:ilvl="0">
      <w:startOverride w:val="1"/>
    </w:lvlOverride>
  </w:num>
  <w:num w:numId="918">
    <w:abstractNumId w:val="901"/>
    <w:lvlOverride w:ilvl="0">
      <w:startOverride w:val="1"/>
    </w:lvlOverride>
  </w:num>
  <w:num w:numId="919">
    <w:abstractNumId w:val="901"/>
    <w:lvlOverride w:ilvl="0">
      <w:startOverride w:val="1"/>
    </w:lvlOverride>
  </w:num>
  <w:num w:numId="920">
    <w:abstractNumId w:val="901"/>
    <w:lvlOverride w:ilvl="0">
      <w:startOverride w:val="1"/>
    </w:lvlOverride>
  </w:num>
  <w:num w:numId="921">
    <w:abstractNumId w:val="9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滇界 V4 项目最新进展与开发交接</dc:title>
  <dc:subject>生产现状、代码分支、业务规则、数据快照与后续执行计划</dc:subject>
  <dc:creator>滇界 V4 项目组</dc:creator>
  <cp:keywords>滇界,V4,项目交接,供应链,库存,BOM,多门店</cp:keywords>
  <dc:description>Generated and visually verified on 2026-07-20.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