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  <w:r>
        <w:rPr>
          <w:rFonts w:ascii="Hiragino Sans GB" w:hAnsi="Hiragino Sans GB" w:eastAsia="Hiragino Sans GB" w:cs="Hiragino Sans GB"/>
          <w:b/>
          <w:color w:val="D97732"/>
          <w:sz w:val="30"/>
        </w:rPr>
        <w:t>滇界</w:t>
      </w:r>
    </w:p>
    <w:p>
      <w:pPr>
        <w:pStyle w:val="Title"/>
        <w:spacing w:before="200" w:after="160"/>
      </w:pPr>
      <w:r>
        <w:t>供应链全角色灰度测试使用手册</w:t>
      </w:r>
    </w:p>
    <w:p>
      <w:r>
        <w:rPr>
          <w:rFonts w:ascii="Hiragino Sans GB" w:hAnsi="Hiragino Sans GB" w:eastAsia="Hiragino Sans GB" w:cs="Hiragino Sans GB"/>
          <w:color w:val="365B7D"/>
          <w:sz w:val="26"/>
        </w:rPr>
        <w:t>上游供应商 → 总仓采购与收货 → 财务月结 → 总仓履约门店 → 门店验收</w:t>
      </w:r>
    </w:p>
    <w:p>
      <w:pPr>
        <w:spacing w:before="40" w:after="100"/>
        <w:pBdr>
          <w:bottom w:val="single" w:sz="8" w:space="1" w:color="D97732"/>
        </w:pBdr>
      </w:pPr>
    </w:p>
    <w:p>
      <w:pPr>
        <w:spacing w:before="360"/>
      </w:pPr>
    </w:p>
    <w:p>
      <w:pPr>
        <w:ind w:left="259"/>
      </w:pPr>
      <w:r>
        <w:rPr>
          <w:rFonts w:ascii="Hiragino Sans GB" w:hAnsi="Hiragino Sans GB" w:eastAsia="Hiragino Sans GB" w:cs="Hiragino Sans GB"/>
          <w:b/>
          <w:color w:val="23374D"/>
          <w:sz w:val="21"/>
        </w:rPr>
        <w:t xml:space="preserve">版本  </w:t>
      </w:r>
      <w:r>
        <w:rPr>
          <w:rFonts w:ascii="Hiragino Sans GB" w:hAnsi="Hiragino Sans GB" w:eastAsia="Hiragino Sans GB" w:cs="Hiragino Sans GB"/>
          <w:color w:val="1E1E1E"/>
          <w:sz w:val="21"/>
        </w:rPr>
        <w:t>V1.0</w:t>
      </w:r>
    </w:p>
    <w:p>
      <w:pPr>
        <w:ind w:left="259"/>
      </w:pPr>
      <w:r>
        <w:rPr>
          <w:rFonts w:ascii="Hiragino Sans GB" w:hAnsi="Hiragino Sans GB" w:eastAsia="Hiragino Sans GB" w:cs="Hiragino Sans GB"/>
          <w:b/>
          <w:color w:val="23374D"/>
          <w:sz w:val="21"/>
        </w:rPr>
        <w:t xml:space="preserve">发布日期  </w:t>
      </w:r>
      <w:r>
        <w:rPr>
          <w:rFonts w:ascii="Hiragino Sans GB" w:hAnsi="Hiragino Sans GB" w:eastAsia="Hiragino Sans GB" w:cs="Hiragino Sans GB"/>
          <w:color w:val="1E1E1E"/>
          <w:sz w:val="21"/>
        </w:rPr>
        <w:t>2026-09-17</w:t>
      </w:r>
    </w:p>
    <w:p>
      <w:pPr>
        <w:ind w:left="259"/>
      </w:pPr>
      <w:r>
        <w:rPr>
          <w:rFonts w:ascii="Hiragino Sans GB" w:hAnsi="Hiragino Sans GB" w:eastAsia="Hiragino Sans GB" w:cs="Hiragino Sans GB"/>
          <w:b/>
          <w:color w:val="23374D"/>
          <w:sz w:val="21"/>
        </w:rPr>
        <w:t xml:space="preserve">适用范围  </w:t>
      </w:r>
      <w:r>
        <w:rPr>
          <w:rFonts w:ascii="Hiragino Sans GB" w:hAnsi="Hiragino Sans GB" w:eastAsia="Hiragino Sans GB" w:cs="Hiragino Sans GB"/>
          <w:color w:val="1E1E1E"/>
          <w:sz w:val="21"/>
        </w:rPr>
        <w:t>预发布／灰度环境，不直接操作生产正式账</w:t>
      </w:r>
    </w:p>
    <w:p>
      <w:pPr>
        <w:ind w:left="259"/>
      </w:pPr>
      <w:r>
        <w:rPr>
          <w:rFonts w:ascii="Hiragino Sans GB" w:hAnsi="Hiragino Sans GB" w:eastAsia="Hiragino Sans GB" w:cs="Hiragino Sans GB"/>
          <w:b/>
          <w:color w:val="23374D"/>
          <w:sz w:val="21"/>
        </w:rPr>
        <w:t xml:space="preserve">适用角色  </w:t>
      </w:r>
      <w:r>
        <w:rPr>
          <w:rFonts w:ascii="Hiragino Sans GB" w:hAnsi="Hiragino Sans GB" w:eastAsia="Hiragino Sans GB" w:cs="Hiragino Sans GB"/>
          <w:color w:val="1E1E1E"/>
          <w:sz w:val="21"/>
        </w:rPr>
        <w:t>供应链采购、总仓验收、第二复核人、上游供应商、财务、厨师长／门店</w:t>
      </w:r>
    </w:p>
    <w:p>
      <w:pPr>
        <w:ind w:left="259"/>
      </w:pPr>
      <w:r>
        <w:rPr>
          <w:rFonts w:ascii="Hiragino Sans GB" w:hAnsi="Hiragino Sans GB" w:eastAsia="Hiragino Sans GB" w:cs="Hiragino Sans GB"/>
          <w:b/>
          <w:color w:val="23374D"/>
          <w:sz w:val="21"/>
        </w:rPr>
        <w:t xml:space="preserve">验证依据  </w:t>
      </w:r>
      <w:r>
        <w:rPr>
          <w:rFonts w:ascii="Hiragino Sans GB" w:hAnsi="Hiragino Sans GB" w:eastAsia="Hiragino Sans GB" w:cs="Hiragino Sans GB"/>
          <w:color w:val="1E1E1E"/>
          <w:sz w:val="21"/>
        </w:rPr>
        <w:t>2026-09-17 最新候选版本全角色端到端测试 5/5 通过</w:t>
      </w:r>
    </w:p>
    <w:p>
      <w:pPr>
        <w:spacing w:before="640"/>
        <w:jc w:val="center"/>
      </w:pPr>
      <w:r>
        <w:rPr>
          <w:rFonts w:ascii="Hiragino Sans GB" w:hAnsi="Hiragino Sans GB" w:eastAsia="Hiragino Sans GB" w:cs="Hiragino Sans GB"/>
          <w:b/>
          <w:color w:val="23374D"/>
          <w:sz w:val="24"/>
        </w:rPr>
        <w:t>灰度测试目标</w:t>
      </w:r>
    </w:p>
    <w:p>
      <w:pPr>
        <w:ind w:left="936" w:right="936"/>
        <w:jc w:val="center"/>
      </w:pPr>
      <w:r>
        <w:rPr>
          <w:rFonts w:ascii="Hiragino Sans GB" w:hAnsi="Hiragino Sans GB" w:eastAsia="Hiragino Sans GB" w:cs="Hiragino Sans GB"/>
          <w:color w:val="1E1E1E"/>
          <w:sz w:val="22"/>
        </w:rPr>
        <w:t>确认每个角色能够完成自己的任务，同时不能越权；确认每张业务单据都能追溯，库存数量、库存价值和供应商应付金额最终一致。</w:t>
      </w:r>
    </w:p>
    <w:p>
      <w:pPr>
        <w:spacing w:before="800"/>
        <w:jc w:val="center"/>
      </w:pPr>
      <w:r>
        <w:rPr>
          <w:rFonts w:ascii="Hiragino Sans GB" w:hAnsi="Hiragino Sans GB" w:eastAsia="Hiragino Sans GB" w:cs="Hiragino Sans GB"/>
          <w:color w:val="666666"/>
          <w:sz w:val="18"/>
        </w:rPr>
        <w:t>内部灰度使用  ·  请测试人员按文末清单逐项签字</w:t>
      </w:r>
    </w:p>
    <w:p>
      <w:pPr>
        <w:pStyle w:val="Heading1"/>
        <w:keepNext/>
        <w:pageBreakBefore/>
      </w:pPr>
      <w:r>
        <w:t>如何使用本手册</w:t>
      </w:r>
    </w:p>
    <w:p>
      <w:r>
        <w:rPr>
          <w:rFonts w:ascii="Hiragino Sans GB" w:hAnsi="Hiragino Sans GB" w:eastAsia="Hiragino Sans GB" w:cs="Hiragino Sans GB"/>
          <w:color w:val="1E1E1E"/>
        </w:rPr>
        <w:t>本手册既是操作说明，也是灰度验收记录。每个角色只执行属于自己的章节，并在“角色验收记录”中填写实际单号、结果和问题编号。</w:t>
      </w:r>
    </w:p>
    <w:p>
      <w:pPr>
        <w:pStyle w:val="Heading2"/>
        <w:keepNext/>
        <w:pageBreakBefore w:val="0"/>
      </w:pPr>
      <w:r>
        <w:t>测试前准备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5CF"/>
          <w:left w:val="single" w:sz="6" w:space="0" w:color="D7D5CF"/>
          <w:bottom w:val="single" w:sz="6" w:space="0" w:color="D7D5CF"/>
          <w:right w:val="single" w:sz="6" w:space="0" w:color="D7D5CF"/>
          <w:insideH w:val="single" w:sz="6" w:space="0" w:color="D7D5CF"/>
          <w:insideV w:val="single" w:sz="6" w:space="0" w:color="D7D5CF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04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8"/>
              </w:rPr>
              <w:t>灰度环境地址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37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8"/>
              </w:rPr>
              <w:t>租户／组织</w:t>
            </w:r>
          </w:p>
        </w:tc>
        <w:tc>
          <w:tcPr>
            <w:tcW w:type="dxa" w:w="770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8"/>
              </w:rPr>
              <w:t>灰度开始日期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8"/>
              </w:rPr>
              <w:t>________ 年 ____ 月 ____ 日</w:t>
            </w:r>
          </w:p>
        </w:tc>
      </w:tr>
      <w:tr>
        <w:trPr>
          <w:cantSplit/>
        </w:trPr>
        <w:tc>
          <w:tcPr>
            <w:tcW w:type="dxa" w:w="237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8"/>
              </w:rPr>
              <w:t>测试负责人</w:t>
            </w:r>
          </w:p>
        </w:tc>
        <w:tc>
          <w:tcPr>
            <w:tcW w:type="dxa" w:w="770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8"/>
              </w:rPr>
              <w:t>问题收集位置</w:t>
            </w:r>
          </w:p>
        </w:tc>
        <w:tc>
          <w:tcPr>
            <w:tcW w:type="dxa" w:w="77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8"/>
              </w:rPr>
              <w:t>群／表单／看板：________________________</w:t>
            </w:r>
          </w:p>
        </w:tc>
      </w:tr>
    </w:tbl>
    <w:p>
      <w:pPr>
        <w:spacing w:after="20"/>
      </w:pP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每个角色使用独立账号；供应链、供应商、财务、门店不要共用同一个浏览器登录态。建议分别使用不同浏览器或无痕窗口。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测试数据统一加前缀“灰度-日期-角色”，例如“灰度-0917-蔬菜供应商”，避免与正式业务混淆。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灰度期间每生成一张采购单、发货单、收货单、差异单、对账单，都要抄录单号。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若页面长时间“处理中”，先记录单号并刷新核对状态，不要连续点击同一提交按钮。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截图来自 2026-09-17 最新本地候选版，灰度环境中的数据、单号和数量会不同，按钮和状态应一致。</w:t>
      </w:r>
    </w:p>
    <w:p>
      <w:pPr>
        <w:ind w:left="115" w:right="115"/>
        <w:pBdr>
          <w:left w:val="single" w:sz="20" w:space="6" w:color="D97732"/>
        </w:pBdr>
      </w:pPr>
      <w:r>
        <w:rPr>
          <w:rFonts w:ascii="Hiragino Sans GB" w:hAnsi="Hiragino Sans GB" w:eastAsia="Hiragino Sans GB" w:cs="Hiragino Sans GB"/>
          <w:b/>
          <w:color w:val="D97732"/>
        </w:rPr>
        <w:t xml:space="preserve">边界  </w:t>
      </w:r>
      <w:r>
        <w:rPr>
          <w:rFonts w:ascii="Hiragino Sans GB" w:hAnsi="Hiragino Sans GB" w:eastAsia="Hiragino Sans GB" w:cs="Hiragino Sans GB"/>
          <w:color w:val="1E1E1E"/>
        </w:rPr>
        <w:t>本轮验证的是“上游供应商全部送总仓、总仓再履约门店”。外部供应商不能直接出现在门店订货供应商列表。发票付款、跨期调整和站外消息推送不属于本轮放行范围。</w:t>
      </w:r>
    </w:p>
    <w:p>
      <w:pPr>
        <w:pStyle w:val="Heading2"/>
        <w:keepNext/>
        <w:pageBreakBefore w:val="0"/>
      </w:pPr>
      <w:r>
        <w:t>全流程与角色交接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5CF"/>
          <w:left w:val="single" w:sz="6" w:space="0" w:color="D7D5CF"/>
          <w:bottom w:val="single" w:sz="6" w:space="0" w:color="D7D5CF"/>
          <w:right w:val="single" w:sz="6" w:space="0" w:color="D7D5CF"/>
          <w:insideH w:val="single" w:sz="6" w:space="0" w:color="D7D5CF"/>
          <w:insideV w:val="single" w:sz="6" w:space="0" w:color="D7D5CF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232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责任角色</w:t>
            </w:r>
          </w:p>
        </w:tc>
        <w:tc>
          <w:tcPr>
            <w:tcW w:type="dxa" w:w="4176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完成标志</w:t>
            </w:r>
          </w:p>
        </w:tc>
        <w:tc>
          <w:tcPr>
            <w:tcW w:type="dxa" w:w="1872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下一角色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供应商准入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供应链采购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档案启用、负责人账号激活、商品与单位绑定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1800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合同与下单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供应链采购</w:t>
            </w:r>
          </w:p>
        </w:tc>
        <w:tc>
          <w:tcPr>
            <w:tcW w:type="dxa" w:w="417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合同生效、采购单已发送供应商</w:t>
            </w:r>
          </w:p>
        </w:tc>
        <w:tc>
          <w:tcPr>
            <w:tcW w:type="dxa" w:w="187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供应商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接单与发货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上游供应商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已接单／改单已审核、发货单已发车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总仓</w:t>
            </w:r>
          </w:p>
        </w:tc>
      </w:tr>
      <w:tr>
        <w:trPr>
          <w:cantSplit/>
        </w:trPr>
        <w:tc>
          <w:tcPr>
            <w:tcW w:type="dxa" w:w="1800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到货与入库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总仓验收／复核</w:t>
            </w:r>
          </w:p>
        </w:tc>
        <w:tc>
          <w:tcPr>
            <w:tcW w:type="dxa" w:w="417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普通单已入库；高风险单第二人复核后入库</w:t>
            </w:r>
          </w:p>
        </w:tc>
        <w:tc>
          <w:tcPr>
            <w:tcW w:type="dxa" w:w="187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供应链／财务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差异处理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供应商＋供应链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接受差异或仲裁办结，扣款进入对账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财务</w:t>
            </w:r>
          </w:p>
        </w:tc>
      </w:tr>
      <w:tr>
        <w:trPr>
          <w:cantSplit/>
        </w:trPr>
        <w:tc>
          <w:tcPr>
            <w:tcW w:type="dxa" w:w="1800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月度结算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供应链＋供应商＋财务</w:t>
            </w:r>
          </w:p>
        </w:tc>
        <w:tc>
          <w:tcPr>
            <w:tcW w:type="dxa" w:w="417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双方确认、财务锁定</w:t>
            </w:r>
          </w:p>
        </w:tc>
        <w:tc>
          <w:tcPr>
            <w:tcW w:type="dxa" w:w="187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门店订货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厨师长＋总仓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门店下单、总仓接单发货并送达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门店</w:t>
            </w:r>
          </w:p>
        </w:tc>
      </w:tr>
      <w:tr>
        <w:trPr>
          <w:cantSplit/>
        </w:trPr>
        <w:tc>
          <w:tcPr>
            <w:tcW w:type="dxa" w:w="1800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门店验收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厨师长／门店</w:t>
            </w:r>
          </w:p>
        </w:tc>
        <w:tc>
          <w:tcPr>
            <w:tcW w:type="dxa" w:w="417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确认收货，门店库存增加</w:t>
            </w:r>
          </w:p>
        </w:tc>
        <w:tc>
          <w:tcPr>
            <w:tcW w:type="dxa" w:w="187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完成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本轮必须保存的证据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供应商档案与负责人激活成功截图。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供货商品的采购单位、换算比和协议价。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采购单、发货单、收货单、差异单、对账单编号。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异常验收数量与照片／视频证据。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财务锁定状态和门店最终确认收货状态。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任何权限错误、超时、重复单据或库存不一致的页面截图。</w:t>
      </w:r>
    </w:p>
    <w:p>
      <w:pPr>
        <w:pStyle w:val="Heading1"/>
        <w:keepNext/>
        <w:pageBreakBefore/>
      </w:pPr>
      <w:r>
        <w:t>角色一 供应链采购与总仓验收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3374D"/>
          <w:left w:val="single" w:sz="8" w:space="0" w:color="23374D"/>
          <w:bottom w:val="single" w:sz="8" w:space="0" w:color="23374D"/>
          <w:right w:val="single" w:sz="8" w:space="0" w:color="23374D"/>
          <w:insideH w:val="single" w:sz="8" w:space="0" w:color="23374D"/>
          <w:insideV w:val="single" w:sz="8" w:space="0" w:color="23374D"/>
        </w:tblBorders>
      </w:tblPr>
      <w:tblGrid>
        <w:gridCol w:w="3427"/>
        <w:gridCol w:w="3427"/>
        <w:gridCol w:w="3427"/>
      </w:tblGrid>
      <w:tr>
        <w:tc>
          <w:tcPr>
            <w:tcW w:type="dxa" w:w="2088"/>
            <w:tcMar>
              <w:top w:w="120" w:type="dxa"/>
              <w:start w:w="110" w:type="dxa"/>
              <w:bottom w:w="120" w:type="dxa"/>
              <w:end w:w="110" w:type="dxa"/>
            </w:tcMar>
            <w:shd w:fill="23374D"/>
          </w:tcPr>
          <w:p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角色</w:t>
              <w:br/>
            </w: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供应链采购／总仓</w:t>
            </w:r>
          </w:p>
        </w:tc>
        <w:tc>
          <w:tcPr>
            <w:tcW w:type="dxa" w:w="4824"/>
            <w:tcMar>
              <w:top w:w="120" w:type="dxa"/>
              <w:start w:w="110" w:type="dxa"/>
              <w:bottom w:w="120" w:type="dxa"/>
              <w:end w:w="110" w:type="dxa"/>
            </w:tcMar>
            <w:shd w:fill="EEF3F7"/>
          </w:tcPr>
          <w:p>
            <w:r>
              <w:rPr>
                <w:rFonts w:ascii="Hiragino Sans GB" w:hAnsi="Hiragino Sans GB" w:eastAsia="Hiragino Sans GB" w:cs="Hiragino Sans GB"/>
                <w:b/>
                <w:color w:val="365B7D"/>
                <w:sz w:val="16"/>
              </w:rPr>
              <w:t>主要任务</w:t>
              <w:br/>
            </w:r>
            <w:r>
              <w:rPr>
                <w:rFonts w:ascii="Hiragino Sans GB" w:hAnsi="Hiragino Sans GB" w:eastAsia="Hiragino Sans GB" w:cs="Hiragino Sans GB"/>
                <w:b w:val="0"/>
                <w:color w:val="1E1E1E"/>
                <w:sz w:val="18"/>
              </w:rPr>
              <w:t>供应商准入、合同、采购、收货、差异、对账、门店履约</w:t>
            </w:r>
          </w:p>
        </w:tc>
        <w:tc>
          <w:tcPr>
            <w:tcW w:type="dxa" w:w="3168"/>
            <w:tcMar>
              <w:top w:w="120" w:type="dxa"/>
              <w:start w:w="110" w:type="dxa"/>
              <w:bottom w:w="120" w:type="dxa"/>
              <w:end w:w="110" w:type="dxa"/>
            </w:tcMar>
            <w:shd w:fill="EEF3F7"/>
          </w:tcPr>
          <w:p>
            <w:r>
              <w:rPr>
                <w:rFonts w:ascii="Hiragino Sans GB" w:hAnsi="Hiragino Sans GB" w:eastAsia="Hiragino Sans GB" w:cs="Hiragino Sans GB"/>
                <w:b/>
                <w:color w:val="365B7D"/>
                <w:sz w:val="16"/>
              </w:rPr>
              <w:t>入口</w:t>
              <w:br/>
            </w:r>
            <w:r>
              <w:rPr>
                <w:rFonts w:ascii="Hiragino Sans GB" w:hAnsi="Hiragino Sans GB" w:eastAsia="Hiragino Sans GB" w:cs="Hiragino Sans GB"/>
                <w:b w:val="0"/>
                <w:color w:val="1E1E1E"/>
                <w:sz w:val="18"/>
              </w:rPr>
              <w:t>/v2/login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1 登录并查看工作台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打开灰度环境普通登录页，输入分配的供应链账号。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首次登录按引导完成“统一供应链工作台”和“跨店数据边界”。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在工作台查看“上游供应商协同待处理”，点击“去处理”进入上游采购。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能看到上游待办数量；只能看到本租户业务；点击待办可进入正确业务页。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测试账号、登录时间、待办数量。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4507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upply-chain-workbench-0-105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0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1  供应链工作台入口与上游采购待办</w:t>
      </w:r>
    </w:p>
    <w:p>
      <w:pPr>
        <w:pStyle w:val="Heading3"/>
        <w:keepNext/>
        <w:pageBreakBefore w:val="0"/>
      </w:pPr>
      <w:r>
        <w:t>2 新建上游供应商并邀请负责人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进入“上游供应商”，点击“新增上游供应商”。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填写供应商编号、全称、负责人姓名、电话、经营类目和账期，保存。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在右侧“上游供应商档案”核对状态为“启用中”。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点击“生成负责人邀请链接”，复制链接并单独发给该供应商负责人。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新增成功；该供应商被标记为总仓上游供应商；邀请链接生成且只交给对应负责人。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供应商编号、供应商名称、负责人手机号、邀请生成时间。</w:t>
      </w:r>
    </w:p>
    <w:p>
      <w:pPr>
        <w:ind w:left="115" w:right="115"/>
        <w:pBdr>
          <w:left w:val="single" w:sz="20" w:space="6" w:color="D97732"/>
        </w:pBdr>
      </w:pPr>
      <w:r>
        <w:rPr>
          <w:rFonts w:ascii="Hiragino Sans GB" w:hAnsi="Hiragino Sans GB" w:eastAsia="Hiragino Sans GB" w:cs="Hiragino Sans GB"/>
          <w:b/>
          <w:color w:val="D97732"/>
        </w:rPr>
        <w:t xml:space="preserve">注意  </w:t>
      </w:r>
      <w:r>
        <w:rPr>
          <w:rFonts w:ascii="Hiragino Sans GB" w:hAnsi="Hiragino Sans GB" w:eastAsia="Hiragino Sans GB" w:cs="Hiragino Sans GB"/>
          <w:color w:val="1E1E1E"/>
        </w:rPr>
        <w:t>邀请链接包含登录权限，请不要发到公共群。门店履约供应商不会显示在本页；新建的上游供应商也不应直接出现在门店下单列表。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94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01-new-supplier-crea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94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2  新供应商建档成功，右侧可管理商品并生成邀请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94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02-owner-invite-crea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94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3  负责人邀请链接已生成</w:t>
      </w:r>
    </w:p>
    <w:p>
      <w:pPr>
        <w:pStyle w:val="Heading3"/>
        <w:keepNext/>
        <w:pageBreakBefore w:val="0"/>
      </w:pPr>
      <w:r>
        <w:t>3 绑定供货商品、采购单位和价格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在供应商档案点击“管理供货商品 →”。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点击“添加商品”，按名称或编码搜索商品并勾选。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填写采购单位、换算比、协议价；确认后点击“确认绑定”。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核对列表中的采购单位、换算比和协议价。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商品只绑定一次；采购单位与库存单位换算正确。例如“1 箱 = 10 kg”，采购 2 箱入库应增加 20 kg。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商品名称／编码、采购单位、换算比、协议价。</w:t>
      </w:r>
    </w:p>
    <w:p>
      <w:pPr>
        <w:ind w:left="115" w:right="115"/>
        <w:pBdr>
          <w:left w:val="single" w:sz="20" w:space="6" w:color="D97732"/>
        </w:pBdr>
      </w:pPr>
      <w:r>
        <w:rPr>
          <w:rFonts w:ascii="Hiragino Sans GB" w:hAnsi="Hiragino Sans GB" w:eastAsia="Hiragino Sans GB" w:cs="Hiragino Sans GB"/>
          <w:b/>
          <w:color w:val="D97732"/>
        </w:rPr>
        <w:t xml:space="preserve">注意  </w:t>
      </w:r>
      <w:r>
        <w:rPr>
          <w:rFonts w:ascii="Hiragino Sans GB" w:hAnsi="Hiragino Sans GB" w:eastAsia="Hiragino Sans GB" w:cs="Hiragino Sans GB"/>
          <w:color w:val="1E1E1E"/>
        </w:rPr>
        <w:t>这里是最重要的库存口径。单位或换算不确定时不得继续下单，应先让商品负责人确认。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940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05-product-source-boun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94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4  商品绑定后展示采购单位、换算比和协议价</w:t>
      </w:r>
    </w:p>
    <w:p>
      <w:pPr>
        <w:pStyle w:val="Heading3"/>
        <w:keepNext/>
        <w:pageBreakBefore w:val="0"/>
      </w:pPr>
      <w:r>
        <w:t>4 建立并启用合同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进入“上游采购”，选择“合同与价格”，点击“新建合同”。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选择供应商，填写合同编号、合同名称、有效期、结算方式和商品价格。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点击“保存合同草稿”，复核无误后点击“启用合同”。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合同状态为“生效中”；启用后价格、采购单位和换算作为订单快照保存。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合同编号、有效期、结算周期、含税口径。</w:t>
      </w:r>
    </w:p>
    <w:p>
      <w:pPr>
        <w:ind w:left="115" w:right="115"/>
        <w:pBdr>
          <w:left w:val="single" w:sz="20" w:space="6" w:color="D97732"/>
        </w:pBdr>
      </w:pPr>
      <w:r>
        <w:rPr>
          <w:rFonts w:ascii="Hiragino Sans GB" w:hAnsi="Hiragino Sans GB" w:eastAsia="Hiragino Sans GB" w:cs="Hiragino Sans GB"/>
          <w:b/>
          <w:color w:val="D97732"/>
        </w:rPr>
        <w:t xml:space="preserve">注意  </w:t>
      </w:r>
      <w:r>
        <w:rPr>
          <w:rFonts w:ascii="Hiragino Sans GB" w:hAnsi="Hiragino Sans GB" w:eastAsia="Hiragino Sans GB" w:cs="Hiragino Sans GB"/>
          <w:color w:val="1E1E1E"/>
        </w:rPr>
        <w:t>合同启用后不要直接覆盖历史；变更应通过新合同或订单改单保留记录。</w:t>
      </w:r>
    </w:p>
    <w:p>
      <w:pPr>
        <w:pStyle w:val="Heading3"/>
        <w:keepNext/>
        <w:pageBreakBefore w:val="0"/>
      </w:pPr>
      <w:r>
        <w:t>5 新建、审核并发送采购单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切换到“采购单”，点击“新建采购单”。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选择已生效合同和收货总仓，填写各商品订购数量及期望到货时间。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点击“保存采购单草稿”，再次核对供应商、仓库、单位、数量和金额。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点击“提交审核”，再由有权限人员点击“审核并发送”。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页面提示“采购单已发送供应商”，采购单进入供应商待接单列表。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采购单号、供应商、期望到货日、含税总额。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94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rder-sent-to-suppli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94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5  采购单发送成功后的上游采购页面</w:t>
      </w:r>
    </w:p>
    <w:p>
      <w:pPr>
        <w:pStyle w:val="Heading3"/>
        <w:keepNext/>
        <w:pageBreakBefore w:val="0"/>
      </w:pPr>
      <w:r>
        <w:t>6 审核供应商改单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在采购单列表找到“供应商改单待审核”的订单。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对比原数量／到货日与供应商申请内容，核对原因。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接受时点击“接受改单”；不接受时驳回并说明原因。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接受后重新核对采购单数量和金额。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只允许一个批准版本生效；原版本和申请原因仍可追溯。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采购单号、改单版本、原值、新值、审核人。</w:t>
      </w:r>
    </w:p>
    <w:p>
      <w:pPr>
        <w:ind w:left="115" w:right="115"/>
        <w:pBdr>
          <w:left w:val="single" w:sz="20" w:space="6" w:color="D97732"/>
        </w:pBdr>
      </w:pPr>
      <w:r>
        <w:rPr>
          <w:rFonts w:ascii="Hiragino Sans GB" w:hAnsi="Hiragino Sans GB" w:eastAsia="Hiragino Sans GB" w:cs="Hiragino Sans GB"/>
          <w:b/>
          <w:color w:val="D97732"/>
        </w:rPr>
        <w:t xml:space="preserve">注意  </w:t>
      </w:r>
      <w:r>
        <w:rPr>
          <w:rFonts w:ascii="Hiragino Sans GB" w:hAnsi="Hiragino Sans GB" w:eastAsia="Hiragino Sans GB" w:cs="Hiragino Sans GB"/>
          <w:color w:val="1E1E1E"/>
        </w:rPr>
        <w:t>供应商不能直接覆盖采购单。数量、规格或到货日有变化必须走改单。</w:t>
      </w:r>
    </w:p>
    <w:p>
      <w:pPr>
        <w:pStyle w:val="Heading3"/>
        <w:keepNext/>
        <w:pageBreakBefore w:val="0"/>
      </w:pPr>
      <w:r>
        <w:t>7 登记到货并完成验收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收到供应商发车通知后，在“采购单”或工作台找到对应发货单，点击“登记到货”。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按商品填写实到、合格、破损、拒收数量；短缺由系统根据发货量计算。补充批次、生产日期、到期日和证据。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点击“生成收货单”，在收货卡片点击“开始验收”。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普通收货复核数量后点击“确认验收”。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5.</w:t>
      </w:r>
      <w:r>
        <w:rPr>
          <w:rFonts w:ascii="Hiragino Sans GB" w:hAnsi="Hiragino Sans GB" w:eastAsia="Hiragino Sans GB" w:cs="Hiragino Sans GB"/>
        </w:rPr>
        <w:t xml:space="preserve">  确认状态为“已入库”，再核对总仓库存数量和库存价值。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只把合格数量写入总仓；破损、拒收和短缺形成差异；一张收货单只入账一次。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发货单号、收货单号、实到／合格／破损／拒收／短缺数量、批次。</w:t>
      </w:r>
    </w:p>
    <w:p>
      <w:pPr>
        <w:ind w:left="115" w:right="115"/>
        <w:pBdr>
          <w:left w:val="single" w:sz="20" w:space="6" w:color="D97732"/>
        </w:pBdr>
      </w:pPr>
      <w:r>
        <w:rPr>
          <w:rFonts w:ascii="Hiragino Sans GB" w:hAnsi="Hiragino Sans GB" w:eastAsia="Hiragino Sans GB" w:cs="Hiragino Sans GB"/>
          <w:b/>
          <w:color w:val="D97732"/>
        </w:rPr>
        <w:t xml:space="preserve">注意  </w:t>
      </w:r>
      <w:r>
        <w:rPr>
          <w:rFonts w:ascii="Hiragino Sans GB" w:hAnsi="Hiragino Sans GB" w:eastAsia="Hiragino Sans GB" w:cs="Hiragino Sans GB"/>
          <w:color w:val="1E1E1E"/>
        </w:rPr>
        <w:t>数量必须满足：实到 = 合格 + 破损 + 拒收；短缺 = 发货 - 实到。不要把临期商品直接当成供应商报损，临期／使用损耗属于后续内部库存处理。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49343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warehouse-receipt-posted-3300-445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934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6  收货单状态、收货后补报入口和冲销入口</w:t>
      </w:r>
    </w:p>
    <w:p>
      <w:pPr>
        <w:pStyle w:val="Heading3"/>
        <w:keepNext/>
        <w:pageBreakBefore w:val="0"/>
      </w:pPr>
      <w:r>
        <w:t>8 高风险收货由第二人复核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若订单金额超过配置阈值，或存在超收、临时价格、敏感品类，验收后状态会变为“待复核”。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验收人停止操作，将收货单号交给独立复核人。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复核人使用自己的账号进入“到货验收”，点击“第二人复核入库”。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复核人必须与验收人不同；同一人复核会被系统拒绝；复核成功后库存才入账。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收货单号、验收人、复核人、触发原因。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51477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high-risk-receipt-pending-review-5650-685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47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7  高风险收货显示“待复核”和“第二人复核入库”</w:t>
      </w:r>
    </w:p>
    <w:p>
      <w:pPr>
        <w:pStyle w:val="Heading3"/>
        <w:keepNext/>
        <w:pageBreakBefore w:val="0"/>
      </w:pPr>
      <w:r>
        <w:t>9 处理到货差异与收货后补报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收货时产生的短缺、破损或质量问题会自动进入“到货差异”。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已收货后拆包发现隐藏异常，可在原收货单点击“收货后补报异常”。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选择具体商品和数量，填写原因并上传照片／视频，点击“提交补报”。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等待供应商接受或提出异议。供应商接受后，供应链核对责任并办结；如供应商提出异议，点击“转仲裁”，再按核实结果确认责任。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差异只结算一次；若已入库，确认补报后产生损耗／退货类流水，不改写原收货历史；扣款进入月度对账。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差异单号、关联收货单、差异类型、数量、金额、证据。</w:t>
      </w:r>
    </w:p>
    <w:p>
      <w:pPr>
        <w:ind w:left="115" w:right="115"/>
        <w:pBdr>
          <w:left w:val="single" w:sz="20" w:space="6" w:color="D97732"/>
        </w:pBdr>
      </w:pPr>
      <w:r>
        <w:rPr>
          <w:rFonts w:ascii="Hiragino Sans GB" w:hAnsi="Hiragino Sans GB" w:eastAsia="Hiragino Sans GB" w:cs="Hiragino Sans GB"/>
          <w:b/>
          <w:color w:val="D97732"/>
        </w:rPr>
        <w:t xml:space="preserve">注意  </w:t>
      </w:r>
      <w:r>
        <w:rPr>
          <w:rFonts w:ascii="Hiragino Sans GB" w:hAnsi="Hiragino Sans GB" w:eastAsia="Hiragino Sans GB" w:cs="Hiragino Sans GB"/>
          <w:color w:val="1E1E1E"/>
        </w:rPr>
        <w:t>“收货后补报”只用于到货时已存在但拆包后才发现的异常。临期、日常使用损耗、盘点差异不向供应商索赔。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940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st-receipt-claim-creat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94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8  收货后补报提交后，系统提示等待供应商确认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940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claim-arbitrated-and-resolv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94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9  供应链完成仲裁并使差异进入对账</w:t>
      </w:r>
    </w:p>
    <w:p>
      <w:pPr>
        <w:pStyle w:val="Heading3"/>
        <w:keepNext/>
        <w:pageBreakBefore w:val="0"/>
      </w:pPr>
      <w:r>
        <w:t>10 生成并发送月度对账单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进入“月度对账”，选择供应商和结算周期。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点击“生成对账单”，核对合格收货金额、已办结扣款和净应付。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确认所有来源单号可追溯后，点击“发送供应商”。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净应付 = 合格收货金额 − 已办结供应商责任扣款；状态为“待供应商确认”。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对账单号、周期、收货金额、扣款、净应付。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940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atement-sen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94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10  对账单已发送供应商</w:t>
      </w:r>
    </w:p>
    <w:p>
      <w:pPr>
        <w:pStyle w:val="Heading3"/>
        <w:keepNext/>
        <w:pageBreakBefore w:val="0"/>
      </w:pPr>
      <w:r>
        <w:t>11 总仓履约门店订单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厨师长下单后，在“订单中心”找到待接单订单并核对门店、商品、数量和库存。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点击“接单”，按仓库拣货并生成配送／送货信息。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出发时确认发货，到店交接后点击“确认送达”。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等待门店确认收货，不得代替门店直接完成验收。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订单进度依次为已发起、已接单、在途、送达；商品出库从总仓可用库存扣减并有单据追溯。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门店采购单号、配送单号、发货时间、送达时间。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940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11-warehouse-order-delivere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94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11  总仓已送达，等待门店确认收货</w:t>
      </w:r>
    </w:p>
    <w:p>
      <w:pPr>
        <w:pStyle w:val="Heading3"/>
        <w:keepNext/>
        <w:pageBreakBefore w:val="0"/>
      </w:pPr>
      <w:r>
        <w:t>12 冲销错误收货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仅在确实验错、尚未被后续出库或消耗时，找到已入库收货单。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点击“冲销收货”，确认冲销原因和影响。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冲销后核对原入库流水仍保留，同时新增等量反向流水。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收货状态变为已冲销；数量和价值净变化归零；已经被消耗的批次不能整单冲销。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收货单号、冲销原因、正反流水编号。</w:t>
      </w:r>
    </w:p>
    <w:p>
      <w:pPr>
        <w:ind w:left="115" w:right="115"/>
        <w:pBdr>
          <w:left w:val="single" w:sz="20" w:space="6" w:color="D97732"/>
        </w:pBdr>
      </w:pPr>
      <w:r>
        <w:rPr>
          <w:rFonts w:ascii="Hiragino Sans GB" w:hAnsi="Hiragino Sans GB" w:eastAsia="Hiragino Sans GB" w:cs="Hiragino Sans GB"/>
          <w:b/>
          <w:color w:val="D97732"/>
        </w:rPr>
        <w:t xml:space="preserve">注意  </w:t>
      </w:r>
      <w:r>
        <w:rPr>
          <w:rFonts w:ascii="Hiragino Sans GB" w:hAnsi="Hiragino Sans GB" w:eastAsia="Hiragino Sans GB" w:cs="Hiragino Sans GB"/>
          <w:color w:val="1E1E1E"/>
        </w:rPr>
        <w:t>冲销是高风险纠错操作，不能用来规避差异流程。库存已被使用时，应通过盘点／调整流程处理。</w:t>
      </w:r>
    </w:p>
    <w:p>
      <w:pPr>
        <w:pStyle w:val="Heading1"/>
        <w:keepNext/>
        <w:pageBreakBefore/>
      </w:pPr>
      <w:r>
        <w:t>角色二 上游供应商负责人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3374D"/>
          <w:left w:val="single" w:sz="8" w:space="0" w:color="23374D"/>
          <w:bottom w:val="single" w:sz="8" w:space="0" w:color="23374D"/>
          <w:right w:val="single" w:sz="8" w:space="0" w:color="23374D"/>
          <w:insideH w:val="single" w:sz="8" w:space="0" w:color="23374D"/>
          <w:insideV w:val="single" w:sz="8" w:space="0" w:color="23374D"/>
        </w:tblBorders>
      </w:tblPr>
      <w:tblGrid>
        <w:gridCol w:w="3427"/>
        <w:gridCol w:w="3427"/>
        <w:gridCol w:w="3427"/>
      </w:tblGrid>
      <w:tr>
        <w:tc>
          <w:tcPr>
            <w:tcW w:type="dxa" w:w="2088"/>
            <w:tcMar>
              <w:top w:w="120" w:type="dxa"/>
              <w:start w:w="110" w:type="dxa"/>
              <w:bottom w:w="120" w:type="dxa"/>
              <w:end w:w="110" w:type="dxa"/>
            </w:tcMar>
            <w:shd w:fill="23374D"/>
          </w:tcPr>
          <w:p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角色</w:t>
              <w:br/>
            </w: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上游供应商负责人</w:t>
            </w:r>
          </w:p>
        </w:tc>
        <w:tc>
          <w:tcPr>
            <w:tcW w:type="dxa" w:w="4824"/>
            <w:tcMar>
              <w:top w:w="120" w:type="dxa"/>
              <w:start w:w="110" w:type="dxa"/>
              <w:bottom w:w="120" w:type="dxa"/>
              <w:end w:w="110" w:type="dxa"/>
            </w:tcMar>
            <w:shd w:fill="EEF3F7"/>
          </w:tcPr>
          <w:p>
            <w:r>
              <w:rPr>
                <w:rFonts w:ascii="Hiragino Sans GB" w:hAnsi="Hiragino Sans GB" w:eastAsia="Hiragino Sans GB" w:cs="Hiragino Sans GB"/>
                <w:b/>
                <w:color w:val="365B7D"/>
                <w:sz w:val="16"/>
              </w:rPr>
              <w:t>主要任务</w:t>
              <w:br/>
            </w:r>
            <w:r>
              <w:rPr>
                <w:rFonts w:ascii="Hiragino Sans GB" w:hAnsi="Hiragino Sans GB" w:eastAsia="Hiragino Sans GB" w:cs="Hiragino Sans GB"/>
                <w:b w:val="0"/>
                <w:color w:val="1E1E1E"/>
                <w:sz w:val="18"/>
              </w:rPr>
              <w:t>激活账号、接单／改单、发货、差异、月结</w:t>
            </w:r>
          </w:p>
        </w:tc>
        <w:tc>
          <w:tcPr>
            <w:tcW w:type="dxa" w:w="3168"/>
            <w:tcMar>
              <w:top w:w="120" w:type="dxa"/>
              <w:start w:w="110" w:type="dxa"/>
              <w:bottom w:w="120" w:type="dxa"/>
              <w:end w:w="110" w:type="dxa"/>
            </w:tcMar>
            <w:shd w:fill="EEF3F7"/>
          </w:tcPr>
          <w:p>
            <w:r>
              <w:rPr>
                <w:rFonts w:ascii="Hiragino Sans GB" w:hAnsi="Hiragino Sans GB" w:eastAsia="Hiragino Sans GB" w:cs="Hiragino Sans GB"/>
                <w:b/>
                <w:color w:val="365B7D"/>
                <w:sz w:val="16"/>
              </w:rPr>
              <w:t>入口</w:t>
              <w:br/>
            </w:r>
            <w:r>
              <w:rPr>
                <w:rFonts w:ascii="Hiragino Sans GB" w:hAnsi="Hiragino Sans GB" w:eastAsia="Hiragino Sans GB" w:cs="Hiragino Sans GB"/>
                <w:b w:val="0"/>
                <w:color w:val="1E1E1E"/>
                <w:sz w:val="18"/>
              </w:rPr>
              <w:t>/v2/login（手机优先）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1 激活账号并首次登录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打开供应链人员单独发送的负责人邀请链接。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填写姓名、手机号、密码和确认密码，点击“激活账号”。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看到“账号激活成功”后点击“去登录”。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用刚设置的手机号和密码登录，首次进入时完成“总仓采购订单”和“到货差异与月结”引导。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登录后进入“总仓采购”，只能看到本公司的采购单、发货单、差异单和对账单。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负责人姓名、手机号、激活时间。</w:t>
      </w:r>
    </w:p>
    <w:p>
      <w:pPr>
        <w:ind w:left="115" w:right="115"/>
        <w:pBdr>
          <w:left w:val="single" w:sz="20" w:space="6" w:color="D97732"/>
        </w:pBdr>
      </w:pPr>
      <w:r>
        <w:rPr>
          <w:rFonts w:ascii="Hiragino Sans GB" w:hAnsi="Hiragino Sans GB" w:eastAsia="Hiragino Sans GB" w:cs="Hiragino Sans GB"/>
          <w:b/>
          <w:color w:val="D97732"/>
        </w:rPr>
        <w:t xml:space="preserve">注意  </w:t>
      </w:r>
      <w:r>
        <w:rPr>
          <w:rFonts w:ascii="Hiragino Sans GB" w:hAnsi="Hiragino Sans GB" w:eastAsia="Hiragino Sans GB" w:cs="Hiragino Sans GB"/>
          <w:color w:val="1E1E1E"/>
        </w:rPr>
        <w:t>如果能看到其他供应商的单据，属于最高优先级权限问题，应立即停止测试并上报。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14600" cy="539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03-owner-account-activate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3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12  供应商负责人账号激活成功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14600" cy="539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04-owner-first-logi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3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13  供应商“总仓采购”首页及四类业务页签</w:t>
      </w:r>
    </w:p>
    <w:p>
      <w:pPr>
        <w:pStyle w:val="Heading3"/>
        <w:keepNext/>
        <w:pageBreakBefore w:val="0"/>
      </w:pPr>
      <w:r>
        <w:t>2 接单或提出改单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进入“待接采购单”，打开采购单，核对商品、采购单位、数量、价格和期望到仓日期。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能够按原单履约时点击“确认接单”。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数量、规格或到货期有变化时点击“申请改单”，填写原因和申请数量／日期，再点击“提交改单申请”。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等待采购方接受后再发货。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确认接单后可新建发货单；改单后显示“等待采购方审核”，未经批准的值不会覆盖原单。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采购单号、接单时间；如改单，记录原因和申请值。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14600" cy="75501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upplier-change-propose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55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14  供应商提交改单申请并等待采购审核</w:t>
      </w:r>
    </w:p>
    <w:p>
      <w:pPr>
        <w:pStyle w:val="Heading3"/>
        <w:keepNext/>
        <w:pageBreakBefore w:val="0"/>
      </w:pPr>
      <w:r>
        <w:t>3 建立发货单并确认发车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在已接采购单点击“新建发货单”。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填写本次发货数量、承运／配送方、运单号；有批次和效期时一并填写。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点击“保存发货单草稿”，再次核对数量。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点击“确认发车”。需要分批履约时，每一批单独建立发货单，累计不得超过批准数量。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页面提示“已确认发车，等待总仓收货”；发货单进入“发货单”页签。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发货单号、采购单号、本批数量、运单号、发车时间。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14600" cy="539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07-first-shipment-dispatche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3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15  发货后系统提示等待总仓收货</w:t>
      </w:r>
    </w:p>
    <w:p>
      <w:pPr>
        <w:pStyle w:val="Heading3"/>
        <w:keepNext/>
        <w:pageBreakBefore w:val="0"/>
      </w:pPr>
      <w:r>
        <w:t>4 核对到货差异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在首页查看“待确认差异”数量，进入“到货差异”。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点击“立即核对”，查看差异类型、数量、金额和现场证据。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认可责任时填写说明并点击“接受差异”。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不认可时填写具体理由并点击“提出异议”，等待供应链仲裁。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每张差异单只能完成一次责任确认；接受后显示等待采购方办结；异议后进入仲裁。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差异单号、处理意见、处理人、时间。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14600" cy="695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upplier-accepted-claim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95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16  供应商接受差异并等待采购方办结</w:t>
      </w:r>
    </w:p>
    <w:p>
      <w:pPr>
        <w:pStyle w:val="Heading3"/>
        <w:keepNext/>
        <w:pageBreakBefore w:val="0"/>
      </w:pPr>
      <w:r>
        <w:t>5 确认月度对账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进入“月度对账”，打开待确认对账单。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逐项核对收货单、差异扣款和净应付金额。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无误后点击“确认对账”；有误时不要确认，记录具体来源单号并反馈供应链。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状态变为“月度对账已确认”，等待财务锁定。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对账单号、周期、净应付、确认人。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14600" cy="539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upplier-confirmed-statemen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3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17  供应商完成月度对账确认</w:t>
      </w:r>
    </w:p>
    <w:p>
      <w:pPr>
        <w:pStyle w:val="Heading1"/>
        <w:keepNext/>
        <w:pageBreakBefore/>
      </w:pPr>
      <w:r>
        <w:t>角色三 独立复核人员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3374D"/>
          <w:left w:val="single" w:sz="8" w:space="0" w:color="23374D"/>
          <w:bottom w:val="single" w:sz="8" w:space="0" w:color="23374D"/>
          <w:right w:val="single" w:sz="8" w:space="0" w:color="23374D"/>
          <w:insideH w:val="single" w:sz="8" w:space="0" w:color="23374D"/>
          <w:insideV w:val="single" w:sz="8" w:space="0" w:color="23374D"/>
        </w:tblBorders>
      </w:tblPr>
      <w:tblGrid>
        <w:gridCol w:w="3427"/>
        <w:gridCol w:w="3427"/>
        <w:gridCol w:w="3427"/>
      </w:tblGrid>
      <w:tr>
        <w:tc>
          <w:tcPr>
            <w:tcW w:type="dxa" w:w="2088"/>
            <w:tcMar>
              <w:top w:w="120" w:type="dxa"/>
              <w:start w:w="110" w:type="dxa"/>
              <w:bottom w:w="120" w:type="dxa"/>
              <w:end w:w="110" w:type="dxa"/>
            </w:tcMar>
            <w:shd w:fill="23374D"/>
          </w:tcPr>
          <w:p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角色</w:t>
              <w:br/>
            </w: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第二复核人</w:t>
            </w:r>
          </w:p>
        </w:tc>
        <w:tc>
          <w:tcPr>
            <w:tcW w:type="dxa" w:w="4824"/>
            <w:tcMar>
              <w:top w:w="120" w:type="dxa"/>
              <w:start w:w="110" w:type="dxa"/>
              <w:bottom w:w="120" w:type="dxa"/>
              <w:end w:w="110" w:type="dxa"/>
            </w:tcMar>
            <w:shd w:fill="EEF3F7"/>
          </w:tcPr>
          <w:p>
            <w:r>
              <w:rPr>
                <w:rFonts w:ascii="Hiragino Sans GB" w:hAnsi="Hiragino Sans GB" w:eastAsia="Hiragino Sans GB" w:cs="Hiragino Sans GB"/>
                <w:b/>
                <w:color w:val="365B7D"/>
                <w:sz w:val="16"/>
              </w:rPr>
              <w:t>主要任务</w:t>
              <w:br/>
            </w:r>
            <w:r>
              <w:rPr>
                <w:rFonts w:ascii="Hiragino Sans GB" w:hAnsi="Hiragino Sans GB" w:eastAsia="Hiragino Sans GB" w:cs="Hiragino Sans GB"/>
                <w:b w:val="0"/>
                <w:color w:val="1E1E1E"/>
                <w:sz w:val="18"/>
              </w:rPr>
              <w:t>独立核对高风险收货后入库</w:t>
            </w:r>
          </w:p>
        </w:tc>
        <w:tc>
          <w:tcPr>
            <w:tcW w:type="dxa" w:w="3168"/>
            <w:tcMar>
              <w:top w:w="120" w:type="dxa"/>
              <w:start w:w="110" w:type="dxa"/>
              <w:bottom w:w="120" w:type="dxa"/>
              <w:end w:w="110" w:type="dxa"/>
            </w:tcMar>
            <w:shd w:fill="EEF3F7"/>
          </w:tcPr>
          <w:p>
            <w:r>
              <w:rPr>
                <w:rFonts w:ascii="Hiragino Sans GB" w:hAnsi="Hiragino Sans GB" w:eastAsia="Hiragino Sans GB" w:cs="Hiragino Sans GB"/>
                <w:b/>
                <w:color w:val="365B7D"/>
                <w:sz w:val="16"/>
              </w:rPr>
              <w:t>入口</w:t>
              <w:br/>
            </w:r>
            <w:r>
              <w:rPr>
                <w:rFonts w:ascii="Hiragino Sans GB" w:hAnsi="Hiragino Sans GB" w:eastAsia="Hiragino Sans GB" w:cs="Hiragino Sans GB"/>
                <w:b w:val="0"/>
                <w:color w:val="1E1E1E"/>
                <w:sz w:val="18"/>
              </w:rPr>
              <w:t>/v2/login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执行第二人复核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使用与第一验收人不同的个人账号登录。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进入“上游采购 → 到货验收”，找到状态为“待复核”的收货单。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核对采购单、发货单、实到／合格／破损／拒收、价格、批次和现场证据。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核对无误后点击“第二人复核入库”。有疑问时停止并退回业务负责人核查。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页面提示“复核通过，库存已入账”；收货状态为“已入库”；复核人姓名与验收人不同。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收货单号、触发原因、验收人、复核人、复核时间。</w:t>
      </w:r>
    </w:p>
    <w:p>
      <w:pPr>
        <w:ind w:left="115" w:right="115"/>
        <w:pBdr>
          <w:left w:val="single" w:sz="20" w:space="6" w:color="D97732"/>
        </w:pBdr>
      </w:pPr>
      <w:r>
        <w:rPr>
          <w:rFonts w:ascii="Hiragino Sans GB" w:hAnsi="Hiragino Sans GB" w:eastAsia="Hiragino Sans GB" w:cs="Hiragino Sans GB"/>
          <w:b/>
          <w:color w:val="D97732"/>
        </w:rPr>
        <w:t xml:space="preserve">注意  </w:t>
      </w:r>
      <w:r>
        <w:rPr>
          <w:rFonts w:ascii="Hiragino Sans GB" w:hAnsi="Hiragino Sans GB" w:eastAsia="Hiragino Sans GB" w:cs="Hiragino Sans GB"/>
          <w:color w:val="1E1E1E"/>
        </w:rPr>
        <w:t>系统应禁止同一人完成验收和复核。若同一账号仍能复核成功，按 P0 上报。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396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independent-review-poste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9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18  第二人复核通过，库存完成入账</w:t>
      </w:r>
    </w:p>
    <w:p>
      <w:pPr>
        <w:pStyle w:val="Heading1"/>
        <w:keepNext/>
        <w:pageBreakBefore/>
      </w:pPr>
      <w:r>
        <w:t>角色四 财务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3374D"/>
          <w:left w:val="single" w:sz="8" w:space="0" w:color="23374D"/>
          <w:bottom w:val="single" w:sz="8" w:space="0" w:color="23374D"/>
          <w:right w:val="single" w:sz="8" w:space="0" w:color="23374D"/>
          <w:insideH w:val="single" w:sz="8" w:space="0" w:color="23374D"/>
          <w:insideV w:val="single" w:sz="8" w:space="0" w:color="23374D"/>
        </w:tblBorders>
      </w:tblPr>
      <w:tblGrid>
        <w:gridCol w:w="3427"/>
        <w:gridCol w:w="3427"/>
        <w:gridCol w:w="3427"/>
      </w:tblGrid>
      <w:tr>
        <w:tc>
          <w:tcPr>
            <w:tcW w:type="dxa" w:w="2088"/>
            <w:tcMar>
              <w:top w:w="120" w:type="dxa"/>
              <w:start w:w="110" w:type="dxa"/>
              <w:bottom w:w="120" w:type="dxa"/>
              <w:end w:w="110" w:type="dxa"/>
            </w:tcMar>
            <w:shd w:fill="23374D"/>
          </w:tcPr>
          <w:p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角色</w:t>
              <w:br/>
            </w: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财务</w:t>
            </w:r>
          </w:p>
        </w:tc>
        <w:tc>
          <w:tcPr>
            <w:tcW w:type="dxa" w:w="4824"/>
            <w:tcMar>
              <w:top w:w="120" w:type="dxa"/>
              <w:start w:w="110" w:type="dxa"/>
              <w:bottom w:w="120" w:type="dxa"/>
              <w:end w:w="110" w:type="dxa"/>
            </w:tcMar>
            <w:shd w:fill="EEF3F7"/>
          </w:tcPr>
          <w:p>
            <w:r>
              <w:rPr>
                <w:rFonts w:ascii="Hiragino Sans GB" w:hAnsi="Hiragino Sans GB" w:eastAsia="Hiragino Sans GB" w:cs="Hiragino Sans GB"/>
                <w:b/>
                <w:color w:val="365B7D"/>
                <w:sz w:val="16"/>
              </w:rPr>
              <w:t>主要任务</w:t>
              <w:br/>
            </w:r>
            <w:r>
              <w:rPr>
                <w:rFonts w:ascii="Hiragino Sans GB" w:hAnsi="Hiragino Sans GB" w:eastAsia="Hiragino Sans GB" w:cs="Hiragino Sans GB"/>
                <w:b w:val="0"/>
                <w:color w:val="1E1E1E"/>
                <w:sz w:val="18"/>
              </w:rPr>
              <w:t>复核双方已确认的月度对账并锁定</w:t>
            </w:r>
          </w:p>
        </w:tc>
        <w:tc>
          <w:tcPr>
            <w:tcW w:type="dxa" w:w="3168"/>
            <w:tcMar>
              <w:top w:w="120" w:type="dxa"/>
              <w:start w:w="110" w:type="dxa"/>
              <w:bottom w:w="120" w:type="dxa"/>
              <w:end w:w="110" w:type="dxa"/>
            </w:tcMar>
            <w:shd w:fill="EEF3F7"/>
          </w:tcPr>
          <w:p>
            <w:r>
              <w:rPr>
                <w:rFonts w:ascii="Hiragino Sans GB" w:hAnsi="Hiragino Sans GB" w:eastAsia="Hiragino Sans GB" w:cs="Hiragino Sans GB"/>
                <w:b/>
                <w:color w:val="365B7D"/>
                <w:sz w:val="16"/>
              </w:rPr>
              <w:t>入口</w:t>
              <w:br/>
            </w:r>
            <w:r>
              <w:rPr>
                <w:rFonts w:ascii="Hiragino Sans GB" w:hAnsi="Hiragino Sans GB" w:eastAsia="Hiragino Sans GB" w:cs="Hiragino Sans GB"/>
                <w:b w:val="0"/>
                <w:color w:val="1E1E1E"/>
                <w:sz w:val="18"/>
              </w:rPr>
              <w:t>/v2/finance-pc/login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复核并锁定上游采购对账单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打开财务工作台专用登录页，用财务账号登录。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进入“上游采购对账”，搜索供应商或对账单号。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仅处理状态为“双方已确认”的对账单。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核对结算周期、收货金额、差异扣款和净应付；净应付必须等于收货金额减扣款。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5.</w:t>
      </w:r>
      <w:r>
        <w:rPr>
          <w:rFonts w:ascii="Hiragino Sans GB" w:hAnsi="Hiragino Sans GB" w:eastAsia="Hiragino Sans GB" w:cs="Hiragino Sans GB"/>
        </w:rPr>
        <w:t xml:space="preserve">  点击“复核并锁定”，在确认框中再次确认。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状态变为“已锁定”；供应链账号不能执行锁定；锁定后历史金额不允许直接修改。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对账单号、收货金额、扣款、净应付、锁定人、锁定时间。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5930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finance-pending-lock-0-98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9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19  财务页面中双方已确认、待复核锁定的对账单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5930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finance-locked-0-98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59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20  财务锁定后的对账状态</w:t>
      </w:r>
    </w:p>
    <w:p>
      <w:pPr>
        <w:pStyle w:val="Heading1"/>
        <w:keepNext/>
        <w:pageBreakBefore/>
      </w:pPr>
      <w:r>
        <w:t>角色五 厨师长与门店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3374D"/>
          <w:left w:val="single" w:sz="8" w:space="0" w:color="23374D"/>
          <w:bottom w:val="single" w:sz="8" w:space="0" w:color="23374D"/>
          <w:right w:val="single" w:sz="8" w:space="0" w:color="23374D"/>
          <w:insideH w:val="single" w:sz="8" w:space="0" w:color="23374D"/>
          <w:insideV w:val="single" w:sz="8" w:space="0" w:color="23374D"/>
        </w:tblBorders>
      </w:tblPr>
      <w:tblGrid>
        <w:gridCol w:w="3427"/>
        <w:gridCol w:w="3427"/>
        <w:gridCol w:w="3427"/>
      </w:tblGrid>
      <w:tr>
        <w:tc>
          <w:tcPr>
            <w:tcW w:type="dxa" w:w="2088"/>
            <w:tcMar>
              <w:top w:w="120" w:type="dxa"/>
              <w:start w:w="110" w:type="dxa"/>
              <w:bottom w:w="120" w:type="dxa"/>
              <w:end w:w="110" w:type="dxa"/>
            </w:tcMar>
            <w:shd w:fill="23374D"/>
          </w:tcPr>
          <w:p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角色</w:t>
              <w:br/>
            </w: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厨师长／门店</w:t>
            </w:r>
          </w:p>
        </w:tc>
        <w:tc>
          <w:tcPr>
            <w:tcW w:type="dxa" w:w="4824"/>
            <w:tcMar>
              <w:top w:w="120" w:type="dxa"/>
              <w:start w:w="110" w:type="dxa"/>
              <w:bottom w:w="120" w:type="dxa"/>
              <w:end w:w="110" w:type="dxa"/>
            </w:tcMar>
            <w:shd w:fill="EEF3F7"/>
          </w:tcPr>
          <w:p>
            <w:r>
              <w:rPr>
                <w:rFonts w:ascii="Hiragino Sans GB" w:hAnsi="Hiragino Sans GB" w:eastAsia="Hiragino Sans GB" w:cs="Hiragino Sans GB"/>
                <w:b/>
                <w:color w:val="365B7D"/>
                <w:sz w:val="16"/>
              </w:rPr>
              <w:t>主要任务</w:t>
              <w:br/>
            </w:r>
            <w:r>
              <w:rPr>
                <w:rFonts w:ascii="Hiragino Sans GB" w:hAnsi="Hiragino Sans GB" w:eastAsia="Hiragino Sans GB" w:cs="Hiragino Sans GB"/>
                <w:b w:val="0"/>
                <w:color w:val="1E1E1E"/>
                <w:sz w:val="18"/>
              </w:rPr>
              <w:t>向内部供应链下单、查看物流、验收、补报到货异常</w:t>
            </w:r>
          </w:p>
        </w:tc>
        <w:tc>
          <w:tcPr>
            <w:tcW w:type="dxa" w:w="3168"/>
            <w:tcMar>
              <w:top w:w="120" w:type="dxa"/>
              <w:start w:w="110" w:type="dxa"/>
              <w:bottom w:w="120" w:type="dxa"/>
              <w:end w:w="110" w:type="dxa"/>
            </w:tcMar>
            <w:shd w:fill="EEF3F7"/>
          </w:tcPr>
          <w:p>
            <w:r>
              <w:rPr>
                <w:rFonts w:ascii="Hiragino Sans GB" w:hAnsi="Hiragino Sans GB" w:eastAsia="Hiragino Sans GB" w:cs="Hiragino Sans GB"/>
                <w:b/>
                <w:color w:val="365B7D"/>
                <w:sz w:val="16"/>
              </w:rPr>
              <w:t>入口</w:t>
              <w:br/>
            </w:r>
            <w:r>
              <w:rPr>
                <w:rFonts w:ascii="Hiragino Sans GB" w:hAnsi="Hiragino Sans GB" w:eastAsia="Hiragino Sans GB" w:cs="Hiragino Sans GB"/>
                <w:b w:val="0"/>
                <w:color w:val="1E1E1E"/>
                <w:sz w:val="18"/>
              </w:rPr>
              <w:t>/v2/login（手机优先）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1 发起门店采购单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进入“采购”，点击“发起新采购单”。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选择门店供货主体。列表中只能出现可履约门店的内部供应链／直供商，不能出现外部上游供应商。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点击“+ 添加商品”，选择商品并填写数量。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核对商品规格、单位、价格和总额，点击“提交采购单”。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订单状态为“已提交／待供应商接单”，生成门店采购单号；外部上游供应商不可见。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门店采购单号、供货主体、商品数量、总额。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14600" cy="539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10-store-order-submitte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3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21  门店采购单已提交，等待供应链接单</w:t>
      </w:r>
    </w:p>
    <w:p>
      <w:pPr>
        <w:pStyle w:val="Heading3"/>
        <w:keepNext/>
        <w:pageBreakBefore w:val="0"/>
      </w:pPr>
      <w:r>
        <w:t>2 查看配送并确认收货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打开采购单，查看物流进度“已发起 → 接单 → 在途 → 送达 → 验收”。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供应链标记送达后，现场核对商品、数量和状态。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无异常时点击“确认收货”。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4.</w:t>
      </w:r>
      <w:r>
        <w:rPr>
          <w:rFonts w:ascii="Hiragino Sans GB" w:hAnsi="Hiragino Sans GB" w:eastAsia="Hiragino Sans GB" w:cs="Hiragino Sans GB"/>
        </w:rPr>
        <w:t xml:space="preserve">  返回库存页面，核对门店库存增加数量与实收一致。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采购单显示“已完成”，物流五个节点全部完成，门店库存只增加一次。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采购单号、验收时间、验收人、入库数量。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14600" cy="539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12-store-receipt-complete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3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rFonts w:ascii="Hiragino Sans GB" w:hAnsi="Hiragino Sans GB" w:eastAsia="Hiragino Sans GB" w:cs="Hiragino Sans GB"/>
          <w:i/>
          <w:color w:val="666666"/>
          <w:sz w:val="17"/>
        </w:rPr>
        <w:t>图 22  门店确认收货完成，并保留“补报到货异常”入口</w:t>
      </w:r>
    </w:p>
    <w:p>
      <w:pPr>
        <w:pStyle w:val="Heading3"/>
        <w:keepNext/>
        <w:pageBreakBefore w:val="0"/>
      </w:pPr>
      <w:r>
        <w:t>3 收货后补报到货异常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1.</w:t>
      </w:r>
      <w:r>
        <w:rPr>
          <w:rFonts w:ascii="Hiragino Sans GB" w:hAnsi="Hiragino Sans GB" w:eastAsia="Hiragino Sans GB" w:cs="Hiragino Sans GB"/>
        </w:rPr>
        <w:t xml:space="preserve">  如拆包后发现到货时已存在的短缺、破损或品质异常，在原采购单点击“补报到货异常”。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2.</w:t>
      </w:r>
      <w:r>
        <w:rPr>
          <w:rFonts w:ascii="Hiragino Sans GB" w:hAnsi="Hiragino Sans GB" w:eastAsia="Hiragino Sans GB" w:cs="Hiragino Sans GB"/>
        </w:rPr>
        <w:t xml:space="preserve">  选择商品，填写异常数量和原因，上传清晰的照片／视频后提交。</w:t>
      </w:r>
    </w:p>
    <w:p>
      <w:pPr>
        <w:ind w:left="605" w:hanging="403"/>
      </w:pPr>
      <w:r>
        <w:rPr>
          <w:rFonts w:ascii="Hiragino Sans GB" w:hAnsi="Hiragino Sans GB" w:eastAsia="Hiragino Sans GB" w:cs="Hiragino Sans GB"/>
          <w:b/>
          <w:color w:val="23374D"/>
        </w:rPr>
        <w:t>3.</w:t>
      </w:r>
      <w:r>
        <w:rPr>
          <w:rFonts w:ascii="Hiragino Sans GB" w:hAnsi="Hiragino Sans GB" w:eastAsia="Hiragino Sans GB" w:cs="Hiragino Sans GB"/>
        </w:rPr>
        <w:t xml:space="preserve">  记录生成的差异／报损单号并等待供应链处理。</w:t>
      </w:r>
    </w:p>
    <w:p>
      <w:r>
        <w:rPr>
          <w:rFonts w:ascii="Hiragino Sans GB" w:hAnsi="Hiragino Sans GB" w:eastAsia="Hiragino Sans GB" w:cs="Hiragino Sans GB"/>
          <w:b/>
          <w:color w:val="2F7D5A"/>
        </w:rPr>
        <w:t>通过标准：</w:t>
      </w:r>
      <w:r>
        <w:rPr>
          <w:rFonts w:ascii="Hiragino Sans GB" w:hAnsi="Hiragino Sans GB" w:eastAsia="Hiragino Sans GB" w:cs="Hiragino Sans GB"/>
          <w:color w:val="2F7D5A"/>
        </w:rPr>
        <w:t>提交后生成关联原采购单和验收单的异常记录；不会重复增加或扣减库存。</w:t>
      </w:r>
    </w:p>
    <w:p>
      <w:r>
        <w:rPr>
          <w:rFonts w:ascii="Hiragino Sans GB" w:hAnsi="Hiragino Sans GB" w:eastAsia="Hiragino Sans GB" w:cs="Hiragino Sans GB"/>
          <w:b/>
          <w:color w:val="365B7D"/>
        </w:rPr>
        <w:t>需要记录：</w:t>
      </w:r>
      <w:r>
        <w:rPr>
          <w:rFonts w:ascii="Hiragino Sans GB" w:hAnsi="Hiragino Sans GB" w:eastAsia="Hiragino Sans GB" w:cs="Hiragino Sans GB"/>
          <w:color w:val="365B7D"/>
        </w:rPr>
        <w:t>原采购单号、异常单号、商品、数量、证据。</w:t>
      </w:r>
    </w:p>
    <w:p>
      <w:pPr>
        <w:ind w:left="115" w:right="115"/>
        <w:pBdr>
          <w:left w:val="single" w:sz="20" w:space="6" w:color="D97732"/>
        </w:pBdr>
      </w:pPr>
      <w:r>
        <w:rPr>
          <w:rFonts w:ascii="Hiragino Sans GB" w:hAnsi="Hiragino Sans GB" w:eastAsia="Hiragino Sans GB" w:cs="Hiragino Sans GB"/>
          <w:b/>
          <w:color w:val="D97732"/>
        </w:rPr>
        <w:t xml:space="preserve">注意  </w:t>
      </w:r>
      <w:r>
        <w:rPr>
          <w:rFonts w:ascii="Hiragino Sans GB" w:hAnsi="Hiragino Sans GB" w:eastAsia="Hiragino Sans GB" w:cs="Hiragino Sans GB"/>
          <w:color w:val="1E1E1E"/>
        </w:rPr>
        <w:t>临期提醒、门店使用损耗和盘点差异不是供应商到货报损，本轮不在此入口处理。</w:t>
      </w:r>
    </w:p>
    <w:p>
      <w:pPr>
        <w:pStyle w:val="Heading1"/>
        <w:keepNext/>
        <w:pageBreakBefore/>
      </w:pPr>
      <w:r>
        <w:t>异常分支操作规则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5CF"/>
          <w:left w:val="single" w:sz="6" w:space="0" w:color="D7D5CF"/>
          <w:bottom w:val="single" w:sz="6" w:space="0" w:color="D7D5CF"/>
          <w:right w:val="single" w:sz="6" w:space="0" w:color="D7D5CF"/>
          <w:insideH w:val="single" w:sz="6" w:space="0" w:color="D7D5CF"/>
          <w:insideV w:val="single" w:sz="6" w:space="0" w:color="D7D5CF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016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情况</w:t>
            </w:r>
          </w:p>
        </w:tc>
        <w:tc>
          <w:tcPr>
            <w:tcW w:type="dxa" w:w="3240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正确操作</w:t>
            </w:r>
          </w:p>
        </w:tc>
        <w:tc>
          <w:tcPr>
            <w:tcW w:type="dxa" w:w="2592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禁止操作</w:t>
            </w:r>
          </w:p>
        </w:tc>
        <w:tc>
          <w:tcPr>
            <w:tcW w:type="dxa" w:w="2232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放行结果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供应商无法按原数量／日期交付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供应商提交改单，采购方审核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口头改数量后直接发货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批准版本唯一生效</w:t>
            </w:r>
          </w:p>
        </w:tc>
      </w:tr>
      <w:tr>
        <w:trPr>
          <w:cantSplit/>
        </w:trPr>
        <w:tc>
          <w:tcPr>
            <w:tcW w:type="dxa" w:w="201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一单分两次发货</w:t>
            </w:r>
          </w:p>
        </w:tc>
        <w:tc>
          <w:tcPr>
            <w:tcW w:type="dxa" w:w="3240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每批建立独立发货单，分别收货</w:t>
            </w:r>
          </w:p>
        </w:tc>
        <w:tc>
          <w:tcPr>
            <w:tcW w:type="dxa" w:w="259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第二批继续使用第一批发货单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累计发货／收货正确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到货短缺／破损／质量问题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按实填写验收数量并留证，生成差异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把异常数量计入合格入库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只入合格量，差异可追溯</w:t>
            </w:r>
          </w:p>
        </w:tc>
      </w:tr>
      <w:tr>
        <w:trPr>
          <w:cantSplit/>
        </w:trPr>
        <w:tc>
          <w:tcPr>
            <w:tcW w:type="dxa" w:w="201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收货后拆包发现隐藏异常</w:t>
            </w:r>
          </w:p>
        </w:tc>
        <w:tc>
          <w:tcPr>
            <w:tcW w:type="dxa" w:w="3240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在原收货单／门店采购单补报</w:t>
            </w:r>
          </w:p>
        </w:tc>
        <w:tc>
          <w:tcPr>
            <w:tcW w:type="dxa" w:w="259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直接改原验收数量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新异常单＋损耗／调整流水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供应商不认可差异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供应商提出异议，供应链转仲裁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线下处理后不留记录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仲裁结果进入对账</w:t>
            </w:r>
          </w:p>
        </w:tc>
      </w:tr>
      <w:tr>
        <w:trPr>
          <w:cantSplit/>
        </w:trPr>
        <w:tc>
          <w:tcPr>
            <w:tcW w:type="dxa" w:w="201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金额或规则触发高风险</w:t>
            </w:r>
          </w:p>
        </w:tc>
        <w:tc>
          <w:tcPr>
            <w:tcW w:type="dxa" w:w="3240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由不同账号第二人复核</w:t>
            </w:r>
          </w:p>
        </w:tc>
        <w:tc>
          <w:tcPr>
            <w:tcW w:type="dxa" w:w="259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验收人自己复核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复核后才入库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错误收货且批次未使用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执行整单冲销，保留正反流水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删除原流水或覆盖数量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数量与价值净变化为零</w:t>
            </w:r>
          </w:p>
        </w:tc>
      </w:tr>
      <w:tr>
        <w:trPr>
          <w:cantSplit/>
        </w:trPr>
        <w:tc>
          <w:tcPr>
            <w:tcW w:type="dxa" w:w="201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页面超时／重复点击风险</w:t>
            </w:r>
          </w:p>
        </w:tc>
        <w:tc>
          <w:tcPr>
            <w:tcW w:type="dxa" w:w="3240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记录单号，刷新查状态后再处理</w:t>
            </w:r>
          </w:p>
        </w:tc>
        <w:tc>
          <w:tcPr>
            <w:tcW w:type="dxa" w:w="259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连续多次提交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6"/>
              </w:rPr>
              <w:t>不产生重复单据或扣款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问题等级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5CF"/>
          <w:left w:val="single" w:sz="6" w:space="0" w:color="D7D5CF"/>
          <w:bottom w:val="single" w:sz="6" w:space="0" w:color="D7D5CF"/>
          <w:right w:val="single" w:sz="6" w:space="0" w:color="D7D5CF"/>
          <w:insideH w:val="single" w:sz="6" w:space="0" w:color="D7D5CF"/>
          <w:insideV w:val="single" w:sz="6" w:space="0" w:color="D7D5CF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656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5904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判断标准</w:t>
            </w:r>
          </w:p>
        </w:tc>
        <w:tc>
          <w:tcPr>
            <w:tcW w:type="dxa" w:w="2520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P0 阻断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越权看到别家数据；重复入库／扣款；库存或应付严重错误；主流程完全不能继续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立即停止相关灰度，保留现场和单号</w:t>
            </w:r>
          </w:p>
        </w:tc>
      </w:tr>
      <w:tr>
        <w:trPr>
          <w:cantSplit/>
        </w:trPr>
        <w:tc>
          <w:tcPr>
            <w:tcW w:type="dxa" w:w="165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P1 严重</w:t>
            </w:r>
          </w:p>
        </w:tc>
        <w:tc>
          <w:tcPr>
            <w:tcW w:type="dxa" w:w="590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关键角色无法完成接单、收货、复核、确认或锁定；无可接受绕行</w:t>
            </w:r>
          </w:p>
        </w:tc>
        <w:tc>
          <w:tcPr>
            <w:tcW w:type="dxa" w:w="2520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当天修复并回归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P2 一般</w:t>
            </w:r>
          </w:p>
        </w:tc>
        <w:tc>
          <w:tcPr>
            <w:tcW w:type="dxa" w:w="59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提示不清、刷新后可恢复、存在安全绕行，不影响账实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登记负责人和计划后再决定放行</w:t>
            </w:r>
          </w:p>
        </w:tc>
      </w:tr>
      <w:tr>
        <w:trPr>
          <w:cantSplit/>
        </w:trPr>
        <w:tc>
          <w:tcPr>
            <w:tcW w:type="dxa" w:w="165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P3 体验</w:t>
            </w:r>
          </w:p>
        </w:tc>
        <w:tc>
          <w:tcPr>
            <w:tcW w:type="dxa" w:w="590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排版、文案或低频交互问题</w:t>
            </w:r>
          </w:p>
        </w:tc>
        <w:tc>
          <w:tcPr>
            <w:tcW w:type="dxa" w:w="2520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记录进入体验优化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问题反馈模板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5CF"/>
          <w:left w:val="single" w:sz="6" w:space="0" w:color="D7D5CF"/>
          <w:bottom w:val="single" w:sz="6" w:space="0" w:color="D7D5CF"/>
          <w:right w:val="single" w:sz="6" w:space="0" w:color="D7D5CF"/>
          <w:insideH w:val="single" w:sz="6" w:space="0" w:color="D7D5CF"/>
          <w:insideV w:val="single" w:sz="6" w:space="0" w:color="D7D5CF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填写要求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角色与账号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例如：上游供应商负责人／手机号后四位</w:t>
            </w:r>
          </w:p>
        </w:tc>
      </w:tr>
      <w:tr>
        <w:trPr>
          <w:cantSplit/>
        </w:trPr>
        <w:tc>
          <w:tcPr>
            <w:tcW w:type="dxa" w:w="2088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环境与时间</w:t>
            </w:r>
          </w:p>
        </w:tc>
        <w:tc>
          <w:tcPr>
            <w:tcW w:type="dxa" w:w="799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灰度地址、发生时间、网络情况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业务单号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采购单／发货单／收货单／差异单／对账单</w:t>
            </w:r>
          </w:p>
        </w:tc>
      </w:tr>
      <w:tr>
        <w:trPr>
          <w:cantSplit/>
        </w:trPr>
        <w:tc>
          <w:tcPr>
            <w:tcW w:type="dxa" w:w="2088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操作步骤</w:t>
            </w:r>
          </w:p>
        </w:tc>
        <w:tc>
          <w:tcPr>
            <w:tcW w:type="dxa" w:w="799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从哪个页面进入、依次点击了什么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预期结果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应该出现的状态或金额</w:t>
            </w:r>
          </w:p>
        </w:tc>
      </w:tr>
      <w:tr>
        <w:trPr>
          <w:cantSplit/>
        </w:trPr>
        <w:tc>
          <w:tcPr>
            <w:tcW w:type="dxa" w:w="2088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实际结果</w:t>
            </w:r>
          </w:p>
        </w:tc>
        <w:tc>
          <w:tcPr>
            <w:tcW w:type="dxa" w:w="799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实际提示、状态、金额或无响应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是否可复现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每次／偶发／仅一次</w:t>
            </w:r>
          </w:p>
        </w:tc>
      </w:tr>
      <w:tr>
        <w:trPr>
          <w:cantSplit/>
        </w:trPr>
        <w:tc>
          <w:tcPr>
            <w:tcW w:type="dxa" w:w="2088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证据</w:t>
            </w:r>
          </w:p>
        </w:tc>
        <w:tc>
          <w:tcPr>
            <w:tcW w:type="dxa" w:w="799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全屏截图或视频，保留页面地址和时间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建议等级</w:t>
            </w:r>
          </w:p>
        </w:tc>
        <w:tc>
          <w:tcPr>
            <w:tcW w:type="dxa" w:w="79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P0／P1／P2／P3</w:t>
            </w:r>
          </w:p>
        </w:tc>
      </w:tr>
    </w:tbl>
    <w:p>
      <w:pPr>
        <w:spacing w:after="20"/>
      </w:pPr>
    </w:p>
    <w:p>
      <w:pPr>
        <w:ind w:left="115" w:right="115"/>
        <w:pBdr>
          <w:left w:val="single" w:sz="20" w:space="6" w:color="B8463C"/>
        </w:pBdr>
      </w:pPr>
      <w:r>
        <w:rPr>
          <w:rFonts w:ascii="Hiragino Sans GB" w:hAnsi="Hiragino Sans GB" w:eastAsia="Hiragino Sans GB" w:cs="Hiragino Sans GB"/>
          <w:b/>
          <w:color w:val="B8463C"/>
        </w:rPr>
        <w:t xml:space="preserve">不要遗漏  </w:t>
      </w:r>
      <w:r>
        <w:rPr>
          <w:rFonts w:ascii="Hiragino Sans GB" w:hAnsi="Hiragino Sans GB" w:eastAsia="Hiragino Sans GB" w:cs="Hiragino Sans GB"/>
          <w:color w:val="1E1E1E"/>
        </w:rPr>
        <w:t>若出现“无权限”“Gateway Time-out”“点击无反应”或按钮一直“处理中”，必须同时提供角色、业务单号、页面地址和发生时间。仅发一张局部截图通常无法定位。</w:t>
      </w:r>
    </w:p>
    <w:p>
      <w:pPr>
        <w:pStyle w:val="Heading1"/>
        <w:keepNext/>
        <w:pageBreakBefore/>
      </w:pPr>
      <w:r>
        <w:t>角色验收记录</w:t>
      </w:r>
    </w:p>
    <w:p>
      <w:r>
        <w:rPr>
          <w:rFonts w:ascii="Hiragino Sans GB" w:hAnsi="Hiragino Sans GB" w:eastAsia="Hiragino Sans GB" w:cs="Hiragino Sans GB"/>
          <w:color w:val="1E1E1E"/>
        </w:rPr>
        <w:t>每位测试人完成自己的清单；“实际单号／问题编号”一栏不能空白。通过填“通过 + 单号”，失败填问题编号。</w:t>
      </w:r>
    </w:p>
    <w:p>
      <w:pPr>
        <w:pStyle w:val="Heading2"/>
        <w:keepNext/>
        <w:pageBreakBefore w:val="0"/>
      </w:pPr>
      <w:r>
        <w:t>供应链采购与总仓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5CF"/>
          <w:left w:val="single" w:sz="6" w:space="0" w:color="D7D5CF"/>
          <w:bottom w:val="single" w:sz="6" w:space="0" w:color="D7D5CF"/>
          <w:right w:val="single" w:sz="6" w:space="0" w:color="D7D5CF"/>
          <w:insideH w:val="single" w:sz="6" w:space="0" w:color="D7D5CF"/>
          <w:insideV w:val="single" w:sz="6" w:space="0" w:color="D7D5CF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4824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2232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024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实际单号／问题编号</w:t>
            </w:r>
          </w:p>
        </w:tc>
      </w:tr>
      <w:tr>
        <w:trPr>
          <w:cantSplit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新建供应商并生成负责人邀请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绑定商品、单位、换算比和协议价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启用合同并发送采购单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审核供应商改单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登记到货并按合格量入库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异常验收生成差异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收货后补报并办结／仲裁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生成并发送月度对账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总仓接单、发货并送达门店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上游供应商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5CF"/>
          <w:left w:val="single" w:sz="6" w:space="0" w:color="D7D5CF"/>
          <w:bottom w:val="single" w:sz="6" w:space="0" w:color="D7D5CF"/>
          <w:right w:val="single" w:sz="6" w:space="0" w:color="D7D5CF"/>
          <w:insideH w:val="single" w:sz="6" w:space="0" w:color="D7D5CF"/>
          <w:insideV w:val="single" w:sz="6" w:space="0" w:color="D7D5CF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4824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2232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024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实际单号／问题编号</w:t>
            </w:r>
          </w:p>
        </w:tc>
      </w:tr>
      <w:tr>
        <w:trPr>
          <w:cantSplit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邀请激活和首次登录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只看到本供应商数据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接单／提交改单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建立发货单并确认发车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接受差异／提出异议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确认月度对账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第二复核、财务与门店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5CF"/>
          <w:left w:val="single" w:sz="6" w:space="0" w:color="D7D5CF"/>
          <w:bottom w:val="single" w:sz="6" w:space="0" w:color="D7D5CF"/>
          <w:right w:val="single" w:sz="6" w:space="0" w:color="D7D5CF"/>
          <w:insideH w:val="single" w:sz="6" w:space="0" w:color="D7D5CF"/>
          <w:insideV w:val="single" w:sz="6" w:space="0" w:color="D7D5CF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4824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角色／检查项</w:t>
            </w:r>
          </w:p>
        </w:tc>
        <w:tc>
          <w:tcPr>
            <w:tcW w:type="dxa" w:w="2232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024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实际单号／问题编号</w:t>
            </w:r>
          </w:p>
        </w:tc>
      </w:tr>
      <w:tr>
        <w:trPr>
          <w:cantSplit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第二复核人：不同账号复核高风险收货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第二复核人：同一验收人无法自我复核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财务：只锁定双方已确认的对账单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财务：锁定后金额不可直接修改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门店：外部上游供应商不可见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门店：下单、查看物流并确认收货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门店：确认后库存只增加一次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48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门店：收货后可补报隐藏到货异常</w:t>
            </w:r>
          </w:p>
        </w:tc>
        <w:tc>
          <w:tcPr>
            <w:tcW w:type="dxa" w:w="2232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☐失败</w:t>
            </w:r>
          </w:p>
        </w:tc>
        <w:tc>
          <w:tcPr>
            <w:tcW w:type="dxa" w:w="3024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最终放行检查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所有角色的主流程均有真实灰度单号并通过。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供应商只能看到本公司数据；门店与无权限角色不能访问上游采购数据。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采购单位换算正确，合格收货数量与总仓库存增量一致。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总仓出库和门店验收后，库存转移数量一致且没有重复入账。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供应商应付 = 合格收货金额 − 已办结扣款，对账来源单据可追溯。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普通收货单人可完成；高风险收货必须由不同人员复核。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重复点击、刷新或网络重试不产生重复采购单、发货单、库存流水或扣款。</w:t>
      </w:r>
    </w:p>
    <w:p>
      <w:pPr>
        <w:pStyle w:val="ListBullet"/>
        <w:ind w:left="317" w:hanging="173"/>
      </w:pPr>
      <w:r>
        <w:rPr>
          <w:rFonts w:ascii="Hiragino Sans GB" w:hAnsi="Hiragino Sans GB" w:eastAsia="Hiragino Sans GB" w:cs="Hiragino Sans GB"/>
        </w:rPr>
        <w:t>☐ P0、P1 问题为 0；所有未关闭 P2 均有安全绕行、负责人和修复计划。</w:t>
      </w:r>
    </w:p>
    <w:p>
      <w:pPr>
        <w:ind w:left="115" w:right="115"/>
        <w:pBdr>
          <w:left w:val="single" w:sz="20" w:space="6" w:color="2F7D5A"/>
        </w:pBdr>
      </w:pPr>
      <w:r>
        <w:rPr>
          <w:rFonts w:ascii="Hiragino Sans GB" w:hAnsi="Hiragino Sans GB" w:eastAsia="Hiragino Sans GB" w:cs="Hiragino Sans GB"/>
          <w:b/>
          <w:color w:val="2F7D5A"/>
        </w:rPr>
        <w:t xml:space="preserve">放行边界  </w:t>
      </w:r>
      <w:r>
        <w:rPr>
          <w:rFonts w:ascii="Hiragino Sans GB" w:hAnsi="Hiragino Sans GB" w:eastAsia="Hiragino Sans GB" w:cs="Hiragino Sans GB"/>
          <w:color w:val="1E1E1E"/>
        </w:rPr>
        <w:t>本清单全部通过后，才建议进入生产暗部署和小范围真实供应商灰度；仍不代表立即关闭手工入库。正常采购限制开关应在影子核对稳定后分阶段开启。</w:t>
      </w:r>
    </w:p>
    <w:p>
      <w:pPr>
        <w:pStyle w:val="Heading2"/>
        <w:keepNext/>
        <w:pageBreakBefore w:val="0"/>
      </w:pPr>
      <w:r>
        <w:t>签字确认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5CF"/>
          <w:left w:val="single" w:sz="6" w:space="0" w:color="D7D5CF"/>
          <w:bottom w:val="single" w:sz="6" w:space="0" w:color="D7D5CF"/>
          <w:right w:val="single" w:sz="6" w:space="0" w:color="D7D5CF"/>
          <w:insideH w:val="single" w:sz="6" w:space="0" w:color="D7D5CF"/>
          <w:insideV w:val="single" w:sz="6" w:space="0" w:color="D7D5CF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20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016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姓名</w:t>
            </w:r>
          </w:p>
        </w:tc>
        <w:tc>
          <w:tcPr>
            <w:tcW w:type="dxa" w:w="3816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1728"/>
            <w:shd w:fill="2337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日期／签字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供应链采购负责人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☐有条件通过  ☐不通过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520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总仓负责人</w:t>
            </w:r>
          </w:p>
        </w:tc>
        <w:tc>
          <w:tcPr>
            <w:tcW w:type="dxa" w:w="201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  <w:tc>
          <w:tcPr>
            <w:tcW w:type="dxa" w:w="381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☐有条件通过  ☐不通过</w:t>
            </w:r>
          </w:p>
        </w:tc>
        <w:tc>
          <w:tcPr>
            <w:tcW w:type="dxa" w:w="1728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上游供应商代表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☐有条件通过  ☐不通过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520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财务负责人</w:t>
            </w:r>
          </w:p>
        </w:tc>
        <w:tc>
          <w:tcPr>
            <w:tcW w:type="dxa" w:w="201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  <w:tc>
          <w:tcPr>
            <w:tcW w:type="dxa" w:w="381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☐有条件通过  ☐不通过</w:t>
            </w:r>
          </w:p>
        </w:tc>
        <w:tc>
          <w:tcPr>
            <w:tcW w:type="dxa" w:w="1728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门店／厨师长代表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☐通过  ☐有条件通过  ☐不通过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520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产品与技术负责人</w:t>
            </w:r>
          </w:p>
        </w:tc>
        <w:tc>
          <w:tcPr>
            <w:tcW w:type="dxa" w:w="201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  <w:tc>
          <w:tcPr>
            <w:tcW w:type="dxa" w:w="3816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  <w:t>☐允许下一阶段  ☐暂缓</w:t>
            </w:r>
          </w:p>
        </w:tc>
        <w:tc>
          <w:tcPr>
            <w:tcW w:type="dxa" w:w="1728"/>
            <w:shd w:fill="F4F4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 w:cs="Hiragino Sans GB"/>
                <w:color w:val="1E1E1E"/>
                <w:sz w:val="17"/>
              </w:rPr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Hiragino Sans GB" w:hAnsi="Hiragino Sans GB" w:eastAsia="Hiragino Sans GB" w:cs="Hiragino Sans GB"/>
          <w:color w:val="666666"/>
        </w:rPr>
        <w:t>文档结束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 w:cs="Hiragino Sans GB"/>
        <w:color w:val="666666"/>
        <w:sz w:val="17"/>
      </w:rPr>
      <w:t>内部灰度资料  ·  2026-09-17</w:t>
    </w:r>
    <w:r>
      <w:t xml:space="preserve">                                      </w:t>
    </w:r>
    <w:r>
      <w:rPr>
        <w:rFonts w:ascii="Hiragino Sans GB" w:hAnsi="Hiragino Sans GB" w:eastAsia="Hiragino Sans GB" w:cs="Hiragino Sans GB"/>
        <w:color w:val="666666"/>
        <w:sz w:val="17"/>
      </w:rPr>
      <w:t xml:space="preserve">第 </w:t>
    </w:r>
    <w:fldSimple w:instr="PAGE">
      <w:r>
        <w:rPr>
          <w:rFonts w:ascii="Hiragino Sans GB" w:hAnsi="Hiragino Sans GB" w:eastAsia="Hiragino Sans GB"/>
        </w:rPr>
        <w:t>1</w:t>
      </w:r>
    </w:fldSimple>
    <w:r>
      <w:rPr>
        <w:rFonts w:ascii="Hiragino Sans GB" w:hAnsi="Hiragino Sans GB" w:eastAsia="Hiragino Sans GB" w:cs="Hiragino Sans GB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66666"/>
        <w:sz w:val="17"/>
      </w:rPr>
      <w:t>滇界供应链  全角色灰度测试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Hiragino Sans GB" w:hAnsi="Hiragino Sans GB" w:eastAsia="Hiragino Sans GB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337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337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B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2337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供应链全角色灰度测试使用手册</dc:title>
  <dc:subject>上游供应商到总仓再到门店的角色操作与灰度验收</dc:subject>
  <dc:creator>滇界项目组</dc:creator>
  <cp:keywords>供应链, 供应商, 总仓, 门店, 灰度测试, 使用手册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