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8f94810e06d71a481a08623335d8d09a5a19b55"/>
    <w:p>
      <w:pPr>
        <w:pStyle w:val="Title"/>
      </w:pPr>
      <w:r>
        <w:t xml:space="preserve">Propuesta comercial de Gestión Contractual</w:t>
      </w:r>
    </w:p>
    <w:p>
      <w:pPr>
        <w:pStyle w:val="FirstParagraph"/>
      </w:pPr>
      <w:r>
        <w:t xml:space="preserve">Preparada para: Vertia Group / Global Vía Pública</w:t>
      </w:r>
    </w:p>
    <w:p>
      <w:pPr>
        <w:pStyle w:val="BodyText"/>
      </w:pPr>
      <w:r>
        <w:t xml:space="preserve">Preparada por: MoAI</w:t>
      </w:r>
    </w:p>
    <w:p>
      <w:pPr>
        <w:pStyle w:val="BodyText"/>
      </w:pPr>
      <w:r>
        <w:t xml:space="preserve">Fecha: 15 de octubre de 2026</w:t>
      </w:r>
    </w:p>
    <w:p>
      <w:pPr>
        <w:pStyle w:val="BodyText"/>
      </w:pPr>
      <w:r>
        <w:t xml:space="preserve">Vigencia: 30 días corridos desde la fecha de emisión</w:t>
      </w:r>
    </w:p>
    <w:p>
      <w:pPr>
        <w:pStyle w:val="BodyText"/>
      </w:pPr>
      <w:r>
        <w:t xml:space="preserve">Contacto: somos@mo-ai.cl</w:t>
      </w:r>
    </w:p>
    <w:bookmarkStart w:id="18" w:name="resumen-ejecutivo"/>
    <w:p>
      <w:pPr>
        <w:pStyle w:val="Heading2"/>
      </w:pPr>
      <w:r>
        <w:t xml:space="preserve">Resumen ejecutivo</w:t>
      </w:r>
    </w:p>
    <w:p>
      <w:pPr>
        <w:pStyle w:val="FirstParagraph"/>
      </w:pPr>
      <w:r>
        <w:t xml:space="preserve">La Gestión Contractual de Global Vía Pública busca un lugar único donde el contrato, sus cláusulas, versiones, aprobaciones, firmas y obligaciones vivan con trazabilidad y permisos claros, para las operaciones de Argentina, Chile, Perú, México y Uruguay. Esta propuesta entrega esa base como un producto real, con un MVP documental primero y, a continuación, un flujo contractual acotado que incluye una integración de firma con un proveedor autorizado.</w:t>
      </w:r>
    </w:p>
    <w:p>
      <w:pPr>
        <w:pStyle w:val="BodyText"/>
      </w:pPr>
      <w:r>
        <w:t xml:space="preserve">El alcance está deliberadamente delimitado. El precio de USD 30.000 netos (UF 719,3619 netas), equivalente a UF 856,0407 con IVA incluido, cubre un repositorio estructurado, la ficha del contrato, versiones y permisos por país y sociedad, OCR y búsqueda, asistencia con Claude, alertas, un workflow de revisión y aprobación configurable y acotado, y una integración de firma con un proveedor. No cubre la especificación regional completa estimada antes en torno a 960 horas, ni los motores normativos avanzados, portales externos, add-in de Word, BI predictivo o integraciones ERP/CRM complejas, que quedan como roadmap separado.</w:t>
      </w:r>
    </w:p>
    <w:p>
      <w:pPr>
        <w:pStyle w:val="BodyText"/>
      </w:pPr>
      <w:r>
        <w:t xml:space="preserve">La configuración regional base contempla los cinco países desde el inicio; el piloto opera en un país y la replicación a los demás se realiza por configuración. Los datos legales y la validación de reglas locales corresponden a Vertia. El valor se justifica por resultados verificables —una versión vigente única, una aprobación con evidencia y SLA, una obligación con responsable y alerta, una firma trazable— y no por la cantidad de pantallas.</w:t>
      </w:r>
    </w:p>
    <w:p>
      <w:pPr>
        <w:pStyle w:val="BodyText"/>
      </w:pPr>
      <w:r>
        <w:t xml:space="preserve">El contrato se expresa y cobra en UF; los montos en USD son de referencia. El pago se estructura en un anticipo de 40% y seis cuotas mensuales que financian el desarrollo.</w:t>
      </w:r>
    </w:p>
    <w:bookmarkEnd w:id="18"/>
    <w:bookmarkStart w:id="19" w:name="el-problema-que-abordamos"/>
    <w:p>
      <w:pPr>
        <w:pStyle w:val="Heading2"/>
      </w:pPr>
      <w:r>
        <w:t xml:space="preserve">El problema que abordamos</w:t>
      </w:r>
    </w:p>
    <w:p>
      <w:pPr>
        <w:pStyle w:val="FirstParagraph"/>
      </w:pPr>
      <w:r>
        <w:t xml:space="preserve">La gestión contractual dispersa en correos, carpetas y discos produce pérdida de versiones, datos reescritos a mano entre contrato, CRM y factura, aprobaciones por correo sin evidencia ni SLA, vencimientos y renovaciones que se pasan, y obligaciones (garantías, seguros, permisos de emplazamiento, reportes de exhibición) que nadie monitorea. Cada país resuelve estas diferencias con planillas propias, lo que hace imposible consolidar.</w:t>
      </w:r>
    </w:p>
    <w:p>
      <w:pPr>
        <w:pStyle w:val="BodyText"/>
      </w:pPr>
      <w:r>
        <w:t xml:space="preserve">La magnitud real de estos problemas se mide en el levantamiento inicial; esta propuesta no afirma cifras de impacto ni retornos que no se hayan medido. Lo que sí ofrece es un sistema que establece un único dueño del dato contractual, con configuración por país en lugar de ramas de código, trazabilidad completa e IA que propone mientras las personas deciden.</w:t>
      </w:r>
    </w:p>
    <w:bookmarkEnd w:id="19"/>
    <w:bookmarkStart w:id="20" w:name="un-día-con-la-solución"/>
    <w:p>
      <w:pPr>
        <w:pStyle w:val="Heading2"/>
      </w:pPr>
      <w:r>
        <w:t xml:space="preserve">Un día con la solución</w:t>
      </w:r>
    </w:p>
    <w:p>
      <w:r>
        <w:drawing>
          <wp:inline>
            <wp:extent cx="6172200" cy="740664"/>
            <wp:docPr id="1" name="Picture 1"/>
            <wp:cNvGraphicFramePr>
              <a:graphicFrameLocks noChangeAspect="1"/>
            </wp:cNvGraphicFramePr>
            <a:graphic>
              <a:graphicData uri="http://schemas.openxmlformats.org/drawingml/2006/picture">
                <pic:pic>
                  <pic:nvPicPr>
                    <pic:cNvPr id="0" name="contratos-flujo.png"/>
                    <pic:cNvPicPr/>
                  </pic:nvPicPr>
                  <pic:blipFill>
                    <a:blip r:embed="rId1"/>
                    <a:stretch>
                      <a:fillRect/>
                    </a:stretch>
                  </pic:blipFill>
                  <pic:spPr>
                    <a:xfrm>
                      <a:off x="0" y="0"/>
                      <a:ext cx="6172200" cy="740664"/>
                    </a:xfrm>
                    <a:prstGeom prst="rect"/>
                  </pic:spPr>
                </pic:pic>
              </a:graphicData>
            </a:graphic>
          </wp:inline>
        </w:drawing>
      </w:r>
    </w:p>
    <w:p>
      <w:pPr>
        <w:pStyle w:val="FirstParagraph"/>
      </w:pPr>
      <w:r>
        <w:t xml:space="preserve">Un ejecutivo comercial origina una solicitud desde una oportunidad y adjunta antecedentes. El Contract Manager genera un borrador a partir de una plantilla configurada para el país y la sociedad correspondientes. Las áreas que deben revisar —legal, finanzas, tributario según corresponda— reciben su tarea con un plazo asociado; cada aprobación queda registrada con quién, cuándo y con qué condición.</w:t>
      </w:r>
    </w:p>
    <w:p>
      <w:pPr>
        <w:pStyle w:val="BodyText"/>
      </w:pPr>
      <w:r>
        <w:t xml:space="preserve">Una vez aprobado, el contrato se envía a firma a través del proveedor autorizado. La firma del cliente o la agencia se realiza sin que la contraparte necesite una licencia del sistema. Firmado el contrato, queda como versión vigente única en el repositorio, con sus obligaciones e hitos registrados, cada uno con responsable y alertas por fecha crítica.</w:t>
      </w:r>
    </w:p>
    <w:p>
      <w:pPr>
        <w:pStyle w:val="BodyText"/>
      </w:pPr>
      <w:r>
        <w:t xml:space="preserve">Más adelante, cuando se acerca un vencimiento o una renovación, el sistema avisa con la anticipación configurada. Un abogado puede buscar una cláusula por texto completo gracias al OCR y la búsqueda; la IA resume el contrato y responde preguntas sobre su contenido, marcando siempre que se trata de contenido generado por IA. Un auditor accede en solo lectura al contrato y a su registro de auditoría.</w:t>
      </w:r>
    </w:p>
    <w:p>
      <w:pPr>
        <w:pStyle w:val="BodyText"/>
      </w:pPr>
      <w:r>
        <w:t xml:space="preserve">Nota: lo que el prototipo de demostración muestra opera con datos simulados y sin integraciones reales; está rotulado como demostración y no constituye producto final.</w:t>
      </w:r>
    </w:p>
    <w:bookmarkEnd w:id="20"/>
    <w:bookmarkStart w:id="29" w:name="alcance-incluido-con-límites-propuestos"/>
    <w:p>
      <w:pPr>
        <w:pStyle w:val="Heading2"/>
      </w:pPr>
      <w:r>
        <w:t xml:space="preserve">Alcance incluido con límites propuestos</w:t>
      </w:r>
    </w:p>
    <w:bookmarkStart w:id="21" w:name="repositorio-y-ficha-del-contrato"/>
    <w:p>
      <w:pPr>
        <w:pStyle w:val="Heading3"/>
      </w:pPr>
      <w:r>
        <w:t xml:space="preserve">Repositorio y ficha del contrato</w:t>
      </w:r>
    </w:p>
    <w:p>
      <w:pPr>
        <w:pStyle w:val="FirstParagraph"/>
      </w:pPr>
      <w:r>
        <w:t xml:space="preserve">Repositorio estructurado con metadata y una única versión vigente por contrato. Ficha con tipos de contrato, estados, versiones, anexos y enmiendas. Límite propuesto: un catálogo acotado de tipos de contrato y plantillas, definido en el levantamiento, con un número razonable de plantillas iniciales como condición de la propuesta. Ampliar el catálogo se gestiona por control de cambios.</w:t>
      </w:r>
    </w:p>
    <w:bookmarkEnd w:id="21"/>
    <w:bookmarkStart w:id="22" w:name="solicitudes-clasificación-y-versiones"/>
    <w:p>
      <w:pPr>
        <w:pStyle w:val="Heading3"/>
      </w:pPr>
      <w:r>
        <w:t xml:space="preserve">Solicitudes clasificación y versiones</w:t>
      </w:r>
    </w:p>
    <w:p>
      <w:pPr>
        <w:pStyle w:val="FirstParagraph"/>
      </w:pPr>
      <w:r>
        <w:t xml:space="preserve">Solicitud desde la oportunidad, clasificación, control de versiones y gestión de permisos por país y sociedad. Acceso entre países mediante aprobación explícita.</w:t>
      </w:r>
    </w:p>
    <w:bookmarkEnd w:id="22"/>
    <w:bookmarkStart w:id="23" w:name="saneamiento-y-auditoría"/>
    <w:p>
      <w:pPr>
        <w:pStyle w:val="Heading3"/>
      </w:pPr>
      <w:r>
        <w:t xml:space="preserve">Saneamiento y auditoría</w:t>
      </w:r>
    </w:p>
    <w:p>
      <w:pPr>
        <w:pStyle w:val="FirstParagraph"/>
      </w:pPr>
      <w:r>
        <w:t xml:space="preserve">Saneamiento de copia con revisión humana y registro de auditoría append-only de las acciones relevantes (quién, qué, cuándo, con qué aprobación).</w:t>
      </w:r>
    </w:p>
    <w:bookmarkEnd w:id="23"/>
    <w:bookmarkStart w:id="24" w:name="ocr-búsqueda-y-asistencia-con-claude"/>
    <w:p>
      <w:pPr>
        <w:pStyle w:val="Heading3"/>
      </w:pPr>
      <w:r>
        <w:t xml:space="preserve">OCR búsqueda y asistencia con Claude</w:t>
      </w:r>
    </w:p>
    <w:p>
      <w:pPr>
        <w:pStyle w:val="FirstParagraph"/>
      </w:pPr>
      <w:r>
        <w:t xml:space="preserve">OCR sobre documentos cargados, búsqueda de texto completo con filtros, y asistencia con Claude para resumen, extracción y preguntas sobre el contenido, con marca explícita de contenido generado por IA. Las credenciales y cuentas de OCR y Claude las provee Vertia.</w:t>
      </w:r>
    </w:p>
    <w:bookmarkEnd w:id="24"/>
    <w:bookmarkStart w:id="25" w:name="alertas-revisión-y-aprobación"/>
    <w:p>
      <w:pPr>
        <w:pStyle w:val="Heading3"/>
      </w:pPr>
      <w:r>
        <w:t xml:space="preserve">Alertas revisión y aprobación</w:t>
      </w:r>
    </w:p>
    <w:p>
      <w:pPr>
        <w:pStyle w:val="FirstParagraph"/>
      </w:pPr>
      <w:r>
        <w:t xml:space="preserve">Alertas parametrizables por fecha crítica (ventanas de referencia 90, 60, 30, 15 y 7 días, ajustables). Workflow de revisión y aprobación configurable y acotado, con reglas, SLA y delegación. Límite propuesto: el flujo cubre un conjunto acotado de reglas y niveles de aprobación definidos en el levantamiento, no un motor de reglas arbitrariamente extensible.</w:t>
      </w:r>
    </w:p>
    <w:bookmarkEnd w:id="25"/>
    <w:bookmarkStart w:id="26" w:name="firma-electrónica"/>
    <w:p>
      <w:pPr>
        <w:pStyle w:val="Heading3"/>
      </w:pPr>
      <w:r>
        <w:t xml:space="preserve">Firma electrónica</w:t>
      </w:r>
    </w:p>
    <w:p>
      <w:pPr>
        <w:pStyle w:val="FirstParagraph"/>
      </w:pPr>
      <w:r>
        <w:t xml:space="preserve">Una integración de firma con un proveedor autorizado y documentado, incluyendo firma interna del apoderado y firma de la contraparte externa sin licencia del sistema. Límite propuesto: un proveedor de firma. Proveedores de firma adicionales son roadmap separado.</w:t>
      </w:r>
    </w:p>
    <w:bookmarkEnd w:id="26"/>
    <w:bookmarkStart w:id="27" w:name="antecedentes-de-licitaciones"/>
    <w:p>
      <w:pPr>
        <w:pStyle w:val="Heading3"/>
      </w:pPr>
      <w:r>
        <w:t xml:space="preserve">Antecedentes de licitaciones</w:t>
      </w:r>
    </w:p>
    <w:p>
      <w:pPr>
        <w:pStyle w:val="FirstParagraph"/>
      </w:pPr>
      <w:r>
        <w:t xml:space="preserve">Soporte para antecedentes asociados (cartas, fichas técnicas, diseños) vinculados al contrato o la oportunidad.</w:t>
      </w:r>
    </w:p>
    <w:bookmarkEnd w:id="27"/>
    <w:bookmarkStart w:id="28" w:name="migración-de-datos"/>
    <w:p>
      <w:pPr>
        <w:pStyle w:val="Heading3"/>
      </w:pPr>
      <w:r>
        <w:t xml:space="preserve">Migración de datos</w:t>
      </w:r>
    </w:p>
    <w:p>
      <w:pPr>
        <w:pStyle w:val="FirstParagraph"/>
      </w:pPr>
      <w:r>
        <w:t xml:space="preserve">Límite propuesto: una migración inicial acotada de un volumen y formato definidos en el levantamiento, con validación. Migraciones mayores o de fuentes adicionales se estiman por separado.</w:t>
      </w:r>
    </w:p>
    <w:bookmarkEnd w:id="28"/>
    <w:bookmarkEnd w:id="29"/>
    <w:bookmarkStart w:id="30" w:name="X2675b964cb739a4152453c748305b80853c7f0a"/>
    <w:p>
      <w:pPr>
        <w:pStyle w:val="Heading2"/>
      </w:pPr>
      <w:r>
        <w:t xml:space="preserve">Condiciones propuestas para delimitar la entrega</w:t>
      </w:r>
    </w:p>
    <w:p>
      <w:pPr>
        <w:pStyle w:val="FirstParagraph"/>
      </w:pPr>
      <w:r>
        <w:t xml:space="preserve">Se propone un piloto de hasta diez usuarios internos en un país designado por Vertia, con la configuración base de Argentina, Chile, Perú, México y Uruguay. La entrega cubre hasta seis categorías contractuales, cinco plantillas base y tres niveles secuenciales de aprobación por flujo, con asignación de responsables, plazos y registro de decisiones. No incluye un motor de reglas ilimitado ni asesoría jurídica para redactar las plantillas.</w:t>
      </w:r>
    </w:p>
    <w:p>
      <w:pPr>
        <w:pStyle w:val="BodyText"/>
      </w:pPr>
      <w:r>
        <w:t xml:space="preserve">Se incluye una carga inicial de hasta 500 fichas desde una planilla estructurada y hasta 50 expedientes documentales del piloto para validar clasificación y metadata. No es un límite de almacenamiento ni una licencia por contrato. La digitalización masiva, corrección manual de archivos deteriorados y migraciones desde fuentes adicionales requieren una estimación previa. Para OCR e IA se valida una muestra acordada de hasta 100 páginas representativas; se registra precisión y tratamiento de excepciones, sin prometer extracción perfecta ni aprobación jurídica automática.</w:t>
      </w:r>
    </w:p>
    <w:p>
      <w:pPr>
        <w:pStyle w:val="BodyText"/>
      </w:pPr>
      <w:r>
        <w:t xml:space="preserve">Se incluye una integración con un proveedor de firma documentado, con envío, consulta o recepción de estado y asociación del documento firmado. Los firmantes externos usan el servicio del proveedor; el costo por firma es de Vertia. Las obligaciones básicas contemplan responsable, fecha, estado y alerta. Los anexos se versionan y vinculan al expediente; automatizar enmiendas, renovaciones, escalamiento o conciliación con ERP pertenece al roadmap posterior.</w:t>
      </w:r>
    </w:p>
    <w:p>
      <w:pPr>
        <w:pStyle w:val="BodyText"/>
      </w:pPr>
      <w:r>
        <w:t xml:space="preserve">MVP documental de referencia: semanas 1 a 7. Flujo, firma y validación: semanas 8 a 14. Aceptación, publicación y estabilización: semanas 15 a 16. La activación productiva masiva en otros países, su validación legal y la formación de equipos locales se cotizan como ampliación; la configuración regional base ya queda incluida.</w:t>
      </w:r>
    </w:p>
    <w:bookmarkEnd w:id="30"/>
    <w:bookmarkStart w:id="33" w:name="fases"/>
    <w:p>
      <w:pPr>
        <w:pStyle w:val="Heading2"/>
      </w:pPr>
      <w:r>
        <w:t xml:space="preserve">Fases</w:t>
      </w:r>
    </w:p>
    <w:bookmarkStart w:id="31" w:name="fase-1-mvp-documental"/>
    <w:p>
      <w:pPr>
        <w:pStyle w:val="Heading3"/>
      </w:pPr>
      <w:r>
        <w:t xml:space="preserve">Fase 1 MVP documental</w:t>
      </w:r>
    </w:p>
    <w:p>
      <w:pPr>
        <w:pStyle w:val="FirstParagraph"/>
      </w:pPr>
      <w:r>
        <w:t xml:space="preserve">Repositorio, ficha, versiones, permisos por país y sociedad, OCR, búsqueda, asistencia con Claude, auditoría y configuración regional base. El objetivo es gestionar el documento contractual como system of record, con una única versión vigente y trazabilidad.</w:t>
      </w:r>
    </w:p>
    <w:bookmarkEnd w:id="31"/>
    <w:bookmarkStart w:id="32" w:name="fase-2-flujo-contractual-y-firma"/>
    <w:p>
      <w:pPr>
        <w:pStyle w:val="Heading3"/>
      </w:pPr>
      <w:r>
        <w:t xml:space="preserve">Fase 2 Flujo contractual y firma</w:t>
      </w:r>
    </w:p>
    <w:p>
      <w:pPr>
        <w:pStyle w:val="FirstParagraph"/>
      </w:pPr>
      <w:r>
        <w:t xml:space="preserve">Workflow de revisión y aprobación acotado, alertas de obligaciones e hitos, y la integración de firma con un proveedor, operando sobre un piloto de un país. El objetivo es cerrar el ciclo solicitud, aprobación y firma con evidencia.</w:t>
      </w:r>
    </w:p>
    <w:p>
      <w:pPr>
        <w:pStyle w:val="BodyText"/>
      </w:pPr>
      <w:r>
        <w:t xml:space="preserve">Plazo de referencia: 12 a 16 semanas desde la entrega de accesos y reglas, revisable según el alcance final.</w:t>
      </w:r>
    </w:p>
    <w:bookmarkEnd w:id="32"/>
    <w:bookmarkEnd w:id="33"/>
    <w:bookmarkStart w:id="35" w:name="Xcb19139a93424d2b712da3d62713348411be9b5"/>
    <w:p>
      <w:pPr>
        <w:pStyle w:val="Heading2"/>
      </w:pPr>
      <w:r>
        <w:t xml:space="preserve">Objetivos regionales y separación de ampliaciones</w:t>
      </w:r>
    </w:p>
    <w:p>
      <w:pPr>
        <w:pStyle w:val="FirstParagraph"/>
      </w:pPr>
      <w:r>
        <w:t xml:space="preserve">La configuración regional base contempla los cinco países desde el inicio (país, sociedad, moneda, idioma, zona horaria, plantillas, catálogos, reglas de aprobación, alertas y requisitos documentales como parámetros). El piloto opera en un país y el despliegue a los demás se realiza por configuración. La validación de reglas legales y tributarias de cada país corresponde a Vertia; el diseño no fija reglas legales de ningún país.</w:t>
      </w:r>
    </w:p>
    <w:p>
      <w:pPr>
        <w:pStyle w:val="BodyText"/>
      </w:pPr>
      <w:r>
        <w:t xml:space="preserve">Quedan explícitamente fuera de esta propuesta, como roadmap separado: integraciones ERP/CRM complejas en línea, motor normativo avanzado, portal externo avanzado de contraparte, add-in de Word y Teams, BI predictivo, y proveedores de firma adicionales. No se vende la especificación regional completa (estimada antes en torno a 960 horas) por este precio; el alcance aquí está recortado y delimitado de forma consciente.</w:t>
      </w:r>
    </w:p>
    <w:bookmarkStart w:id="34" w:name="matriz-de-alcance"/>
    <w:p>
      <w:pPr>
        <w:pStyle w:val="Heading3"/>
      </w:pPr>
      <w:r>
        <w:t xml:space="preserve">Matriz de alcance</w:t>
      </w:r>
    </w:p>
    <w:tbl>
      <w:tblPr>
        <w:tblStyle w:val="Table"/>
        <w:tblW w:type="pct" w:w="5000"/>
        <w:tblLayout w:type="autofit"/>
        <w:tblLook w:firstRow="1" w:lastRow="0" w:firstColumn="0" w:lastColumn="0" w:noHBand="0" w:noVBand="0" w:val="0020"/>
      </w:tblPr>
      <w:tblGrid>
        <w:gridCol w:w="2640"/>
        <w:gridCol w:w="2640"/>
        <w:gridCol w:w="2640"/>
      </w:tblGrid>
      <w:tr>
        <w:trPr>
          <w:tblHeader w:val="on"/>
          <w:tblHeader/>
        </w:trPr>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pPr>
            <w:r>
              <w:rPr>
                <w:color w:val="FFFFFF"/>
                <w:sz w:val="19"/>
              </w:rPr>
              <w:t xml:space="preserve">Capacidad</w:t>
            </w:r>
          </w:p>
        </w:tc>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pPr>
            <w:r>
              <w:rPr>
                <w:color w:val="FFFFFF"/>
                <w:sz w:val="19"/>
              </w:rPr>
              <w:t xml:space="preserve">Incluido</w:t>
            </w:r>
          </w:p>
        </w:tc>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pPr>
            <w:r>
              <w:rPr>
                <w:color w:val="FFFFFF"/>
                <w:sz w:val="19"/>
              </w:rPr>
              <w:t xml:space="preserve">Futuro (ampliación)</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Repositorio, ficha, versiones, permisos país/sociedad</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Sí</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w:t>
            </w:r>
          </w:p>
        </w:tc>
      </w:tr>
      <w:tr>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OCR y búsqueda de texto completo</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Sí</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Asistencia con Claude (resumen, extracción, Q&amp;A)</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Sí</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w:t>
            </w:r>
          </w:p>
        </w:tc>
      </w:tr>
      <w:tr>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Auditoría append-only</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Sí</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Workflow de aprobación acotado</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Sí</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Motor normativo avanzado</w:t>
            </w:r>
          </w:p>
        </w:tc>
      </w:tr>
      <w:tr>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Alertas de obligaciones e hitos</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Sí</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BI predictivo</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Integración de firma con un proveedor</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Sí</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Proveedores de firma adicionales</w:t>
            </w:r>
          </w:p>
        </w:tc>
      </w:tr>
      <w:tr>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Configuración regional base 5 países + piloto 1 país</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Sí</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Integración ERP/CRM compleja en línea</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Sí</w:t>
            </w:r>
          </w:p>
        </w:tc>
      </w:tr>
      <w:tr>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Portal externo avanzado / add-in Word</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Sí</w:t>
            </w:r>
          </w:p>
        </w:tc>
      </w:tr>
    </w:tbl>
    <w:p>
      <w:pPr>
        <w:pStyle w:val="BodyText"/>
      </w:pPr>
      <w:r>
        <w:t xml:space="preserve">Lo que el prototipo o la demostración muestre sobre capacidades futuras está rotulado como demostración y no constituye producto final ni alcance contratado.</w:t>
      </w:r>
    </w:p>
    <w:bookmarkEnd w:id="34"/>
    <w:bookmarkEnd w:id="35"/>
    <w:bookmarkStart w:id="38" w:name="responsabilidades"/>
    <w:p>
      <w:pPr>
        <w:pStyle w:val="Heading2"/>
      </w:pPr>
      <w:r>
        <w:t xml:space="preserve">Responsabilidades</w:t>
      </w:r>
    </w:p>
    <w:bookmarkStart w:id="36" w:name="vertia"/>
    <w:p>
      <w:pPr>
        <w:pStyle w:val="Heading3"/>
      </w:pPr>
      <w:r>
        <w:t xml:space="preserve">Vertia</w:t>
      </w:r>
    </w:p>
    <w:p>
      <w:pPr>
        <w:pStyle w:val="FirstParagraph"/>
      </w:pPr>
      <w:r>
        <w:t xml:space="preserve">Provee la infraestructura (AWS), PostgreSQL, las credenciales y cuentas de terceros (OCR, Claude API con Opus 5.5 como mínimo, proveedor de firma, Microsoft 365, Entra ID), los datos y documentos a migrar, las reglas y plantillas por país, la validación legal y tributaria local, los sistemas maestros CRM y ERP para la integración acordada, y la disponibilidad de los usuarios y aprobadores. Los cargos de terceros los habilita y paga directamente Vertia y no forman parte de los honorarios de MoAI.</w:t>
      </w:r>
    </w:p>
    <w:bookmarkEnd w:id="36"/>
    <w:bookmarkStart w:id="37" w:name="moai"/>
    <w:p>
      <w:pPr>
        <w:pStyle w:val="Heading3"/>
      </w:pPr>
      <w:r>
        <w:t xml:space="preserve">MoAI</w:t>
      </w:r>
    </w:p>
    <w:p>
      <w:pPr>
        <w:pStyle w:val="FirstParagraph"/>
      </w:pPr>
      <w:r>
        <w:t xml:space="preserve">Diseña, desarrolla, prueba, documenta y publica de forma controlada la solución dentro del alcance acordado; configura los cinco países y el piloto; capacita a los usuarios referentes y entrega el soporte contratado por separado.</w:t>
      </w:r>
    </w:p>
    <w:bookmarkEnd w:id="37"/>
    <w:bookmarkEnd w:id="38"/>
    <w:bookmarkStart w:id="39" w:name="prueba-de-aceptación"/>
    <w:p>
      <w:pPr>
        <w:pStyle w:val="Heading2"/>
      </w:pPr>
      <w:r>
        <w:t xml:space="preserve">Prueba de aceptación</w:t>
      </w:r>
    </w:p>
    <w:p>
      <w:pPr>
        <w:pStyle w:val="FirstParagraph"/>
      </w:pPr>
      <w:r>
        <w:t xml:space="preserve">La entrega se considera aceptada cuando se verifica, con datos reales del piloto: crear una solicitud desde una oportunidad y generar un borrador desde una plantilla del país; recorrer el flujo de revisión y aprobación con evidencia y SLA; enviar a firma con el proveedor autorizado y recibir el documento firmado como versión vigente única; registrar obligaciones e hitos con responsable y verificar que la alerta se dispara en la ventana configurada; y buscar una cláusula por texto completo sobre un documento con OCR. Cada punto se demuestra sobre comportamiento verificable, no sobre la sola presencia de una pantalla.</w:t>
      </w:r>
    </w:p>
    <w:bookmarkEnd w:id="39"/>
    <w:bookmarkStart w:id="40" w:name="X973e420e1e461cab05e87aff377ce2f38a729c5"/>
    <w:p>
      <w:pPr>
        <w:pStyle w:val="Heading2"/>
      </w:pPr>
      <w:r>
        <w:t xml:space="preserve">Soporte propuesto contratado por separado</w:t>
      </w:r>
    </w:p>
    <w:p>
      <w:pPr>
        <w:pStyle w:val="FirstParagraph"/>
      </w:pPr>
      <w:r>
        <w:t xml:space="preserve">Soporte mensual de 12 horas, de referencia USD 490,49 netos (UF 11,7613) al mes, convertido a UF en el presupuesto y cobrado desde la puesta en producción. Horario L a V de 09:00 a 18:00 hora de Chile, salvo festivos. Primera respuesta para incidencias críticas en 4 horas hábiles y para el resto en 1 día hábil; la resolución depende del diagnóstico. Las mejoras y funciones nuevas se gestionan por control de cambios y no se descuentan de las horas de soporte.</w:t>
      </w:r>
    </w:p>
    <w:bookmarkEnd w:id="40"/>
    <w:bookmarkStart w:id="41" w:name="garantía"/>
    <w:p>
      <w:pPr>
        <w:pStyle w:val="Heading2"/>
      </w:pPr>
      <w:r>
        <w:t xml:space="preserve">Garantía</w:t>
      </w:r>
    </w:p>
    <w:p>
      <w:pPr>
        <w:pStyle w:val="FirstParagraph"/>
      </w:pPr>
      <w:r>
        <w:t xml:space="preserve">Se incluye una garantía de 60 días corridos desde la aceptación, por defectos atribuibles al desarrollo dentro del alcance entregado. La garantía no consume horas de soporte.</w:t>
      </w:r>
    </w:p>
    <w:bookmarkEnd w:id="41"/>
    <w:bookmarkStart w:id="42" w:name="propiedad-licencias-y-cambios-de-alcance"/>
    <w:p>
      <w:pPr>
        <w:pStyle w:val="Heading2"/>
      </w:pPr>
      <w:r>
        <w:t xml:space="preserve">Propiedad licencias y cambios de alcance</w:t>
      </w:r>
    </w:p>
    <w:p>
      <w:pPr>
        <w:pStyle w:val="FirstParagraph"/>
      </w:pPr>
      <w:r>
        <w:t xml:space="preserve">El entregable desarrollado específicamente para Vertia queda a su disposición según los términos del contrato. Los componentes base y herramientas preexistentes de MoAI se licencian para su uso en esta solución. Las licencias y cuentas de terceros (OCR, Claude, firma, M365, Entra ID) son contratadas y pagadas por Vertia a su nombre. Todo cambio de alcance —incluidas ampliaciones del catálogo de tipos, plantillas, reglas, países más allá de la configuración base, proveedores de firma adicionales o integraciones complejas— se acuerda por escrito mediante control de cambios, con su efecto en plazo e inversión.</w:t>
      </w:r>
    </w:p>
    <w:bookmarkEnd w:id="42"/>
    <w:bookmarkStart w:id="43" w:name="vigencia-y-contacto"/>
    <w:p>
      <w:pPr>
        <w:pStyle w:val="Heading2"/>
      </w:pPr>
      <w:r>
        <w:t xml:space="preserve">Vigencia y contacto</w:t>
      </w:r>
    </w:p>
    <w:p>
      <w:pPr>
        <w:pStyle w:val="FirstParagraph"/>
      </w:pPr>
      <w:r>
        <w:t xml:space="preserve">Esta propuesta tiene una vigencia de 30 días corridos desde su emisión. Para dudas, ajustes o aceptación: somos@mo-ai.cl.</w:t>
      </w:r>
    </w:p>
    <w:bookmarkEnd w:id="43"/>
    <w:bookmarkStart w:id="44" w:name="operación-y-ajustes-durante-el-proyecto"/>
    <w:p>
      <w:pPr>
        <w:pStyle w:val="Heading2"/>
      </w:pPr>
      <w:r>
        <w:t xml:space="preserve">Operación y ajustes durante el proyecto</w:t>
      </w:r>
    </w:p>
    <w:p>
      <w:pPr>
        <w:pStyle w:val="FirstParagraph"/>
      </w:pPr>
      <w:r>
        <w:t xml:space="preserve">Los servicios de terceros los contrata y paga Vertia durante desarrollo, pruebas, aceptación y producción. El detalle de AWS, PostgreSQL, Claude Opus 5.5, OCR, prospectos y firma se entrega como anexo de requerimientos a cargo del cliente. No se incluyen sus cargos dentro de los honorarios MoAI.</w:t>
      </w:r>
    </w:p>
    <w:p>
      <w:pPr>
        <w:pStyle w:val="BodyText"/>
      </w:pPr>
      <w:r>
        <w:t xml:space="preserve">Se incorporan como anexos el protocolo de mantención y soporte y la matriz de roadmap. Toda publicación requiere pruebas, aceptación y una opción de recuperación. Los defectos del alcance aceptado se cubren por garantía; las mejoras se evalúan antes de ejecutarse. Una sustitución de esfuerzo equivalente puede acordarse por escrito antes de iniciar el trabajo. Si aumenta el esfuerzo, se comunica el diferencial de horas, precio y plazo para su aprobación previa.</w:t>
      </w:r>
    </w:p>
    <w:bookmarkEnd w:id="44"/>
    <w:bookmarkStart w:id="48" w:name="cuadro-financiero-contractual"/>
    <w:p>
      <w:pPr>
        <w:pStyle w:val="Heading2"/>
        <w:pageBreakBefore/>
      </w:pPr>
      <w:r>
        <w:t xml:space="preserve">Cuadro financiero contractual</w:t>
      </w:r>
    </w:p>
    <w:tbl>
      <w:tblPr>
        <w:tblStyle w:val="Table"/>
        <w:tblW w:type="auto" w:w="0"/>
        <w:tblLayout w:type="autofit"/>
        <w:tblLook w:firstRow="1" w:lastRow="0" w:firstColumn="0" w:lastColumn="0" w:noHBand="0" w:noVBand="0" w:val="0020"/>
      </w:tblPr>
      <w:tblGrid>
        <w:gridCol w:w="2640"/>
        <w:gridCol w:w="2640"/>
        <w:gridCol w:w="2640"/>
      </w:tblGrid>
      <w:tr>
        <w:trPr>
          <w:tblHeader w:val="on"/>
          <w:tblHeader/>
        </w:trPr>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pPr>
            <w:r>
              <w:rPr>
                <w:color w:val="FFFFFF"/>
                <w:sz w:val="19"/>
              </w:rPr>
              <w:t xml:space="preserve">Concepto</w:t>
            </w:r>
          </w:p>
        </w:tc>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jc w:val="right"/>
            </w:pPr>
            <w:r>
              <w:rPr>
                <w:color w:val="FFFFFF"/>
                <w:sz w:val="19"/>
              </w:rPr>
              <w:t xml:space="preserve">USD de referencia</w:t>
            </w:r>
          </w:p>
        </w:tc>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jc w:val="right"/>
            </w:pPr>
            <w:r>
              <w:rPr>
                <w:color w:val="FFFFFF"/>
                <w:sz w:val="19"/>
              </w:rPr>
              <w:t xml:space="preserve">UF de contratación</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Honorarios netos</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30.000,00</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719,3619</w:t>
            </w:r>
          </w:p>
        </w:tc>
      </w:tr>
      <w:tr>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IVA del 19 %</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5.700,00</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136,6788</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Total con IVA</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35.700,00</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856,0407</w:t>
            </w:r>
          </w:p>
        </w:tc>
      </w:tr>
    </w:tbl>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blHeader/>
        </w:trPr>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pPr>
            <w:r>
              <w:rPr>
                <w:color w:val="FFFFFF"/>
                <w:sz w:val="19"/>
              </w:rPr>
              <w:t xml:space="preserve">Pago</w:t>
            </w:r>
          </w:p>
        </w:tc>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jc w:val="right"/>
            </w:pPr>
            <w:r>
              <w:rPr>
                <w:color w:val="FFFFFF"/>
                <w:sz w:val="19"/>
              </w:rPr>
              <w:t xml:space="preserve">Día propuesto</w:t>
            </w:r>
          </w:p>
        </w:tc>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jc w:val="right"/>
            </w:pPr>
            <w:r>
              <w:rPr>
                <w:color w:val="FFFFFF"/>
                <w:sz w:val="19"/>
              </w:rPr>
              <w:t xml:space="preserve">Neto UF</w:t>
            </w:r>
          </w:p>
        </w:tc>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jc w:val="right"/>
            </w:pPr>
            <w:r>
              <w:rPr>
                <w:color w:val="FFFFFF"/>
                <w:sz w:val="19"/>
              </w:rPr>
              <w:t xml:space="preserve">IVA UF referencial</w:t>
            </w:r>
          </w:p>
        </w:tc>
        <w:tc>
          <w:tcPr>
            <w:vAlign w:val="center"/>
            <w:tcBorders>
              <w:top w:val="single" w:sz="4" w:color="D9D9D9"/>
              <w:left w:val="single" w:sz="4" w:color="D9D9D9"/>
              <w:bottom w:val="single" w:sz="4" w:color="D9D9D9"/>
              <w:right w:val="single" w:sz="4" w:color="D9D9D9"/>
            </w:tcBorders>
            <w:shd w:fill="103B58"/>
            <w:tcMar>
              <w:top w:w="95" w:type="dxa"/>
              <w:left w:w="95" w:type="dxa"/>
              <w:bottom w:w="95" w:type="dxa"/>
              <w:right w:w="95" w:type="dxa"/>
            </w:tcMar>
          </w:tcPr>
          <w:p>
            <w:pPr>
              <w:pStyle w:val="Compact"/>
              <w:spacing w:after="60" w:before="60"/>
              <w:jc w:val="right"/>
            </w:pPr>
            <w:r>
              <w:rPr>
                <w:color w:val="FFFFFF"/>
                <w:sz w:val="19"/>
              </w:rPr>
              <w:t xml:space="preserve">Total UF</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Anticipo al inicio</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0</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287,7448</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54,6715</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342,4163</w:t>
            </w:r>
          </w:p>
        </w:tc>
      </w:tr>
      <w:tr>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Cuota mensual 1</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30</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71,9362</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13,6679</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85,6041</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Cuota mensual 2</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60</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71,9362</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13,6679</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85,6041</w:t>
            </w:r>
          </w:p>
        </w:tc>
      </w:tr>
      <w:tr>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Cuota mensual 3</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90</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71,9362</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13,6679</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85,6041</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Cuota mensual 4</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120</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71,9362</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13,6679</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85,6041</w:t>
            </w:r>
          </w:p>
        </w:tc>
      </w:tr>
      <w:tr>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pPr>
            <w:r>
              <w:rPr>
                <w:color w:val="000000"/>
                <w:sz w:val="19"/>
              </w:rPr>
              <w:t xml:space="preserve">Cuota mensual 5</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150</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71,9362</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13,6679</w:t>
            </w:r>
          </w:p>
        </w:tc>
        <w:tc>
          <w:tcPr>
            <w:vAlign w:val="center"/>
            <w:tcBorders>
              <w:top w:val="single" w:sz="4" w:color="D9D9D9"/>
              <w:left w:val="single" w:sz="4" w:color="D9D9D9"/>
              <w:bottom w:val="single" w:sz="4" w:color="D9D9D9"/>
              <w:right w:val="single" w:sz="4" w:color="D9D9D9"/>
            </w:tcBorders>
            <w:shd w:fill="F2F5F7"/>
            <w:tcMar>
              <w:top w:w="95" w:type="dxa"/>
              <w:left w:w="95" w:type="dxa"/>
              <w:bottom w:w="95" w:type="dxa"/>
              <w:right w:w="95" w:type="dxa"/>
            </w:tcMar>
          </w:tcPr>
          <w:p>
            <w:pPr>
              <w:pStyle w:val="Compact"/>
              <w:spacing w:after="60" w:before="60"/>
              <w:jc w:val="right"/>
            </w:pPr>
            <w:r>
              <w:rPr>
                <w:color w:val="000000"/>
                <w:sz w:val="19"/>
              </w:rPr>
              <w:t xml:space="preserve">85,6041</w:t>
            </w:r>
          </w:p>
        </w:tc>
      </w:tr>
      <w:tr>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pPr>
            <w:r>
              <w:rPr>
                <w:color w:val="000000"/>
                <w:sz w:val="19"/>
              </w:rPr>
              <w:t xml:space="preserve">Cuota mensual 6</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180</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71,9361</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13,6678</w:t>
            </w:r>
          </w:p>
        </w:tc>
        <w:tc>
          <w:tcPr>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pStyle w:val="Compact"/>
              <w:spacing w:after="60" w:before="60"/>
              <w:jc w:val="right"/>
            </w:pPr>
            <w:r>
              <w:rPr>
                <w:color w:val="000000"/>
                <w:sz w:val="19"/>
              </w:rPr>
              <w:t xml:space="preserve">85,6039</w:t>
            </w:r>
          </w:p>
        </w:tc>
      </w:tr>
    </w:tbl>
    <w:p>
      <w:pPr>
        <w:pStyle w:val="BodyText"/>
      </w:pPr>
      <w:r>
        <w:t xml:space="preserve">Las seis cuotas mensuales financian el desarrollo. El anticipo corresponde al 40 % y el saldo al 60 %. La última cuota concilia el redondeo de cuatro decimales. Los días 30 a 180 desde el inicio son una condición de calendario propuesta; las fechas se fijan en la orden de compra.</w:t>
      </w:r>
    </w:p>
    <w:p>
      <w:pPr>
        <w:pStyle w:val="BodyText"/>
      </w:pPr>
      <w:r>
        <w:t xml:space="preserve">La UF queda fijada como unidad contractual al emitir esta propuesta. El USD se muestra únicamente como referencia de origen; no se aplica un segundo reajuste por dólar. La factura se emite en CLP según la UF del vencimiento acordado, calculando el IVA sobre la base en CLP. Los importes de IVA en UF son referenciales.</w:t>
      </w:r>
    </w:p>
    <w:p>
      <w:pPr>
        <w:pStyle w:val="BodyText"/>
      </w:pPr>
      <w:r>
        <w:t xml:space="preserve">Referencias consultadas el 15 de octubre de 2026: UF CLP 41.162,73 y dólar observado CLP 987,03.</w:t>
      </w:r>
      <w:r>
        <w:t xml:space="preserve"> </w:t>
      </w:r>
      <w:hyperlink r:id="rId45">
        <w:r>
          <w:rPr>
            <w:rStyle w:val="Hyperlink"/>
          </w:rPr>
          <w:t xml:space="preserve">Banco Central de Chile</w:t>
        </w:r>
      </w:hyperlink>
      <w:r>
        <w:t xml:space="preserve">,</w:t>
      </w:r>
      <w:r>
        <w:t xml:space="preserve"> </w:t>
      </w:r>
      <w:hyperlink r:id="rId46">
        <w:r>
          <w:rPr>
            <w:rStyle w:val="Hyperlink"/>
          </w:rPr>
          <w:t xml:space="preserve">UF SII</w:t>
        </w:r>
      </w:hyperlink>
      <w:r>
        <w:t xml:space="preserve"> </w:t>
      </w:r>
      <w:r>
        <w:t xml:space="preserve">e</w:t>
      </w:r>
      <w:r>
        <w:t xml:space="preserve"> </w:t>
      </w:r>
      <w:hyperlink r:id="rId47">
        <w:r>
          <w:rPr>
            <w:rStyle w:val="Hyperlink"/>
          </w:rPr>
          <w:t xml:space="preserve">IVA SII</w:t>
        </w:r>
      </w:hyperlink>
      <w:r>
        <w:t xml:space="preserve">. Vigencia comercial propuesta de 30 días.</w:t>
      </w:r>
    </w:p>
    <w:bookmarkEnd w:id="48"/>
    <w:bookmarkEnd w:id="49"/>
    <w:sectPr>
      <w:footerReference r:id="rId9" w:type="default"/>
      <w:headerReference w:type="default" r:id="rId2"/>
      <w:headerReference w:type="first" r:id="rId3"/>
      <w:footerReference w:type="first" r:id="rId4"/>
      <w:footnotePr>
        <w:numRestart w:val="eachSect"/>
      </w:footnotePr>
      <w:pgSz w:w="12240" w:h="15840"/>
      <w:pgMar w:bottom="936" w:left="1152" w:right="1152" w:top="100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15 octubre 2026  ·  somos@mo-ai.cl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15 octubre 2026  ·  somos@mo-ai.cl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MoAI  |  Propuesta para Vertia Group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6263640" cy="671104"/>
          <wp:docPr id="1" name="Picture 1"/>
          <wp:cNvGraphicFramePr>
            <a:graphicFrameLocks noChangeAspect="1"/>
          </wp:cNvGraphicFramePr>
          <a:graphic>
            <a:graphicData uri="http://schemas.openxmlformats.org/drawingml/2006/picture">
              <pic:pic>
                <pic:nvPicPr>
                  <pic:cNvPr id="0" name="contratos-marcas.png"/>
                  <pic:cNvPicPr/>
                </pic:nvPicPr>
                <pic:blipFill>
                  <a:blip r:embed="rId1"/>
                  <a:stretch>
                    <a:fillRect/>
                  </a:stretch>
                </pic:blipFill>
                <pic:spPr>
                  <a:xfrm>
                    <a:off x="0" y="0"/>
                    <a:ext cx="6263640" cy="671104"/>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59" w:lineRule="auto"/>
    </w:pPr>
    <w:rPr>
      <w:rFonts w:ascii="Calibri" w:hAnsi="Calibri"/>
      <w:color w:val="000000"/>
      <w:sz w:val="22"/>
    </w:rPr>
  </w:style>
  <w:style w:styleId="BodyText" w:type="paragraph">
    <w:name w:val="Body Text"/>
    <w:basedOn w:val="Normal"/>
    <w:link w:val="BodyTextChar"/>
    <w:qFormat/>
    <w:pPr>
      <w:spacing w:after="180" w:before="180"/>
    </w:pPr>
    <w:rPr>
      <w:rFonts w:ascii="Calibri" w:hAnsi="Calibri"/>
      <w:color w:val="000000"/>
    </w:rPr>
  </w:style>
  <w:style w:customStyle="1" w:styleId="FirstParagraph" w:type="paragraph">
    <w:name w:val="First Paragraph"/>
    <w:basedOn w:val="BodyText"/>
    <w:next w:val="BodyText"/>
    <w:qFormat/>
    <w:rPr>
      <w:rFonts w:ascii="Calibri" w:hAnsi="Calibri"/>
      <w:color w:val="000000"/>
    </w:rPr>
  </w:style>
  <w:style w:customStyle="1" w:styleId="Compact" w:type="paragraph">
    <w:name w:val="Compact"/>
    <w:basedOn w:val="BodyText"/>
    <w:qFormat/>
    <w:pPr>
      <w:spacing w:after="36" w:before="36"/>
    </w:pPr>
    <w:rPr>
      <w:rFonts w:ascii="Calibri" w:hAnsi="Calibri"/>
      <w:color w:val="000000"/>
    </w:rPr>
  </w:style>
  <w:style w:styleId="Title" w:type="paragraph">
    <w:name w:val="Title"/>
    <w:basedOn w:val="Normal"/>
    <w:next w:val="BodyText"/>
    <w:link w:val="TitleChar"/>
    <w:uiPriority w:val="10"/>
    <w:qFormat/>
    <w:rsid w:val="00A10FD9"/>
    <w:pPr>
      <w:keepNext/>
      <w:spacing w:after="160" w:line="240" w:lineRule="auto" w:before="300"/>
      <w:contextualSpacing/>
      <w:jc w:val="center"/>
    </w:pPr>
    <w:rPr>
      <w:rFonts w:ascii="Calibri" w:asciiTheme="majorHAnsi" w:cstheme="majorBidi" w:eastAsiaTheme="majorEastAsia" w:hAnsi="Calibri" w:hAnsiTheme="majorHAnsi"/>
      <w:b/>
      <w:color w:val="000000"/>
      <w:sz w:val="5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theme="majorBidi" w:eastAsiaTheme="majorEastAsia" w:hAnsi="Calibri"/>
      <w:b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Calibri" w:hAnsi="Calibri"/>
      <w:color w:val="000000"/>
      <w:sz w:val="24"/>
      <w:szCs w:val="24"/>
    </w:rPr>
  </w:style>
  <w:style w:styleId="Date" w:type="paragraph">
    <w:name w:val="Date"/>
    <w:basedOn w:val="Title"/>
    <w:next w:val="BodyText"/>
    <w:qFormat/>
    <w:pPr>
      <w:keepNext/>
      <w:keepLines/>
    </w:pPr>
    <w:rPr>
      <w:rFonts w:ascii="Calibri" w:hAnsi="Calibri"/>
      <w:color w:val="000000"/>
      <w:sz w:val="24"/>
      <w:szCs w:val="24"/>
    </w:rPr>
  </w:style>
  <w:style w:customStyle="1" w:styleId="AbstractTitle" w:type="paragraph">
    <w:name w:val="Abstract Title"/>
    <w:basedOn w:val="Normal"/>
    <w:next w:val="Abstract"/>
    <w:qFormat/>
    <w:pPr>
      <w:keepNext/>
      <w:keepLines/>
      <w:spacing w:after="0" w:before="300"/>
      <w:jc w:val="center"/>
    </w:pPr>
    <w:rPr>
      <w:rFonts w:ascii="Calibri" w:hAnsi="Calibri"/>
      <w:b/>
      <w:color w:val="000000"/>
      <w:sz w:val="20"/>
      <w:szCs w:val="20"/>
    </w:rPr>
  </w:style>
  <w:style w:customStyle="1" w:styleId="Abstract" w:type="paragraph">
    <w:name w:val="Abstract"/>
    <w:basedOn w:val="Normal"/>
    <w:next w:val="BodyText"/>
    <w:qFormat/>
    <w:pPr>
      <w:keepNext/>
      <w:keepLines/>
      <w:spacing w:after="300" w:before="100"/>
    </w:pPr>
    <w:rPr>
      <w:rFonts w:ascii="Calibri" w:hAnsi="Calibri"/>
      <w:color w:val="000000"/>
      <w:sz w:val="20"/>
      <w:szCs w:val="20"/>
    </w:rPr>
  </w:style>
  <w:style w:styleId="Bibliography" w:type="paragraph">
    <w:name w:val="Bibliography"/>
    <w:basedOn w:val="Normal"/>
    <w:next w:val="Bibliography"/>
    <w:qFormat/>
    <w:pPr/>
    <w:rPr>
      <w:rFonts w:ascii="Calibri" w:hAnsi="Calibri"/>
      <w:color w:val="000000"/>
    </w:rPr>
  </w:style>
  <w:style w:styleId="Heading1" w:type="paragraph">
    <w:name w:val="heading 1"/>
    <w:basedOn w:val="Normal"/>
    <w:next w:val="BodyText"/>
    <w:link w:val="Heading1Char"/>
    <w:uiPriority w:val="9"/>
    <w:qFormat/>
    <w:rsid w:val="00A10FD9"/>
    <w:pPr>
      <w:keepNext/>
      <w:keepLines/>
      <w:spacing w:after="160" w:before="300"/>
      <w:outlineLvl w:val="0"/>
    </w:pPr>
    <w:rPr>
      <w:rFonts w:ascii="Calibri" w:asciiTheme="majorHAnsi" w:cstheme="majorBidi" w:eastAsiaTheme="majorEastAsia" w:hAnsi="Calibri" w:hAnsiTheme="majorHAnsi"/>
      <w:b/>
      <w:color w:val="000000"/>
      <w:sz w:val="38"/>
      <w:szCs w:val="40"/>
    </w:rPr>
  </w:style>
  <w:style w:styleId="Heading2" w:type="paragraph">
    <w:name w:val="heading 2"/>
    <w:basedOn w:val="Normal"/>
    <w:next w:val="BodyText"/>
    <w:link w:val="Heading2Char"/>
    <w:uiPriority w:val="9"/>
    <w:semiHidden/>
    <w:unhideWhenUsed/>
    <w:qFormat/>
    <w:rsid w:val="00A10FD9"/>
    <w:pPr>
      <w:keepNext/>
      <w:keepLines/>
      <w:spacing w:after="160" w:before="300"/>
      <w:outlineLvl w:val="1"/>
    </w:pPr>
    <w:rPr>
      <w:rFonts w:ascii="Calibri" w:asciiTheme="majorHAnsi" w:cstheme="majorBidi" w:eastAsiaTheme="majorEastAsia" w:hAnsi="Calibri" w:hAnsiTheme="majorHAnsi"/>
      <w:b/>
      <w:color w:val="000000"/>
      <w:sz w:val="30"/>
      <w:szCs w:val="32"/>
    </w:rPr>
  </w:style>
  <w:style w:styleId="Heading3" w:type="paragraph">
    <w:name w:val="heading 3"/>
    <w:basedOn w:val="Normal"/>
    <w:next w:val="BodyText"/>
    <w:link w:val="Heading3Char"/>
    <w:uiPriority w:val="9"/>
    <w:semiHidden/>
    <w:unhideWhenUsed/>
    <w:qFormat/>
    <w:rsid w:val="00A10FD9"/>
    <w:pPr>
      <w:keepNext/>
      <w:keepLines/>
      <w:spacing w:after="160" w:before="300"/>
      <w:outlineLvl w:val="2"/>
    </w:pPr>
    <w:rPr>
      <w:rFonts w:ascii="Calibri" w:cstheme="majorBidi" w:eastAsiaTheme="majorEastAsia" w:hAnsi="Calibri"/>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Theme="majorEastAsia" w:hAnsi="Calibri"/>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Calibri" w:hAnsi="Calibri"/>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Calibri" w:hAnsi="Calibri"/>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Calibri" w:hAnsi="Calibri"/>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Calibri" w:hAnsi="Calibri"/>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Calibri" w:hAnsi="Calibri"/>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000000"/>
    </w:rPr>
  </w:style>
  <w:style w:styleId="FootnoteText" w:type="paragraph">
    <w:name w:val="Footnote Text"/>
    <w:basedOn w:val="Normal"/>
    <w:next w:val="FootnoteText"/>
    <w:uiPriority w:val="9"/>
    <w:unhideWhenUsed/>
    <w:qFormat/>
    <w:rPr>
      <w:rFonts w:ascii="Calibri" w:hAnsi="Calibri"/>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hAnsi="Calibri"/>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b/>
      <w:color w:val="000000"/>
    </w:rPr>
  </w:style>
  <w:style w:customStyle="1" w:styleId="Definition" w:type="paragraph">
    <w:name w:val="Definition"/>
    <w:basedOn w:val="Normal"/>
    <w:rPr>
      <w:rFonts w:ascii="Calibri" w:hAnsi="Calibri"/>
      <w:color w:val="000000"/>
    </w:rPr>
  </w:style>
  <w:style w:styleId="Caption" w:type="paragraph">
    <w:name w:val="Caption"/>
    <w:basedOn w:val="Normal"/>
    <w:link w:val="BodyTextChar"/>
    <w:pPr>
      <w:spacing w:after="120" w:before="0"/>
    </w:pPr>
    <w:rPr>
      <w:rFonts w:ascii="Calibri" w:hAnsi="Calibri"/>
      <w:i/>
      <w:color w:val="000000"/>
    </w:rPr>
  </w:style>
  <w:style w:customStyle="1" w:styleId="TableCaption" w:type="paragraph">
    <w:name w:val="Table Caption"/>
    <w:basedOn w:val="Caption"/>
    <w:pPr>
      <w:keepNext/>
    </w:pPr>
    <w:rPr>
      <w:rFonts w:ascii="Calibri" w:hAnsi="Calibri"/>
      <w:color w:val="000000"/>
    </w:rPr>
  </w:style>
  <w:style w:customStyle="1" w:styleId="ImageCaption" w:type="paragraph">
    <w:name w:val="Image Caption"/>
    <w:basedOn w:val="Caption"/>
    <w:rPr>
      <w:rFonts w:ascii="Calibri" w:hAnsi="Calibri"/>
      <w:color w:val="000000"/>
    </w:rPr>
  </w:style>
  <w:style w:customStyle="1" w:styleId="Figure" w:type="paragraph">
    <w:name w:val="Figure"/>
    <w:basedOn w:val="Normal"/>
    <w:rPr>
      <w:rFonts w:ascii="Calibri" w:hAnsi="Calibri"/>
      <w:color w:val="000000"/>
    </w:rPr>
  </w:style>
  <w:style w:customStyle="1" w:styleId="CaptionedFigure" w:type="paragraph">
    <w:name w:val="Captioned Figure"/>
    <w:basedOn w:val="Figure"/>
    <w:pPr>
      <w:keepNext/>
    </w:pPr>
    <w:rPr>
      <w:rFonts w:ascii="Calibri" w:hAnsi="Calibri"/>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b w:val="0"/>
      <w:bCs w:val="0"/>
      <w:color w:val="000000"/>
    </w:rPr>
  </w:style>
  <w:style w:type="paragraph" w:customStyle="1" w:styleId="SourceCode">
    <w:name w:val="Source Code"/>
    <w:basedOn w:val="Normal"/>
    <w:link w:val="VerbatimChar"/>
    <w:pPr>
      <w:wordWrap w:val="off"/>
    </w:pPr>
    <w:rPr>
      <w:rFonts w:ascii="Calibri" w:hAnsi="Calibri"/>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45" Type="http://schemas.openxmlformats.org/officeDocument/2006/relationships/hyperlink" Target="https://si3.bcentral.cl/indicadoressiete/secure/IndicadoresDiarios.aspx?Idioma=es-CL" TargetMode="External"/><Relationship Id="rId47" Type="http://schemas.openxmlformats.org/officeDocument/2006/relationships/hyperlink" Target="https://www.sii.cl/preguntas_frecuentes/impuestos_mensuales/001_130_0572.htm" TargetMode="External"/><Relationship Id="rId46" Type="http://schemas.openxmlformats.org/officeDocument/2006/relationships/hyperlink" Target="https://www.sii.cl/valores_y_fechas/uf/uf2026.htm" TargetMode="External"/><Relationship Id="rId1" Type="http://schemas.openxmlformats.org/officeDocument/2006/relationships/image" Target="media/image1.png"/><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2.xml"/></Relationships>
</file>

<file path=word/_rels/footnotes.xml.rels><?xml version='1.0' encoding='UTF-8' standalone='yes'?>
<Relationships xmlns="http://schemas.openxmlformats.org/package/2006/relationships"><Relationship Id="rId45" Type="http://schemas.openxmlformats.org/officeDocument/2006/relationships/hyperlink" Target="https://si3.bcentral.cl/indicadoressiete/secure/IndicadoresDiarios.aspx?Idioma=es-CL" TargetMode="External"/><Relationship Id="rId47" Type="http://schemas.openxmlformats.org/officeDocument/2006/relationships/hyperlink" Target="https://www.sii.cl/preguntas_frecuentes/impuestos_mensuales/001_130_0572.htm" TargetMode="External"/><Relationship Id="rId46" Type="http://schemas.openxmlformats.org/officeDocument/2006/relationships/hyperlink" Target="https://www.sii.cl/valores_y_fechas/uf/uf2026.ht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2026-10-15T22:03:14Z</dcterms:created>
  <dcterms:modified xsi:type="dcterms:W3CDTF">2026-10-15T22:03:14Z</dcterms:modified>
</cp:coreProperties>
</file>

<file path=docProps/custom.xml><?xml version="1.0" encoding="utf-8"?>
<Properties xmlns="http://schemas.openxmlformats.org/officeDocument/2006/custom-properties" xmlns:vt="http://schemas.openxmlformats.org/officeDocument/2006/docPropsVTypes"/>
</file>