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A10" w:rsidRDefault="008C41AC">
      <w:pPr>
        <w:rPr>
          <w:rFonts w:ascii="Arial Black" w:hAnsi="Arial Black"/>
          <w:sz w:val="32"/>
          <w:szCs w:val="32"/>
        </w:rPr>
      </w:pPr>
      <w:r w:rsidRPr="008C41AC">
        <w:rPr>
          <w:rFonts w:ascii="Arial Black" w:hAnsi="Arial Black"/>
          <w:sz w:val="32"/>
          <w:szCs w:val="32"/>
        </w:rPr>
        <w:t>Passo 5 - Lista de Restrições.</w:t>
      </w:r>
    </w:p>
    <w:p w:rsidR="00CC6D98" w:rsidRPr="008C41AC" w:rsidRDefault="00CC6D98" w:rsidP="008C41AC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97"/>
        <w:gridCol w:w="5097"/>
      </w:tblGrid>
      <w:tr w:rsidR="00CC6D98" w:rsidTr="00CC6D98">
        <w:tc>
          <w:tcPr>
            <w:tcW w:w="3397" w:type="dxa"/>
          </w:tcPr>
          <w:p w:rsidR="00CC6D98" w:rsidRPr="00CC6D98" w:rsidRDefault="00CC6D98" w:rsidP="008C41A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CC6D98">
              <w:rPr>
                <w:rFonts w:ascii="Arial" w:hAnsi="Arial" w:cs="Arial"/>
                <w:b/>
                <w:sz w:val="28"/>
                <w:szCs w:val="28"/>
              </w:rPr>
              <w:t>Restrição</w:t>
            </w:r>
          </w:p>
        </w:tc>
        <w:tc>
          <w:tcPr>
            <w:tcW w:w="5097" w:type="dxa"/>
          </w:tcPr>
          <w:p w:rsidR="00CC6D98" w:rsidRPr="00CC6D98" w:rsidRDefault="00CC6D98" w:rsidP="00CC6D98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Razão (l</w:t>
            </w:r>
            <w:r w:rsidRPr="00CC6D98">
              <w:rPr>
                <w:rFonts w:ascii="Arial" w:hAnsi="Arial" w:cs="Arial"/>
                <w:b/>
                <w:sz w:val="28"/>
                <w:szCs w:val="28"/>
              </w:rPr>
              <w:t>ógica</w:t>
            </w:r>
            <w:r>
              <w:rPr>
                <w:rFonts w:ascii="Arial" w:hAnsi="Arial" w:cs="Arial"/>
                <w:b/>
                <w:sz w:val="28"/>
                <w:szCs w:val="28"/>
              </w:rPr>
              <w:t>)</w:t>
            </w:r>
          </w:p>
        </w:tc>
      </w:tr>
      <w:tr w:rsidR="00CC6D98" w:rsidTr="00CC6D98">
        <w:tc>
          <w:tcPr>
            <w:tcW w:w="3397" w:type="dxa"/>
          </w:tcPr>
          <w:p w:rsidR="00CC6D98" w:rsidRDefault="00CC6D98" w:rsidP="008C41AC">
            <w:pPr>
              <w:rPr>
                <w:rFonts w:ascii="Arial" w:hAnsi="Arial" w:cs="Arial"/>
                <w:sz w:val="28"/>
                <w:szCs w:val="28"/>
              </w:rPr>
            </w:pPr>
            <w:r w:rsidRPr="008C41AC">
              <w:rPr>
                <w:rFonts w:ascii="Arial" w:hAnsi="Arial" w:cs="Arial"/>
                <w:sz w:val="28"/>
                <w:szCs w:val="28"/>
              </w:rPr>
              <w:t>Deve custar menos que a solução mecânica existente</w:t>
            </w:r>
          </w:p>
        </w:tc>
        <w:tc>
          <w:tcPr>
            <w:tcW w:w="5097" w:type="dxa"/>
          </w:tcPr>
          <w:p w:rsidR="00CC6D98" w:rsidRPr="00CC6D98" w:rsidRDefault="00CC6D98" w:rsidP="008C41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solução atual para controle da vazão das bombas utilizadas no tratamento do solo é feito por meio de estrangulamento da saída por válvula de gaveta. Embora uma válvula de gaveta tenha um custo muito baixo, a energia elétrica desperdiçada é dispendiosa a longo prazo. A nova solução deve ter um custo operacional menor que a solução atual, mesmo tendo um custo inicial mais alto.</w:t>
            </w:r>
          </w:p>
        </w:tc>
      </w:tr>
      <w:tr w:rsidR="00CC6D98" w:rsidTr="00CC6D98">
        <w:tc>
          <w:tcPr>
            <w:tcW w:w="3397" w:type="dxa"/>
          </w:tcPr>
          <w:p w:rsidR="00CC6D98" w:rsidRDefault="00CC6D98" w:rsidP="008C41AC">
            <w:pPr>
              <w:rPr>
                <w:rFonts w:ascii="Arial" w:hAnsi="Arial" w:cs="Arial"/>
                <w:sz w:val="28"/>
                <w:szCs w:val="28"/>
              </w:rPr>
            </w:pPr>
            <w:r w:rsidRPr="008C41AC">
              <w:rPr>
                <w:rFonts w:ascii="Arial" w:hAnsi="Arial" w:cs="Arial"/>
                <w:sz w:val="28"/>
                <w:szCs w:val="28"/>
              </w:rPr>
              <w:t>Deve funcionar em qualquer rede el</w:t>
            </w:r>
            <w:r>
              <w:rPr>
                <w:rFonts w:ascii="Arial" w:hAnsi="Arial" w:cs="Arial"/>
                <w:sz w:val="28"/>
                <w:szCs w:val="28"/>
              </w:rPr>
              <w:t>étrica do</w:t>
            </w:r>
            <w:r w:rsidRPr="008C41AC">
              <w:rPr>
                <w:rFonts w:ascii="Arial" w:hAnsi="Arial" w:cs="Arial"/>
                <w:sz w:val="28"/>
                <w:szCs w:val="28"/>
              </w:rPr>
              <w:t xml:space="preserve"> pa</w:t>
            </w:r>
            <w:r>
              <w:rPr>
                <w:rFonts w:ascii="Arial" w:hAnsi="Arial" w:cs="Arial"/>
                <w:sz w:val="28"/>
                <w:szCs w:val="28"/>
              </w:rPr>
              <w:t>í</w:t>
            </w:r>
            <w:r w:rsidRPr="008C41AC">
              <w:rPr>
                <w:rFonts w:ascii="Arial" w:hAnsi="Arial" w:cs="Arial"/>
                <w:sz w:val="28"/>
                <w:szCs w:val="28"/>
              </w:rPr>
              <w:t>s</w:t>
            </w:r>
          </w:p>
        </w:tc>
        <w:tc>
          <w:tcPr>
            <w:tcW w:w="5097" w:type="dxa"/>
          </w:tcPr>
          <w:p w:rsidR="00CC6D98" w:rsidRPr="00CC6D98" w:rsidRDefault="00CC6D98" w:rsidP="008C41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Como o serviço é executado em várias regiões do país, e a rede elétrica disponível em alguns ambientes industriais pode ser de 380V, o equipamento deve ser projetado para operar tanto na rede padrão de 220V quanto na rede industrial de 380V.</w:t>
            </w:r>
          </w:p>
        </w:tc>
      </w:tr>
      <w:tr w:rsidR="00CC6D98" w:rsidTr="00CC6D98">
        <w:tc>
          <w:tcPr>
            <w:tcW w:w="3397" w:type="dxa"/>
          </w:tcPr>
          <w:p w:rsidR="00CC6D98" w:rsidRDefault="00CC6D98" w:rsidP="008C41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Deve comunicar com protocolos padrão CLP</w:t>
            </w:r>
          </w:p>
        </w:tc>
        <w:tc>
          <w:tcPr>
            <w:tcW w:w="5097" w:type="dxa"/>
          </w:tcPr>
          <w:p w:rsidR="00CC6D98" w:rsidRPr="00CC6D98" w:rsidRDefault="00D21A5B" w:rsidP="008C41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equipamento deverá poder ser programado por meio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CLPs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padrão disponíveis no mercardo.</w:t>
            </w:r>
            <w:bookmarkStart w:id="0" w:name="_GoBack"/>
            <w:bookmarkEnd w:id="0"/>
          </w:p>
        </w:tc>
      </w:tr>
    </w:tbl>
    <w:p w:rsidR="008C41AC" w:rsidRPr="008C41AC" w:rsidRDefault="008C41AC" w:rsidP="008C41AC">
      <w:pPr>
        <w:rPr>
          <w:rFonts w:ascii="Arial" w:hAnsi="Arial" w:cs="Arial"/>
          <w:sz w:val="28"/>
          <w:szCs w:val="28"/>
        </w:rPr>
      </w:pPr>
    </w:p>
    <w:sectPr w:rsidR="008C41AC" w:rsidRPr="008C4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1AC"/>
    <w:rsid w:val="008C41AC"/>
    <w:rsid w:val="00CC6D98"/>
    <w:rsid w:val="00D21A5B"/>
    <w:rsid w:val="00FC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8E6209-765C-4570-A08F-C54D9D5EC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C6D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143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Madara</dc:creator>
  <cp:keywords/>
  <dc:description/>
  <cp:lastModifiedBy>Carlos Eduardo Foltran</cp:lastModifiedBy>
  <cp:revision>2</cp:revision>
  <dcterms:created xsi:type="dcterms:W3CDTF">2019-10-08T02:33:00Z</dcterms:created>
  <dcterms:modified xsi:type="dcterms:W3CDTF">2019-10-28T14:25:00Z</dcterms:modified>
</cp:coreProperties>
</file>