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532A" w:rsidRDefault="00C6532A" w:rsidP="00C6532A">
      <w:pPr>
        <w:jc w:val="center"/>
        <w:rPr>
          <w:rStyle w:val="Strong"/>
          <w:rFonts w:eastAsiaTheme="minorHAnsi"/>
          <w:sz w:val="32"/>
        </w:rPr>
      </w:pPr>
      <w:bookmarkStart w:id="0" w:name="_Toc386620603"/>
      <w:r>
        <w:rPr>
          <w:rStyle w:val="Strong"/>
          <w:sz w:val="32"/>
        </w:rPr>
        <w:t>Lista de Regras de Negócio</w:t>
      </w:r>
    </w:p>
    <w:p w:rsidR="00C6532A" w:rsidRDefault="00C6532A" w:rsidP="00C6532A"/>
    <w:p w:rsidR="00C6532A" w:rsidRDefault="00C6532A" w:rsidP="00C6532A">
      <w:pPr>
        <w:pStyle w:val="Heading1"/>
      </w:pPr>
      <w:r>
        <w:t>Introdução</w:t>
      </w:r>
      <w:bookmarkEnd w:id="0"/>
    </w:p>
    <w:p w:rsidR="00C6532A" w:rsidRDefault="00C6532A" w:rsidP="00C6532A"/>
    <w:p w:rsidR="00D30FA5" w:rsidRDefault="00C6532A" w:rsidP="00C6532A">
      <w:pPr>
        <w:ind w:firstLine="360"/>
      </w:pPr>
      <w:r>
        <w:t xml:space="preserve">Este documento especifica as regras negociais </w:t>
      </w:r>
      <w:r>
        <w:t>referentes as atividades primordiais de um sistema de remediação de água subterrânea, contemplando a viabilidade financeira do projeto, sua instalação, operação e desinstalação.</w:t>
      </w:r>
    </w:p>
    <w:p w:rsidR="00C6532A" w:rsidRDefault="00C6532A" w:rsidP="00C6532A">
      <w:pPr>
        <w:ind w:firstLine="360"/>
      </w:pPr>
    </w:p>
    <w:p w:rsidR="00C6532A" w:rsidRDefault="00C6532A" w:rsidP="00C6532A">
      <w:pPr>
        <w:pStyle w:val="Heading1"/>
        <w:rPr>
          <w:rFonts w:asciiTheme="majorHAnsi" w:eastAsiaTheme="majorEastAsia" w:hAnsiTheme="majorHAnsi"/>
        </w:rPr>
      </w:pPr>
      <w:bookmarkStart w:id="1" w:name="_Toc387912583"/>
      <w:r>
        <w:t>Referências</w:t>
      </w:r>
      <w:bookmarkEnd w:id="1"/>
    </w:p>
    <w:p w:rsidR="00C6532A" w:rsidRDefault="00C6532A" w:rsidP="00C6532A"/>
    <w:p w:rsidR="00C6532A" w:rsidRDefault="00C6532A" w:rsidP="00C6532A">
      <w:pPr>
        <w:spacing w:after="120"/>
        <w:ind w:firstLine="360"/>
      </w:pPr>
      <w:r>
        <w:t>Documento de “</w:t>
      </w:r>
      <w:r>
        <w:t>19. Regras de Negócio (ANEXO I).</w:t>
      </w:r>
      <w:proofErr w:type="spellStart"/>
      <w:r>
        <w:t>pptx</w:t>
      </w:r>
      <w:proofErr w:type="spellEnd"/>
      <w:r>
        <w:t xml:space="preserve">”, </w:t>
      </w:r>
      <w:r w:rsidR="003C56B7">
        <w:t>exemplifica a aplicação de cada regra dentro do fluxo de operação do negócio</w:t>
      </w:r>
      <w:r>
        <w:t>.</w:t>
      </w:r>
    </w:p>
    <w:p w:rsidR="00C6532A" w:rsidRDefault="00C6532A" w:rsidP="00C6532A">
      <w:pPr>
        <w:spacing w:after="120"/>
        <w:ind w:firstLine="360"/>
      </w:pPr>
    </w:p>
    <w:p w:rsidR="00C6532A" w:rsidRDefault="00C6532A" w:rsidP="00C6532A">
      <w:pPr>
        <w:pStyle w:val="Heading1"/>
        <w:rPr>
          <w:rFonts w:asciiTheme="majorHAnsi" w:eastAsiaTheme="majorEastAsia" w:hAnsiTheme="majorHAnsi"/>
        </w:rPr>
      </w:pPr>
      <w:bookmarkStart w:id="2" w:name="_Toc387912584"/>
      <w:r>
        <w:t>Definições, Acrônimos e Abreviações</w:t>
      </w:r>
      <w:bookmarkEnd w:id="2"/>
    </w:p>
    <w:p w:rsidR="00C6532A" w:rsidRDefault="00C6532A" w:rsidP="00C6532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9"/>
        <w:gridCol w:w="7501"/>
      </w:tblGrid>
      <w:tr w:rsidR="00C6532A" w:rsidTr="00C6532A">
        <w:trPr>
          <w:trHeight w:val="287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6532A" w:rsidRDefault="00C6532A">
            <w:pPr>
              <w:spacing w:after="0"/>
            </w:pPr>
            <w:r>
              <w:t>Termo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6532A" w:rsidRDefault="00C6532A">
            <w:pPr>
              <w:spacing w:after="0"/>
            </w:pPr>
            <w:r>
              <w:t>Descrição</w:t>
            </w:r>
          </w:p>
        </w:tc>
      </w:tr>
      <w:tr w:rsidR="00C6532A" w:rsidTr="00C6532A">
        <w:trPr>
          <w:trHeight w:val="287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32A" w:rsidRDefault="00C6532A">
            <w:pPr>
              <w:spacing w:after="0"/>
            </w:pPr>
            <w:r>
              <w:t>RN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32A" w:rsidRDefault="00C6532A">
            <w:pPr>
              <w:spacing w:after="0"/>
            </w:pPr>
            <w:r>
              <w:t>Regra de Negócio</w:t>
            </w:r>
          </w:p>
        </w:tc>
      </w:tr>
      <w:tr w:rsidR="00C6532A" w:rsidTr="00C6532A">
        <w:trPr>
          <w:trHeight w:val="287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2A" w:rsidRDefault="00C6532A">
            <w:pPr>
              <w:spacing w:after="0"/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2A" w:rsidRDefault="00C6532A">
            <w:pPr>
              <w:spacing w:after="0"/>
            </w:pPr>
          </w:p>
        </w:tc>
      </w:tr>
      <w:tr w:rsidR="00C6532A" w:rsidTr="00C6532A">
        <w:trPr>
          <w:trHeight w:val="287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2A" w:rsidRDefault="00C6532A">
            <w:pPr>
              <w:spacing w:after="0"/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2A" w:rsidRDefault="00C6532A">
            <w:pPr>
              <w:spacing w:after="0"/>
            </w:pPr>
          </w:p>
        </w:tc>
      </w:tr>
      <w:tr w:rsidR="00C6532A" w:rsidTr="00C6532A">
        <w:trPr>
          <w:trHeight w:val="287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2A" w:rsidRDefault="00C6532A">
            <w:pPr>
              <w:spacing w:after="0"/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2A" w:rsidRDefault="00C6532A">
            <w:pPr>
              <w:spacing w:after="0"/>
            </w:pPr>
          </w:p>
        </w:tc>
      </w:tr>
      <w:tr w:rsidR="00C6532A" w:rsidTr="00C6532A">
        <w:trPr>
          <w:trHeight w:val="287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2A" w:rsidRDefault="00C6532A">
            <w:pPr>
              <w:spacing w:after="0"/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32A" w:rsidRDefault="00C6532A">
            <w:pPr>
              <w:spacing w:after="0"/>
            </w:pPr>
          </w:p>
        </w:tc>
      </w:tr>
    </w:tbl>
    <w:p w:rsidR="00C6532A" w:rsidRDefault="00C6532A" w:rsidP="00C6532A">
      <w:pPr>
        <w:spacing w:after="120"/>
        <w:ind w:firstLine="360"/>
      </w:pPr>
    </w:p>
    <w:p w:rsidR="00C6532A" w:rsidRDefault="00C6532A" w:rsidP="00C6532A">
      <w:pPr>
        <w:pStyle w:val="Heading1"/>
        <w:rPr>
          <w:rFonts w:asciiTheme="majorHAnsi" w:eastAsiaTheme="majorEastAsia" w:hAnsiTheme="majorHAnsi"/>
        </w:rPr>
      </w:pPr>
      <w:bookmarkStart w:id="3" w:name="_Toc387912585"/>
      <w:r>
        <w:t>Regras de Negócio</w:t>
      </w:r>
      <w:bookmarkEnd w:id="3"/>
    </w:p>
    <w:p w:rsidR="00C6532A" w:rsidRDefault="00C6532A" w:rsidP="00C6532A">
      <w:pPr>
        <w:tabs>
          <w:tab w:val="left" w:pos="2745"/>
        </w:tabs>
        <w:rPr>
          <w:rStyle w:val="SubtleEmphasis"/>
        </w:rPr>
      </w:pPr>
      <w:r>
        <w:rPr>
          <w:rStyle w:val="SubtleEmphasis"/>
        </w:rPr>
        <w:tab/>
      </w:r>
    </w:p>
    <w:p w:rsidR="00C6532A" w:rsidRDefault="00C6532A" w:rsidP="00C6532A">
      <w:pPr>
        <w:pStyle w:val="Heading2"/>
        <w:numPr>
          <w:ilvl w:val="0"/>
          <w:numId w:val="2"/>
        </w:numPr>
        <w:spacing w:before="200"/>
      </w:pPr>
      <w:bookmarkStart w:id="4" w:name="_Toc387912586"/>
      <w:r>
        <w:t>RN</w:t>
      </w:r>
      <w:r>
        <w:t>-0</w:t>
      </w:r>
      <w:r>
        <w:t xml:space="preserve">1 – </w:t>
      </w:r>
      <w:bookmarkEnd w:id="4"/>
      <w:r>
        <w:t>Confidencialidade</w:t>
      </w:r>
    </w:p>
    <w:p w:rsidR="00C6532A" w:rsidRDefault="00C6532A" w:rsidP="00C6532A"/>
    <w:p w:rsidR="00C6532A" w:rsidRDefault="00C6532A" w:rsidP="00C6532A">
      <w:pPr>
        <w:ind w:left="360" w:firstLine="360"/>
      </w:pPr>
      <w:r>
        <w:t xml:space="preserve">Todo projeto, em sua completa amplitude, estará sob acordo de confidencialidade formalizado entre a empresa e o </w:t>
      </w:r>
      <w:r w:rsidR="003C56B7">
        <w:t>c</w:t>
      </w:r>
      <w:r>
        <w:t>liente, corroborad</w:t>
      </w:r>
      <w:r w:rsidR="003C56B7">
        <w:t>o</w:t>
      </w:r>
      <w:r>
        <w:t xml:space="preserve"> por meio de documento assinado, identificando as partes e suas responsabilidades.</w:t>
      </w:r>
    </w:p>
    <w:p w:rsidR="00C6532A" w:rsidRDefault="00C6532A" w:rsidP="00C6532A">
      <w:pPr>
        <w:ind w:left="360" w:firstLine="360"/>
      </w:pPr>
    </w:p>
    <w:p w:rsidR="00C6532A" w:rsidRDefault="00C6532A" w:rsidP="00C6532A">
      <w:pPr>
        <w:pStyle w:val="Heading2"/>
        <w:numPr>
          <w:ilvl w:val="0"/>
          <w:numId w:val="2"/>
        </w:numPr>
        <w:spacing w:before="200"/>
      </w:pPr>
      <w:r>
        <w:lastRenderedPageBreak/>
        <w:t>RN</w:t>
      </w:r>
      <w:r>
        <w:t>-02</w:t>
      </w:r>
      <w:r>
        <w:t xml:space="preserve"> – </w:t>
      </w:r>
      <w:r>
        <w:t>Segurança</w:t>
      </w:r>
      <w:r w:rsidR="00946510">
        <w:t xml:space="preserve"> dos funcionários</w:t>
      </w:r>
    </w:p>
    <w:p w:rsidR="00C6532A" w:rsidRDefault="00C6532A" w:rsidP="00C6532A"/>
    <w:p w:rsidR="00C6532A" w:rsidRDefault="00946510" w:rsidP="00C6532A">
      <w:pPr>
        <w:ind w:left="360" w:firstLine="360"/>
      </w:pPr>
      <w:r>
        <w:t xml:space="preserve">Desde a análise de um projeto, quando do tratamento de uma solicitação de orçamento recebida, até o momento de desinstalação dos equipamentos será levará em consideração, sempre em primeiro lugar, a segurança dos funcionários. Permitindo inclusive a qualquer membro da equipe, o poder de parar qualquer atividade caso não </w:t>
      </w:r>
      <w:r w:rsidR="003C56B7">
        <w:t>se sinta</w:t>
      </w:r>
      <w:r>
        <w:t xml:space="preserve"> seguro em efetuá-la.</w:t>
      </w:r>
    </w:p>
    <w:p w:rsidR="00946510" w:rsidRDefault="00946510" w:rsidP="00C6532A">
      <w:pPr>
        <w:ind w:left="360" w:firstLine="360"/>
      </w:pPr>
    </w:p>
    <w:p w:rsidR="00946510" w:rsidRDefault="00946510" w:rsidP="00946510">
      <w:pPr>
        <w:pStyle w:val="Heading2"/>
        <w:numPr>
          <w:ilvl w:val="0"/>
          <w:numId w:val="2"/>
        </w:numPr>
        <w:spacing w:before="200"/>
      </w:pPr>
      <w:r>
        <w:t>RN-0</w:t>
      </w:r>
      <w:r>
        <w:t>3</w:t>
      </w:r>
      <w:r>
        <w:t xml:space="preserve"> – </w:t>
      </w:r>
      <w:r>
        <w:t>Todos os trabalhos e equipamentos obedecerão às leis de segurança ISO</w:t>
      </w:r>
    </w:p>
    <w:p w:rsidR="00946510" w:rsidRDefault="00946510" w:rsidP="00946510"/>
    <w:p w:rsidR="00946510" w:rsidRDefault="00946510" w:rsidP="00946510">
      <w:pPr>
        <w:ind w:left="360" w:firstLine="360"/>
      </w:pPr>
      <w:r>
        <w:t xml:space="preserve">Todos os procedimentos técnicos serão feitos de acordo com as definições dos </w:t>
      </w:r>
      <w:r w:rsidR="003C56B7">
        <w:t>órgãos</w:t>
      </w:r>
      <w:r>
        <w:t xml:space="preserve"> normativos </w:t>
      </w:r>
      <w:r w:rsidR="003C56B7">
        <w:t>respectivos. Todos equipamentos são enviados para produção (operação no cliente) somente após ser testado, calibrado e devidamente registrado.</w:t>
      </w:r>
    </w:p>
    <w:p w:rsidR="003C56B7" w:rsidRDefault="003C56B7" w:rsidP="00946510">
      <w:pPr>
        <w:ind w:left="360" w:firstLine="360"/>
      </w:pPr>
    </w:p>
    <w:p w:rsidR="003C56B7" w:rsidRDefault="003C56B7" w:rsidP="003C56B7">
      <w:pPr>
        <w:pStyle w:val="Heading2"/>
        <w:numPr>
          <w:ilvl w:val="0"/>
          <w:numId w:val="2"/>
        </w:numPr>
        <w:spacing w:before="200"/>
      </w:pPr>
      <w:r>
        <w:t>RN-0</w:t>
      </w:r>
      <w:r>
        <w:t>4</w:t>
      </w:r>
      <w:r>
        <w:t xml:space="preserve"> – </w:t>
      </w:r>
      <w:r>
        <w:t>Atividades na planta do cliente ficam sob as regras de segurança do local, desde que não conflitem com a RN-01, RN-02 e RN-03.</w:t>
      </w:r>
    </w:p>
    <w:p w:rsidR="003C56B7" w:rsidRDefault="003C56B7" w:rsidP="003C56B7"/>
    <w:p w:rsidR="003C56B7" w:rsidRDefault="003C56B7" w:rsidP="003C56B7">
      <w:pPr>
        <w:ind w:left="360" w:firstLine="360"/>
      </w:pPr>
      <w:r>
        <w:t>Treinamentos, integrações e procedimentos na planta do cliente são de responsabilidade do técnico de segurança local, desde que não infrinjam os apontamentos de confidencialidade, segurança e padronização das atividades da empresa.</w:t>
      </w:r>
    </w:p>
    <w:p w:rsidR="003C56B7" w:rsidRDefault="003C56B7" w:rsidP="00946510">
      <w:pPr>
        <w:ind w:left="360" w:firstLine="360"/>
      </w:pPr>
    </w:p>
    <w:p w:rsidR="003C56B7" w:rsidRDefault="003C56B7" w:rsidP="003C56B7">
      <w:pPr>
        <w:pStyle w:val="Heading2"/>
        <w:numPr>
          <w:ilvl w:val="0"/>
          <w:numId w:val="2"/>
        </w:numPr>
        <w:spacing w:before="200"/>
      </w:pPr>
      <w:r>
        <w:t>RN-0</w:t>
      </w:r>
      <w:r w:rsidR="00265997">
        <w:t>5</w:t>
      </w:r>
      <w:r>
        <w:t xml:space="preserve"> – </w:t>
      </w:r>
      <w:r w:rsidR="00265997">
        <w:t>Toda reclamação será avaliada internamente com prioridade, sem expor a empresa ou o cliente</w:t>
      </w:r>
    </w:p>
    <w:p w:rsidR="003C56B7" w:rsidRDefault="003C56B7" w:rsidP="003C56B7"/>
    <w:p w:rsidR="003C56B7" w:rsidRDefault="00265997" w:rsidP="003C56B7">
      <w:pPr>
        <w:ind w:left="360" w:firstLine="360"/>
      </w:pPr>
      <w:r>
        <w:t>Qualquer reclamação recebida, seja por motivos gerenciais, administrativos ou técnicos serão tratados com prioridade total a partir de sua notificação, sempre preservando o cliente e levando em conta os valores formalizados nas regras anteriores.</w:t>
      </w:r>
    </w:p>
    <w:p w:rsidR="00946510" w:rsidRDefault="00946510" w:rsidP="00C6532A">
      <w:pPr>
        <w:ind w:left="360" w:firstLine="360"/>
      </w:pPr>
    </w:p>
    <w:p w:rsidR="00946510" w:rsidRDefault="00946510" w:rsidP="00C6532A">
      <w:pPr>
        <w:ind w:left="360" w:firstLine="360"/>
      </w:pPr>
    </w:p>
    <w:p w:rsidR="00C6532A" w:rsidRDefault="00C6532A" w:rsidP="00C6532A">
      <w:pPr>
        <w:ind w:left="360" w:firstLine="360"/>
      </w:pPr>
    </w:p>
    <w:p w:rsidR="00C6532A" w:rsidRDefault="00C6532A" w:rsidP="00C6532A"/>
    <w:p w:rsidR="00C6532A" w:rsidRDefault="00C6532A" w:rsidP="00C6532A">
      <w:pPr>
        <w:ind w:firstLine="360"/>
      </w:pPr>
    </w:p>
    <w:sectPr w:rsidR="00C65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E627E"/>
    <w:multiLevelType w:val="hybridMultilevel"/>
    <w:tmpl w:val="CDD6439E"/>
    <w:lvl w:ilvl="0" w:tplc="3A88BCC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C3731"/>
    <w:multiLevelType w:val="hybridMultilevel"/>
    <w:tmpl w:val="89D8AA4C"/>
    <w:lvl w:ilvl="0" w:tplc="632E3C6C">
      <w:start w:val="1"/>
      <w:numFmt w:val="decimal"/>
      <w:lvlText w:val="4.%1"/>
      <w:lvlJc w:val="left"/>
      <w:pPr>
        <w:ind w:left="720" w:hanging="360"/>
      </w:pPr>
      <w:rPr>
        <w:color w:val="2F5496" w:themeColor="accent1" w:themeShade="BF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2A"/>
    <w:rsid w:val="00265997"/>
    <w:rsid w:val="003C56B7"/>
    <w:rsid w:val="00946510"/>
    <w:rsid w:val="00C6532A"/>
    <w:rsid w:val="00D3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26BE"/>
  <w15:chartTrackingRefBased/>
  <w15:docId w15:val="{26E4530A-53C8-4878-B7C0-BC4DB25A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32A"/>
    <w:pPr>
      <w:spacing w:after="200" w:line="240" w:lineRule="auto"/>
      <w:jc w:val="both"/>
    </w:pPr>
    <w:rPr>
      <w:rFonts w:ascii="Arial" w:eastAsia="Calibri" w:hAnsi="Arial" w:cs="Times New Roman"/>
      <w:sz w:val="2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32A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32A"/>
    <w:rPr>
      <w:rFonts w:ascii="Cambria" w:eastAsia="Times New Roman" w:hAnsi="Cambria" w:cs="Times New Roman"/>
      <w:b/>
      <w:bCs/>
      <w:color w:val="365F91"/>
      <w:sz w:val="28"/>
      <w:szCs w:val="28"/>
      <w:lang w:val="pt-BR"/>
    </w:rPr>
  </w:style>
  <w:style w:type="table" w:styleId="TableGrid">
    <w:name w:val="Table Grid"/>
    <w:basedOn w:val="TableNormal"/>
    <w:uiPriority w:val="59"/>
    <w:rsid w:val="00C6532A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6532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3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character" w:styleId="SubtleEmphasis">
    <w:name w:val="Subtle Emphasis"/>
    <w:basedOn w:val="DefaultParagraphFont"/>
    <w:uiPriority w:val="19"/>
    <w:qFormat/>
    <w:rsid w:val="00C6532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Pavelski</dc:creator>
  <cp:keywords/>
  <dc:description/>
  <cp:lastModifiedBy>Willians Pavelski</cp:lastModifiedBy>
  <cp:revision>1</cp:revision>
  <dcterms:created xsi:type="dcterms:W3CDTF">2020-05-01T05:40:00Z</dcterms:created>
  <dcterms:modified xsi:type="dcterms:W3CDTF">2020-05-01T06:18:00Z</dcterms:modified>
</cp:coreProperties>
</file>