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F23E" w14:textId="4BBA4D90" w:rsidR="005E6978" w:rsidRPr="005E703C" w:rsidRDefault="005E6978" w:rsidP="00D008B5">
      <w:pPr>
        <w:spacing w:after="0" w:line="240" w:lineRule="auto"/>
        <w:jc w:val="center"/>
        <w:rPr>
          <w:rFonts w:cs="Arial"/>
          <w:b/>
          <w:szCs w:val="20"/>
        </w:rPr>
      </w:pPr>
      <w:r w:rsidRPr="005E703C">
        <w:rPr>
          <w:rFonts w:cs="Arial"/>
          <w:b/>
          <w:szCs w:val="20"/>
        </w:rPr>
        <w:t xml:space="preserve">LEY DE TRANSPARENCIA Y </w:t>
      </w:r>
      <w:r w:rsidR="00FE7274" w:rsidRPr="005E703C">
        <w:rPr>
          <w:rFonts w:cs="Arial"/>
          <w:b/>
          <w:szCs w:val="20"/>
        </w:rPr>
        <w:t xml:space="preserve">DEL DERECHO DE </w:t>
      </w:r>
      <w:r w:rsidRPr="005E703C">
        <w:rPr>
          <w:rFonts w:cs="Arial"/>
          <w:b/>
          <w:szCs w:val="20"/>
        </w:rPr>
        <w:t>ACCESO A LA INFORMACIÓN</w:t>
      </w:r>
      <w:r w:rsidR="00FE7274" w:rsidRPr="005E703C">
        <w:rPr>
          <w:rFonts w:cs="Arial"/>
          <w:b/>
          <w:szCs w:val="20"/>
        </w:rPr>
        <w:t xml:space="preserve"> </w:t>
      </w:r>
      <w:r w:rsidR="00B1534E" w:rsidRPr="005E703C">
        <w:rPr>
          <w:rFonts w:cs="Arial"/>
          <w:b/>
          <w:szCs w:val="20"/>
        </w:rPr>
        <w:t>PÚBLICA</w:t>
      </w:r>
    </w:p>
    <w:p w14:paraId="52DD1106" w14:textId="77777777" w:rsidR="00D008B5" w:rsidRPr="000C3A8C" w:rsidRDefault="00D008B5" w:rsidP="00D008B5">
      <w:pPr>
        <w:spacing w:after="0" w:line="240" w:lineRule="auto"/>
        <w:jc w:val="center"/>
        <w:rPr>
          <w:rFonts w:cs="Arial"/>
          <w:b/>
          <w:sz w:val="20"/>
          <w:szCs w:val="20"/>
        </w:rPr>
      </w:pPr>
    </w:p>
    <w:p w14:paraId="6823AB23" w14:textId="7D3ABAF0" w:rsidR="00FE7274" w:rsidRDefault="00FE7274" w:rsidP="00D008B5">
      <w:pPr>
        <w:spacing w:after="0" w:line="240" w:lineRule="auto"/>
        <w:jc w:val="both"/>
        <w:rPr>
          <w:rFonts w:cs="Arial"/>
          <w:sz w:val="20"/>
          <w:szCs w:val="20"/>
        </w:rPr>
      </w:pPr>
      <w:r w:rsidRPr="000C3A8C">
        <w:rPr>
          <w:rFonts w:cs="Arial"/>
          <w:sz w:val="20"/>
          <w:szCs w:val="20"/>
        </w:rPr>
        <w:t xml:space="preserve">A dieciocho meses de haber sido sancionada la ley de transparencia y acceso a la información pública los </w:t>
      </w:r>
      <w:r w:rsidRPr="000C3A8C">
        <w:rPr>
          <w:rFonts w:cs="Arial"/>
          <w:sz w:val="20"/>
          <w:szCs w:val="20"/>
        </w:rPr>
        <w:t xml:space="preserve">esfuerzos liderados por la Secretaría de Transparencia </w:t>
      </w:r>
      <w:r w:rsidRPr="000C3A8C">
        <w:rPr>
          <w:rFonts w:cs="Arial"/>
          <w:sz w:val="20"/>
          <w:szCs w:val="20"/>
        </w:rPr>
        <w:t xml:space="preserve">para su implementación </w:t>
      </w:r>
      <w:r w:rsidRPr="000C3A8C">
        <w:rPr>
          <w:rFonts w:cs="Arial"/>
          <w:sz w:val="20"/>
          <w:szCs w:val="20"/>
        </w:rPr>
        <w:t xml:space="preserve"> se han enfocado en 3 líneas estratégicas: </w:t>
      </w:r>
      <w:r w:rsidRPr="000C3A8C">
        <w:rPr>
          <w:rFonts w:cs="Arial"/>
          <w:b/>
          <w:sz w:val="20"/>
          <w:szCs w:val="20"/>
        </w:rPr>
        <w:t xml:space="preserve">1. </w:t>
      </w:r>
      <w:r w:rsidRPr="000C3A8C">
        <w:rPr>
          <w:rFonts w:cs="Arial"/>
          <w:b/>
          <w:sz w:val="20"/>
          <w:szCs w:val="20"/>
        </w:rPr>
        <w:t>D</w:t>
      </w:r>
      <w:r w:rsidRPr="000C3A8C">
        <w:rPr>
          <w:rFonts w:cs="Arial"/>
          <w:b/>
          <w:sz w:val="20"/>
          <w:szCs w:val="20"/>
        </w:rPr>
        <w:t>efinición y ajuste de lineamientos</w:t>
      </w:r>
      <w:r w:rsidRPr="000C3A8C">
        <w:rPr>
          <w:rFonts w:cs="Arial"/>
          <w:b/>
          <w:sz w:val="20"/>
          <w:szCs w:val="20"/>
        </w:rPr>
        <w:t xml:space="preserve"> de política</w:t>
      </w:r>
      <w:r w:rsidRPr="000C3A8C">
        <w:rPr>
          <w:rFonts w:cs="Arial"/>
          <w:b/>
          <w:sz w:val="20"/>
          <w:szCs w:val="20"/>
        </w:rPr>
        <w:t xml:space="preserve">, 2. </w:t>
      </w:r>
      <w:r w:rsidRPr="000C3A8C">
        <w:rPr>
          <w:rFonts w:cs="Arial"/>
          <w:b/>
          <w:sz w:val="20"/>
          <w:szCs w:val="20"/>
        </w:rPr>
        <w:t>P</w:t>
      </w:r>
      <w:r w:rsidRPr="000C3A8C">
        <w:rPr>
          <w:rFonts w:cs="Arial"/>
          <w:b/>
          <w:sz w:val="20"/>
          <w:szCs w:val="20"/>
        </w:rPr>
        <w:t>romoción y acompañamiento</w:t>
      </w:r>
      <w:r w:rsidR="00B1534E" w:rsidRPr="000C3A8C">
        <w:rPr>
          <w:rFonts w:cs="Arial"/>
          <w:b/>
          <w:sz w:val="20"/>
          <w:szCs w:val="20"/>
        </w:rPr>
        <w:t xml:space="preserve"> </w:t>
      </w:r>
      <w:r w:rsidRPr="000C3A8C">
        <w:rPr>
          <w:rFonts w:cs="Arial"/>
          <w:b/>
          <w:sz w:val="20"/>
          <w:szCs w:val="20"/>
        </w:rPr>
        <w:t xml:space="preserve">,3. </w:t>
      </w:r>
      <w:r w:rsidRPr="000C3A8C">
        <w:rPr>
          <w:rFonts w:cs="Arial"/>
          <w:b/>
          <w:sz w:val="20"/>
          <w:szCs w:val="20"/>
        </w:rPr>
        <w:t>M</w:t>
      </w:r>
      <w:r w:rsidRPr="000C3A8C">
        <w:rPr>
          <w:rFonts w:cs="Arial"/>
          <w:b/>
          <w:sz w:val="20"/>
          <w:szCs w:val="20"/>
        </w:rPr>
        <w:t>onitoreo y evaluación</w:t>
      </w:r>
      <w:r w:rsidR="00B1534E" w:rsidRPr="000C3A8C">
        <w:rPr>
          <w:rFonts w:cs="Arial"/>
          <w:b/>
          <w:sz w:val="20"/>
          <w:szCs w:val="20"/>
        </w:rPr>
        <w:t xml:space="preserve">. </w:t>
      </w:r>
      <w:r w:rsidRPr="000C3A8C">
        <w:rPr>
          <w:rFonts w:cs="Arial"/>
          <w:sz w:val="20"/>
          <w:szCs w:val="20"/>
        </w:rPr>
        <w:t xml:space="preserve"> A partir de </w:t>
      </w:r>
      <w:r w:rsidR="005E703C">
        <w:rPr>
          <w:rFonts w:cs="Arial"/>
          <w:sz w:val="20"/>
          <w:szCs w:val="20"/>
        </w:rPr>
        <w:t>lo anterior</w:t>
      </w:r>
      <w:r w:rsidRPr="000C3A8C">
        <w:rPr>
          <w:rFonts w:cs="Arial"/>
          <w:sz w:val="20"/>
          <w:szCs w:val="20"/>
        </w:rPr>
        <w:t xml:space="preserve">, </w:t>
      </w:r>
      <w:r w:rsidR="00B1534E" w:rsidRPr="000C3A8C">
        <w:rPr>
          <w:rFonts w:cs="Arial"/>
          <w:sz w:val="20"/>
          <w:szCs w:val="20"/>
        </w:rPr>
        <w:t xml:space="preserve">se </w:t>
      </w:r>
      <w:r w:rsidR="000222FF" w:rsidRPr="000C3A8C">
        <w:rPr>
          <w:rFonts w:cs="Arial"/>
          <w:sz w:val="20"/>
          <w:szCs w:val="20"/>
        </w:rPr>
        <w:t>adelantaron</w:t>
      </w:r>
      <w:r w:rsidR="00B1534E" w:rsidRPr="000C3A8C">
        <w:rPr>
          <w:rFonts w:cs="Arial"/>
          <w:sz w:val="20"/>
          <w:szCs w:val="20"/>
        </w:rPr>
        <w:t xml:space="preserve"> </w:t>
      </w:r>
      <w:r w:rsidRPr="000C3A8C">
        <w:rPr>
          <w:rFonts w:cs="Arial"/>
          <w:sz w:val="20"/>
          <w:szCs w:val="20"/>
        </w:rPr>
        <w:t xml:space="preserve">acciones que </w:t>
      </w:r>
      <w:r w:rsidR="00B1534E" w:rsidRPr="000C3A8C">
        <w:rPr>
          <w:rFonts w:cs="Arial"/>
          <w:sz w:val="20"/>
          <w:szCs w:val="20"/>
        </w:rPr>
        <w:t xml:space="preserve">tuvieron </w:t>
      </w:r>
      <w:r w:rsidRPr="000C3A8C">
        <w:rPr>
          <w:rFonts w:cs="Arial"/>
          <w:sz w:val="20"/>
          <w:szCs w:val="20"/>
        </w:rPr>
        <w:t>como objetivo</w:t>
      </w:r>
      <w:r w:rsidR="005E703C">
        <w:rPr>
          <w:rFonts w:cs="Arial"/>
          <w:sz w:val="20"/>
          <w:szCs w:val="20"/>
        </w:rPr>
        <w:t>s</w:t>
      </w:r>
      <w:r w:rsidRPr="000C3A8C">
        <w:rPr>
          <w:rFonts w:cs="Arial"/>
          <w:sz w:val="20"/>
          <w:szCs w:val="20"/>
        </w:rPr>
        <w:t xml:space="preserve"> principal</w:t>
      </w:r>
      <w:r w:rsidR="005E703C">
        <w:rPr>
          <w:rFonts w:cs="Arial"/>
          <w:sz w:val="20"/>
          <w:szCs w:val="20"/>
        </w:rPr>
        <w:t>es</w:t>
      </w:r>
      <w:r w:rsidRPr="000C3A8C">
        <w:rPr>
          <w:rFonts w:cs="Arial"/>
          <w:sz w:val="20"/>
          <w:szCs w:val="20"/>
        </w:rPr>
        <w:t xml:space="preserve"> </w:t>
      </w:r>
      <w:r w:rsidR="0071102B" w:rsidRPr="000C3A8C">
        <w:rPr>
          <w:rFonts w:cs="Arial"/>
          <w:sz w:val="20"/>
          <w:szCs w:val="20"/>
        </w:rPr>
        <w:t>institucionalizar</w:t>
      </w:r>
      <w:r w:rsidR="0071102B" w:rsidRPr="000C3A8C">
        <w:rPr>
          <w:rFonts w:cs="Arial"/>
          <w:sz w:val="20"/>
          <w:szCs w:val="20"/>
        </w:rPr>
        <w:t xml:space="preserve"> </w:t>
      </w:r>
      <w:r w:rsidRPr="000C3A8C">
        <w:rPr>
          <w:rFonts w:cs="Arial"/>
          <w:sz w:val="20"/>
          <w:szCs w:val="20"/>
        </w:rPr>
        <w:t xml:space="preserve">en el país el acceso la información </w:t>
      </w:r>
      <w:r w:rsidR="005E703C">
        <w:rPr>
          <w:rFonts w:cs="Arial"/>
          <w:sz w:val="20"/>
          <w:szCs w:val="20"/>
        </w:rPr>
        <w:t xml:space="preserve">pública </w:t>
      </w:r>
      <w:r w:rsidRPr="000C3A8C">
        <w:rPr>
          <w:rFonts w:cs="Arial"/>
          <w:sz w:val="20"/>
          <w:szCs w:val="20"/>
        </w:rPr>
        <w:t xml:space="preserve">como </w:t>
      </w:r>
      <w:r w:rsidR="0071102B" w:rsidRPr="000C3A8C">
        <w:rPr>
          <w:rFonts w:cs="Arial"/>
          <w:sz w:val="20"/>
          <w:szCs w:val="20"/>
        </w:rPr>
        <w:t xml:space="preserve">un </w:t>
      </w:r>
      <w:r w:rsidRPr="000C3A8C">
        <w:rPr>
          <w:rFonts w:cs="Arial"/>
          <w:sz w:val="20"/>
          <w:szCs w:val="20"/>
        </w:rPr>
        <w:t>derecho fundamental</w:t>
      </w:r>
      <w:r w:rsidRPr="000C3A8C">
        <w:rPr>
          <w:rFonts w:cs="Arial"/>
          <w:sz w:val="20"/>
          <w:szCs w:val="20"/>
        </w:rPr>
        <w:t xml:space="preserve"> y</w:t>
      </w:r>
      <w:r w:rsidRPr="000C3A8C">
        <w:rPr>
          <w:rFonts w:cs="Arial"/>
          <w:sz w:val="20"/>
          <w:szCs w:val="20"/>
        </w:rPr>
        <w:t xml:space="preserve"> facilitar la implementación de la política de transparencia y de acceso a la información </w:t>
      </w:r>
      <w:r w:rsidR="00D12FC3" w:rsidRPr="000C3A8C">
        <w:rPr>
          <w:rFonts w:cs="Arial"/>
          <w:sz w:val="20"/>
          <w:szCs w:val="20"/>
        </w:rPr>
        <w:t xml:space="preserve"> en las entidades líderes de la </w:t>
      </w:r>
      <w:r w:rsidR="0071102B" w:rsidRPr="000C3A8C">
        <w:rPr>
          <w:rFonts w:cs="Arial"/>
          <w:sz w:val="20"/>
          <w:szCs w:val="20"/>
        </w:rPr>
        <w:t>misma</w:t>
      </w:r>
      <w:r w:rsidR="00D12FC3" w:rsidRPr="000C3A8C">
        <w:rPr>
          <w:rFonts w:cs="Arial"/>
          <w:sz w:val="20"/>
          <w:szCs w:val="20"/>
        </w:rPr>
        <w:t xml:space="preserve">, </w:t>
      </w:r>
      <w:r w:rsidR="0071102B" w:rsidRPr="000C3A8C">
        <w:rPr>
          <w:rFonts w:cs="Arial"/>
          <w:sz w:val="20"/>
          <w:szCs w:val="20"/>
        </w:rPr>
        <w:t xml:space="preserve">instancias </w:t>
      </w:r>
      <w:r w:rsidR="00D12FC3" w:rsidRPr="000C3A8C">
        <w:rPr>
          <w:rFonts w:cs="Arial"/>
          <w:sz w:val="20"/>
          <w:szCs w:val="20"/>
        </w:rPr>
        <w:t>garantes</w:t>
      </w:r>
      <w:r w:rsidR="0071102B" w:rsidRPr="000C3A8C">
        <w:rPr>
          <w:rFonts w:cs="Arial"/>
          <w:sz w:val="20"/>
          <w:szCs w:val="20"/>
        </w:rPr>
        <w:t xml:space="preserve"> y</w:t>
      </w:r>
      <w:r w:rsidR="000222FF" w:rsidRPr="000C3A8C">
        <w:rPr>
          <w:rFonts w:cs="Arial"/>
          <w:sz w:val="20"/>
          <w:szCs w:val="20"/>
        </w:rPr>
        <w:t xml:space="preserve"> </w:t>
      </w:r>
      <w:r w:rsidR="00D12FC3" w:rsidRPr="000C3A8C">
        <w:rPr>
          <w:rFonts w:cs="Arial"/>
          <w:sz w:val="20"/>
          <w:szCs w:val="20"/>
        </w:rPr>
        <w:t>de control</w:t>
      </w:r>
      <w:r w:rsidR="0071102B" w:rsidRPr="000C3A8C">
        <w:rPr>
          <w:rFonts w:cs="Arial"/>
          <w:sz w:val="20"/>
          <w:szCs w:val="20"/>
        </w:rPr>
        <w:t>,</w:t>
      </w:r>
      <w:r w:rsidR="00D12FC3" w:rsidRPr="000C3A8C">
        <w:rPr>
          <w:rFonts w:cs="Arial"/>
          <w:sz w:val="20"/>
          <w:szCs w:val="20"/>
        </w:rPr>
        <w:t xml:space="preserve"> y </w:t>
      </w:r>
      <w:r w:rsidRPr="000C3A8C">
        <w:rPr>
          <w:rFonts w:cs="Arial"/>
          <w:sz w:val="20"/>
          <w:szCs w:val="20"/>
        </w:rPr>
        <w:t>en los diferentes sujetos obligados</w:t>
      </w:r>
      <w:r w:rsidRPr="000C3A8C">
        <w:rPr>
          <w:rFonts w:cs="Arial"/>
          <w:sz w:val="20"/>
          <w:szCs w:val="20"/>
        </w:rPr>
        <w:t>.</w:t>
      </w:r>
      <w:r w:rsidR="005E703C">
        <w:rPr>
          <w:rStyle w:val="Refdenotaalpie"/>
          <w:rFonts w:cs="Arial"/>
          <w:sz w:val="20"/>
          <w:szCs w:val="20"/>
        </w:rPr>
        <w:footnoteReference w:id="1"/>
      </w:r>
    </w:p>
    <w:p w14:paraId="05E2EFB8" w14:textId="77777777" w:rsidR="00D008B5" w:rsidRPr="000C3A8C" w:rsidRDefault="00D008B5" w:rsidP="00D008B5">
      <w:pPr>
        <w:spacing w:after="0" w:line="240" w:lineRule="auto"/>
        <w:jc w:val="both"/>
        <w:rPr>
          <w:rFonts w:cs="Arial"/>
          <w:sz w:val="20"/>
          <w:szCs w:val="20"/>
        </w:rPr>
      </w:pPr>
    </w:p>
    <w:p w14:paraId="28AEE27A" w14:textId="2F5535D9" w:rsidR="000222FF" w:rsidRPr="000C3A8C" w:rsidRDefault="00AC1FFA" w:rsidP="0015106E">
      <w:pPr>
        <w:spacing w:after="0" w:line="240" w:lineRule="auto"/>
        <w:jc w:val="both"/>
        <w:rPr>
          <w:rFonts w:cs="Arial"/>
          <w:sz w:val="20"/>
          <w:szCs w:val="20"/>
        </w:rPr>
      </w:pPr>
      <w:r w:rsidRPr="000C3A8C">
        <w:rPr>
          <w:rFonts w:cs="Arial"/>
          <w:sz w:val="20"/>
          <w:szCs w:val="20"/>
        </w:rPr>
        <w:t>De tal forma, de estas tres líneas estrategias</w:t>
      </w:r>
      <w:r w:rsidR="00B1534E" w:rsidRPr="000C3A8C">
        <w:rPr>
          <w:rFonts w:cs="Arial"/>
          <w:sz w:val="20"/>
          <w:szCs w:val="20"/>
        </w:rPr>
        <w:t xml:space="preserve"> </w:t>
      </w:r>
      <w:r w:rsidRPr="000C3A8C">
        <w:rPr>
          <w:rFonts w:cs="Arial"/>
          <w:sz w:val="20"/>
          <w:szCs w:val="20"/>
        </w:rPr>
        <w:t>se pueden enunciar los siguientes logros durante el periodo comprendido entre septiembre de 2014 y septiembre de 2015:</w:t>
      </w:r>
    </w:p>
    <w:p w14:paraId="6AC0295A" w14:textId="77777777" w:rsidR="00AC1FFA" w:rsidRPr="000C3A8C" w:rsidRDefault="00AC1FFA" w:rsidP="00D008B5">
      <w:pPr>
        <w:spacing w:after="0" w:line="240" w:lineRule="auto"/>
        <w:jc w:val="both"/>
        <w:rPr>
          <w:rFonts w:cs="Arial"/>
          <w:sz w:val="20"/>
          <w:szCs w:val="20"/>
        </w:rPr>
      </w:pPr>
    </w:p>
    <w:p w14:paraId="1990AEA0" w14:textId="5833374A" w:rsidR="008D4BFF" w:rsidRDefault="00D12FC3" w:rsidP="00D008B5">
      <w:pPr>
        <w:pStyle w:val="Prrafodelista"/>
        <w:numPr>
          <w:ilvl w:val="0"/>
          <w:numId w:val="1"/>
        </w:numPr>
        <w:spacing w:after="0" w:line="240" w:lineRule="auto"/>
        <w:jc w:val="both"/>
        <w:rPr>
          <w:rFonts w:cs="Arial"/>
          <w:sz w:val="20"/>
          <w:szCs w:val="20"/>
        </w:rPr>
      </w:pPr>
      <w:r w:rsidRPr="000C3A8C">
        <w:rPr>
          <w:rFonts w:cs="Arial"/>
          <w:b/>
          <w:sz w:val="20"/>
          <w:szCs w:val="20"/>
        </w:rPr>
        <w:t>LOGRO 1: Definición y ajuste de lineamientos</w:t>
      </w:r>
      <w:r w:rsidR="005E6978" w:rsidRPr="000C3A8C">
        <w:rPr>
          <w:rFonts w:cs="Arial"/>
          <w:sz w:val="20"/>
          <w:szCs w:val="20"/>
        </w:rPr>
        <w:t xml:space="preserve">: </w:t>
      </w:r>
    </w:p>
    <w:p w14:paraId="6E1325D4" w14:textId="77777777" w:rsidR="00D008B5" w:rsidRPr="000C3A8C" w:rsidRDefault="00D008B5" w:rsidP="00D008B5">
      <w:pPr>
        <w:pStyle w:val="Prrafodelista"/>
        <w:spacing w:after="0" w:line="240" w:lineRule="auto"/>
        <w:ind w:left="360"/>
        <w:jc w:val="both"/>
        <w:rPr>
          <w:rFonts w:cs="Arial"/>
          <w:sz w:val="20"/>
          <w:szCs w:val="20"/>
        </w:rPr>
      </w:pPr>
    </w:p>
    <w:p w14:paraId="7AF352F6" w14:textId="09C8D5E1" w:rsidR="00D12FC3" w:rsidRDefault="00D12FC3" w:rsidP="00D008B5">
      <w:pPr>
        <w:spacing w:after="0" w:line="240" w:lineRule="auto"/>
        <w:jc w:val="both"/>
        <w:rPr>
          <w:rFonts w:cs="Arial"/>
          <w:sz w:val="20"/>
          <w:szCs w:val="20"/>
        </w:rPr>
      </w:pPr>
      <w:r w:rsidRPr="000C3A8C">
        <w:rPr>
          <w:rFonts w:cs="Arial"/>
          <w:sz w:val="20"/>
          <w:szCs w:val="20"/>
        </w:rPr>
        <w:t xml:space="preserve">Esta línea de trabajo </w:t>
      </w:r>
      <w:r w:rsidR="0071102B" w:rsidRPr="000C3A8C">
        <w:rPr>
          <w:rFonts w:cs="Arial"/>
          <w:sz w:val="20"/>
          <w:szCs w:val="20"/>
        </w:rPr>
        <w:t>se encaminó</w:t>
      </w:r>
      <w:r w:rsidRPr="000C3A8C">
        <w:rPr>
          <w:rFonts w:cs="Arial"/>
          <w:sz w:val="20"/>
          <w:szCs w:val="20"/>
        </w:rPr>
        <w:t xml:space="preserve"> a la construcción de mecanismos y herramientas que facili</w:t>
      </w:r>
      <w:r w:rsidR="0071102B" w:rsidRPr="000C3A8C">
        <w:rPr>
          <w:rFonts w:cs="Arial"/>
          <w:sz w:val="20"/>
          <w:szCs w:val="20"/>
        </w:rPr>
        <w:t>taran tanto</w:t>
      </w:r>
      <w:r w:rsidRPr="000C3A8C">
        <w:rPr>
          <w:rFonts w:cs="Arial"/>
          <w:sz w:val="20"/>
          <w:szCs w:val="20"/>
        </w:rPr>
        <w:t xml:space="preserve"> la implementación de la política de acceso a la información pública por parte de los sujetos obligados,  como</w:t>
      </w:r>
      <w:r w:rsidR="0071102B" w:rsidRPr="000C3A8C">
        <w:rPr>
          <w:rFonts w:cs="Arial"/>
          <w:sz w:val="20"/>
          <w:szCs w:val="20"/>
        </w:rPr>
        <w:t xml:space="preserve"> el</w:t>
      </w:r>
      <w:r w:rsidRPr="000C3A8C">
        <w:rPr>
          <w:rFonts w:cs="Arial"/>
          <w:sz w:val="20"/>
          <w:szCs w:val="20"/>
        </w:rPr>
        <w:t xml:space="preserve"> seguimiento y monitoreo </w:t>
      </w:r>
      <w:r w:rsidR="0071102B" w:rsidRPr="000C3A8C">
        <w:rPr>
          <w:rFonts w:cs="Arial"/>
          <w:sz w:val="20"/>
          <w:szCs w:val="20"/>
        </w:rPr>
        <w:t>efectuado por</w:t>
      </w:r>
      <w:r w:rsidRPr="000C3A8C">
        <w:rPr>
          <w:rFonts w:cs="Arial"/>
          <w:sz w:val="20"/>
          <w:szCs w:val="20"/>
        </w:rPr>
        <w:t xml:space="preserve"> las entidades líderes de la política. En este sentido</w:t>
      </w:r>
      <w:r w:rsidR="0071102B" w:rsidRPr="000C3A8C">
        <w:rPr>
          <w:rFonts w:cs="Arial"/>
          <w:sz w:val="20"/>
          <w:szCs w:val="20"/>
        </w:rPr>
        <w:t>,</w:t>
      </w:r>
      <w:r w:rsidRPr="000C3A8C">
        <w:rPr>
          <w:rFonts w:cs="Arial"/>
          <w:sz w:val="20"/>
          <w:szCs w:val="20"/>
        </w:rPr>
        <w:t xml:space="preserve"> los esfuerzos de la Secretaría de Transparencia se enfocaron en la reglamentación de la norma, en la implementación del Modelo de Gestión Documental de la Red de Transparencia y Acceso a la Información, la elaboración de guías y lineamientos para la implementación de la Ley de Transparencia y en el diseño de una metodología para la implementación de la Ley 1712 de 2014 en entidades territoriales.</w:t>
      </w:r>
    </w:p>
    <w:p w14:paraId="6F9F3ADC" w14:textId="77777777" w:rsidR="00D008B5" w:rsidRPr="000C3A8C" w:rsidRDefault="00D008B5" w:rsidP="00D008B5">
      <w:pPr>
        <w:spacing w:after="0" w:line="240" w:lineRule="auto"/>
        <w:jc w:val="both"/>
        <w:rPr>
          <w:rFonts w:cs="Arial"/>
          <w:sz w:val="20"/>
          <w:szCs w:val="20"/>
        </w:rPr>
      </w:pPr>
    </w:p>
    <w:p w14:paraId="78C1CE29" w14:textId="2BE42E37" w:rsidR="0071102B" w:rsidRDefault="00D12FC3" w:rsidP="00D008B5">
      <w:pPr>
        <w:pStyle w:val="Prrafodelista"/>
        <w:numPr>
          <w:ilvl w:val="1"/>
          <w:numId w:val="5"/>
        </w:numPr>
        <w:spacing w:after="0" w:line="240" w:lineRule="auto"/>
        <w:ind w:left="924" w:hanging="357"/>
        <w:jc w:val="both"/>
        <w:rPr>
          <w:rFonts w:cs="Arial"/>
          <w:i/>
          <w:sz w:val="20"/>
          <w:szCs w:val="20"/>
          <w:u w:val="single"/>
        </w:rPr>
      </w:pPr>
      <w:r w:rsidRPr="000C3A8C">
        <w:rPr>
          <w:rFonts w:cs="Arial"/>
          <w:i/>
          <w:sz w:val="20"/>
          <w:szCs w:val="20"/>
          <w:u w:val="single"/>
        </w:rPr>
        <w:t>Reglamentación</w:t>
      </w:r>
    </w:p>
    <w:p w14:paraId="4AA20C12" w14:textId="77777777" w:rsidR="00D008B5" w:rsidRPr="000C3A8C" w:rsidRDefault="00D008B5" w:rsidP="00D008B5">
      <w:pPr>
        <w:pStyle w:val="Prrafodelista"/>
        <w:spacing w:after="0" w:line="240" w:lineRule="auto"/>
        <w:ind w:left="924"/>
        <w:jc w:val="both"/>
        <w:rPr>
          <w:rFonts w:cs="Arial"/>
          <w:i/>
          <w:sz w:val="20"/>
          <w:szCs w:val="20"/>
          <w:u w:val="single"/>
        </w:rPr>
      </w:pPr>
    </w:p>
    <w:p w14:paraId="633643DC" w14:textId="490B10F7" w:rsidR="000222FF" w:rsidRPr="000C3A8C" w:rsidRDefault="0071102B" w:rsidP="00D008B5">
      <w:pPr>
        <w:pStyle w:val="Default"/>
        <w:jc w:val="both"/>
        <w:rPr>
          <w:rFonts w:asciiTheme="minorHAnsi" w:hAnsiTheme="minorHAnsi" w:cs="Arial"/>
          <w:sz w:val="20"/>
          <w:szCs w:val="20"/>
        </w:rPr>
      </w:pPr>
      <w:r w:rsidRPr="000C3A8C">
        <w:rPr>
          <w:rFonts w:asciiTheme="minorHAnsi" w:hAnsiTheme="minorHAnsi" w:cs="Arial"/>
          <w:sz w:val="20"/>
          <w:szCs w:val="20"/>
        </w:rPr>
        <w:t>Uno de los principales retos que enfrentan los sujetos obligados de la Ley 1712 de 2014, es lograr implementar sus mandatos en armonía con otras normas que regulan derechos fundamentales, así como con las políticas públicas relacionadas con la materia</w:t>
      </w:r>
      <w:r w:rsidRPr="000C3A8C">
        <w:rPr>
          <w:rFonts w:asciiTheme="minorHAnsi" w:hAnsiTheme="minorHAnsi" w:cs="Arial"/>
          <w:sz w:val="20"/>
          <w:szCs w:val="20"/>
        </w:rPr>
        <w:t xml:space="preserve">. En tal sentido, </w:t>
      </w:r>
      <w:r w:rsidR="0023198A" w:rsidRPr="000C3A8C">
        <w:rPr>
          <w:rFonts w:asciiTheme="minorHAnsi" w:hAnsiTheme="minorHAnsi" w:cs="Arial"/>
          <w:sz w:val="20"/>
          <w:szCs w:val="20"/>
        </w:rPr>
        <w:t>l</w:t>
      </w:r>
      <w:r w:rsidR="005E6978" w:rsidRPr="000C3A8C">
        <w:rPr>
          <w:rFonts w:asciiTheme="minorHAnsi" w:hAnsiTheme="minorHAnsi" w:cs="Arial"/>
          <w:sz w:val="20"/>
          <w:szCs w:val="20"/>
        </w:rPr>
        <w:t>a Secretaría</w:t>
      </w:r>
      <w:r w:rsidR="000B67A4">
        <w:rPr>
          <w:rFonts w:asciiTheme="minorHAnsi" w:hAnsiTheme="minorHAnsi" w:cs="Arial"/>
          <w:sz w:val="20"/>
          <w:szCs w:val="20"/>
        </w:rPr>
        <w:t xml:space="preserve"> de Transparencia</w:t>
      </w:r>
      <w:r w:rsidR="005E6978" w:rsidRPr="000C3A8C">
        <w:rPr>
          <w:rFonts w:asciiTheme="minorHAnsi" w:hAnsiTheme="minorHAnsi" w:cs="Arial"/>
          <w:sz w:val="20"/>
          <w:szCs w:val="20"/>
        </w:rPr>
        <w:t xml:space="preserve"> lideró la elaboración del Decreto Reglamentario 103 de 2015, con el apoyo </w:t>
      </w:r>
      <w:r w:rsidR="00E1220C" w:rsidRPr="000C3A8C">
        <w:rPr>
          <w:rFonts w:asciiTheme="minorHAnsi" w:hAnsiTheme="minorHAnsi" w:cs="Arial"/>
          <w:sz w:val="20"/>
          <w:szCs w:val="20"/>
        </w:rPr>
        <w:t xml:space="preserve"> con los demás lidere de la </w:t>
      </w:r>
      <w:r w:rsidR="0023198A" w:rsidRPr="000C3A8C">
        <w:rPr>
          <w:rFonts w:asciiTheme="minorHAnsi" w:hAnsiTheme="minorHAnsi" w:cs="Arial"/>
          <w:sz w:val="20"/>
          <w:szCs w:val="20"/>
        </w:rPr>
        <w:t>Política</w:t>
      </w:r>
      <w:r w:rsidR="00D9185E" w:rsidRPr="000C3A8C">
        <w:rPr>
          <w:rFonts w:asciiTheme="minorHAnsi" w:hAnsiTheme="minorHAnsi" w:cs="Arial"/>
          <w:sz w:val="20"/>
          <w:szCs w:val="20"/>
        </w:rPr>
        <w:t xml:space="preserve">, el cual </w:t>
      </w:r>
      <w:r w:rsidR="006C1FCB" w:rsidRPr="000C3A8C">
        <w:rPr>
          <w:rFonts w:asciiTheme="minorHAnsi" w:hAnsiTheme="minorHAnsi" w:cs="Arial"/>
          <w:sz w:val="20"/>
          <w:szCs w:val="20"/>
        </w:rPr>
        <w:t>tiene por objeto reglamentar lo relativo a la gestión de la informació</w:t>
      </w:r>
      <w:r w:rsidR="000B67A4">
        <w:rPr>
          <w:rFonts w:asciiTheme="minorHAnsi" w:hAnsiTheme="minorHAnsi" w:cs="Arial"/>
          <w:sz w:val="20"/>
          <w:szCs w:val="20"/>
        </w:rPr>
        <w:t>n pública</w:t>
      </w:r>
      <w:r w:rsidR="00990DA1" w:rsidRPr="000C3A8C">
        <w:rPr>
          <w:rFonts w:asciiTheme="minorHAnsi" w:hAnsiTheme="minorHAnsi" w:cs="Arial"/>
          <w:sz w:val="20"/>
          <w:szCs w:val="20"/>
        </w:rPr>
        <w:t xml:space="preserve"> y </w:t>
      </w:r>
      <w:r w:rsidR="00D9185E" w:rsidRPr="000C3A8C">
        <w:rPr>
          <w:rFonts w:asciiTheme="minorHAnsi" w:hAnsiTheme="minorHAnsi" w:cs="Arial"/>
          <w:sz w:val="20"/>
          <w:szCs w:val="20"/>
        </w:rPr>
        <w:t>aclara</w:t>
      </w:r>
      <w:r w:rsidR="000B67A4">
        <w:rPr>
          <w:rFonts w:asciiTheme="minorHAnsi" w:hAnsiTheme="minorHAnsi" w:cs="Arial"/>
          <w:sz w:val="20"/>
          <w:szCs w:val="20"/>
        </w:rPr>
        <w:t>r</w:t>
      </w:r>
      <w:r w:rsidR="00990DA1" w:rsidRPr="000C3A8C">
        <w:rPr>
          <w:rFonts w:asciiTheme="minorHAnsi" w:hAnsiTheme="minorHAnsi" w:cs="Arial"/>
          <w:sz w:val="20"/>
          <w:szCs w:val="20"/>
        </w:rPr>
        <w:t xml:space="preserve"> procedimientos relacionados con </w:t>
      </w:r>
      <w:r w:rsidR="000B67A4">
        <w:rPr>
          <w:rFonts w:asciiTheme="minorHAnsi" w:hAnsiTheme="minorHAnsi" w:cs="Arial"/>
          <w:sz w:val="20"/>
          <w:szCs w:val="20"/>
        </w:rPr>
        <w:t xml:space="preserve">la </w:t>
      </w:r>
      <w:r w:rsidR="00990DA1" w:rsidRPr="000C3A8C">
        <w:rPr>
          <w:rFonts w:asciiTheme="minorHAnsi" w:hAnsiTheme="minorHAnsi" w:cs="Arial"/>
          <w:sz w:val="20"/>
          <w:szCs w:val="20"/>
        </w:rPr>
        <w:t>Transparencia Activa, Transparencia Pasiva, los Instrumentos de Gestión de Información, la gestión de la Información Clasificada y Reservada</w:t>
      </w:r>
      <w:r w:rsidR="000B67A4">
        <w:rPr>
          <w:rFonts w:asciiTheme="minorHAnsi" w:hAnsiTheme="minorHAnsi" w:cs="Arial"/>
          <w:sz w:val="20"/>
          <w:szCs w:val="20"/>
        </w:rPr>
        <w:t>,</w:t>
      </w:r>
      <w:r w:rsidR="00990DA1" w:rsidRPr="000C3A8C">
        <w:rPr>
          <w:rFonts w:asciiTheme="minorHAnsi" w:hAnsiTheme="minorHAnsi" w:cs="Arial"/>
          <w:sz w:val="20"/>
          <w:szCs w:val="20"/>
        </w:rPr>
        <w:t xml:space="preserve"> y el seguimiento a la gestión de la información.</w:t>
      </w:r>
    </w:p>
    <w:p w14:paraId="53039734" w14:textId="77777777" w:rsidR="0023198A" w:rsidRPr="000C3A8C" w:rsidRDefault="0023198A" w:rsidP="00D008B5">
      <w:pPr>
        <w:pStyle w:val="Default"/>
        <w:rPr>
          <w:rFonts w:asciiTheme="minorHAnsi" w:hAnsiTheme="minorHAnsi" w:cs="Arial"/>
          <w:sz w:val="20"/>
          <w:szCs w:val="20"/>
        </w:rPr>
      </w:pPr>
    </w:p>
    <w:p w14:paraId="712370F8" w14:textId="57B8A9C5" w:rsidR="000222FF" w:rsidRPr="000C3A8C" w:rsidRDefault="000B67A4" w:rsidP="00D008B5">
      <w:pPr>
        <w:pStyle w:val="Default"/>
        <w:jc w:val="both"/>
        <w:rPr>
          <w:rFonts w:asciiTheme="minorHAnsi" w:hAnsiTheme="minorHAnsi" w:cs="Arial"/>
          <w:sz w:val="20"/>
          <w:szCs w:val="20"/>
        </w:rPr>
      </w:pPr>
      <w:r w:rsidRPr="000C3A8C">
        <w:rPr>
          <w:rFonts w:asciiTheme="minorHAnsi" w:hAnsiTheme="minorHAnsi" w:cs="Arial"/>
          <w:sz w:val="20"/>
          <w:szCs w:val="20"/>
        </w:rPr>
        <w:t>Así</w:t>
      </w:r>
      <w:r w:rsidR="00D9185E" w:rsidRPr="000C3A8C">
        <w:rPr>
          <w:rFonts w:asciiTheme="minorHAnsi" w:hAnsiTheme="minorHAnsi" w:cs="Arial"/>
          <w:sz w:val="20"/>
          <w:szCs w:val="20"/>
        </w:rPr>
        <w:t xml:space="preserve"> mismo, </w:t>
      </w:r>
      <w:r w:rsidR="000222FF" w:rsidRPr="000C3A8C">
        <w:rPr>
          <w:rFonts w:asciiTheme="minorHAnsi" w:hAnsiTheme="minorHAnsi" w:cs="Arial"/>
          <w:sz w:val="20"/>
          <w:szCs w:val="20"/>
        </w:rPr>
        <w:t>la Secretaría de Transparencia apoyó la elaboración y firma del Decreto 106 del 21 de enero de 2015, por el cual se reglamenta el Título VIII de la Ley 594 de 2000 en materia de inspección, vigilancia y control a los archivos de las entidades del Estado y a los documentos de carácter privado declarados de inte</w:t>
      </w:r>
      <w:r w:rsidR="00D9185E" w:rsidRPr="000C3A8C">
        <w:rPr>
          <w:rFonts w:asciiTheme="minorHAnsi" w:hAnsiTheme="minorHAnsi" w:cs="Arial"/>
          <w:sz w:val="20"/>
          <w:szCs w:val="20"/>
        </w:rPr>
        <w:t xml:space="preserve">rés cultural. </w:t>
      </w:r>
      <w:r w:rsidR="000222FF" w:rsidRPr="000C3A8C">
        <w:rPr>
          <w:rFonts w:asciiTheme="minorHAnsi" w:hAnsiTheme="minorHAnsi" w:cs="Arial"/>
          <w:sz w:val="20"/>
          <w:szCs w:val="20"/>
        </w:rPr>
        <w:t xml:space="preserve">Igualmente, en el marco de la masificación y actualización de la Estrategia de Gobierno en línea, a la luz de las nuevas obligaciones derivadas de la Ley 1712 de 2014, se expidió en diciembre de 2014 el Decreto 2573 de 2014, “Por el cual se establecen los lineamientos generales de la Estrategia de Gobierno en línea, se reglamenta parcialmente la Ley 1341 de 2009 y se dictan otras disposiciones”. En este decreto se incluyeron aclaraciones específicas respecto las obligaciones de las entidades en la aplicación del Gobierno en línea y los plazos de cumplimiento de la Ley de Transparencia; así mismo se establecieron directrices específicas en materia de seguridad de la información y apertura de datos, entre otros. </w:t>
      </w:r>
    </w:p>
    <w:p w14:paraId="181898F9" w14:textId="77777777" w:rsidR="00451FA4" w:rsidRPr="000C3A8C" w:rsidRDefault="00451FA4" w:rsidP="00D008B5">
      <w:pPr>
        <w:pStyle w:val="Default"/>
        <w:jc w:val="both"/>
        <w:rPr>
          <w:rFonts w:asciiTheme="minorHAnsi" w:hAnsiTheme="minorHAnsi" w:cs="Arial"/>
          <w:sz w:val="20"/>
          <w:szCs w:val="20"/>
        </w:rPr>
      </w:pPr>
    </w:p>
    <w:p w14:paraId="02B151E4" w14:textId="5EC79A3B" w:rsidR="00451FA4" w:rsidRPr="000C3A8C" w:rsidRDefault="00451FA4" w:rsidP="00D008B5">
      <w:pPr>
        <w:pStyle w:val="Default"/>
        <w:jc w:val="both"/>
        <w:rPr>
          <w:rFonts w:asciiTheme="minorHAnsi" w:hAnsiTheme="minorHAnsi" w:cs="Arial"/>
          <w:sz w:val="20"/>
          <w:szCs w:val="20"/>
        </w:rPr>
      </w:pPr>
      <w:r w:rsidRPr="000C3A8C">
        <w:rPr>
          <w:rFonts w:asciiTheme="minorHAnsi" w:hAnsiTheme="minorHAnsi" w:cs="Arial"/>
          <w:sz w:val="20"/>
          <w:szCs w:val="20"/>
        </w:rPr>
        <w:t xml:space="preserve">Del mismo modo, se está trabajando en la concreción de un nuevo decreto reglamentario de la Ley 1712 de 2014, que tiene como propósito definir directrices para la coordinación interinstitucional, </w:t>
      </w:r>
      <w:r w:rsidR="000B67A4">
        <w:rPr>
          <w:rFonts w:asciiTheme="minorHAnsi" w:hAnsiTheme="minorHAnsi" w:cs="Arial"/>
          <w:sz w:val="20"/>
          <w:szCs w:val="20"/>
        </w:rPr>
        <w:t>la</w:t>
      </w:r>
      <w:r w:rsidRPr="000C3A8C">
        <w:rPr>
          <w:rFonts w:asciiTheme="minorHAnsi" w:hAnsiTheme="minorHAnsi" w:cs="Arial"/>
          <w:sz w:val="20"/>
          <w:szCs w:val="20"/>
        </w:rPr>
        <w:t xml:space="preserve"> organización y competencias de entidades líderes de política, así como la definición de estrategias generales de implementación, control y sanción para el universo de sujetos obligados. En tal sentido, se han adelantado diversas consultas con entidades públicas, </w:t>
      </w:r>
      <w:r w:rsidR="000B67A4" w:rsidRPr="000C3A8C">
        <w:rPr>
          <w:rFonts w:asciiTheme="minorHAnsi" w:hAnsiTheme="minorHAnsi" w:cs="Arial"/>
          <w:sz w:val="20"/>
          <w:szCs w:val="20"/>
        </w:rPr>
        <w:t>así</w:t>
      </w:r>
      <w:r w:rsidRPr="000C3A8C">
        <w:rPr>
          <w:rFonts w:asciiTheme="minorHAnsi" w:hAnsiTheme="minorHAnsi" w:cs="Arial"/>
          <w:sz w:val="20"/>
          <w:szCs w:val="20"/>
        </w:rPr>
        <w:t xml:space="preserve"> como la socialización del articulado en la Urna de Cristal.</w:t>
      </w:r>
    </w:p>
    <w:p w14:paraId="79C90D1E" w14:textId="77777777" w:rsidR="000222FF" w:rsidRPr="000C3A8C" w:rsidRDefault="000222FF" w:rsidP="00D008B5">
      <w:pPr>
        <w:pStyle w:val="Default"/>
        <w:rPr>
          <w:rFonts w:asciiTheme="minorHAnsi" w:hAnsiTheme="minorHAnsi" w:cs="Arial"/>
          <w:sz w:val="20"/>
          <w:szCs w:val="20"/>
        </w:rPr>
      </w:pPr>
    </w:p>
    <w:p w14:paraId="1AD56490" w14:textId="77777777" w:rsidR="000222FF" w:rsidRPr="000C3A8C" w:rsidRDefault="000222FF" w:rsidP="00D008B5">
      <w:pPr>
        <w:autoSpaceDE w:val="0"/>
        <w:autoSpaceDN w:val="0"/>
        <w:adjustRightInd w:val="0"/>
        <w:spacing w:after="0" w:line="240" w:lineRule="auto"/>
        <w:rPr>
          <w:rFonts w:cs="Arial"/>
          <w:color w:val="000000"/>
          <w:sz w:val="20"/>
          <w:szCs w:val="20"/>
        </w:rPr>
      </w:pPr>
    </w:p>
    <w:p w14:paraId="077FB5CB" w14:textId="4C11072D" w:rsidR="000222FF" w:rsidRDefault="000222FF" w:rsidP="00D008B5">
      <w:pPr>
        <w:pStyle w:val="Prrafodelista"/>
        <w:numPr>
          <w:ilvl w:val="1"/>
          <w:numId w:val="5"/>
        </w:numPr>
        <w:spacing w:after="0" w:line="240" w:lineRule="auto"/>
        <w:ind w:left="924" w:hanging="357"/>
        <w:jc w:val="both"/>
        <w:rPr>
          <w:rFonts w:cs="Arial"/>
          <w:i/>
          <w:sz w:val="20"/>
          <w:szCs w:val="20"/>
          <w:u w:val="single"/>
        </w:rPr>
      </w:pPr>
      <w:r w:rsidRPr="000C3A8C">
        <w:rPr>
          <w:rFonts w:cs="Arial"/>
          <w:i/>
          <w:sz w:val="20"/>
          <w:szCs w:val="20"/>
          <w:u w:val="single"/>
        </w:rPr>
        <w:t xml:space="preserve">Modelo de Gestión Documental – Red de Transparencia y Acceso a la Información. </w:t>
      </w:r>
    </w:p>
    <w:p w14:paraId="45B5FC02" w14:textId="77777777" w:rsidR="00D008B5" w:rsidRPr="000C3A8C" w:rsidRDefault="00D008B5" w:rsidP="00D008B5">
      <w:pPr>
        <w:pStyle w:val="Prrafodelista"/>
        <w:spacing w:after="0" w:line="240" w:lineRule="auto"/>
        <w:ind w:left="924"/>
        <w:jc w:val="both"/>
        <w:rPr>
          <w:rFonts w:cs="Arial"/>
          <w:i/>
          <w:sz w:val="20"/>
          <w:szCs w:val="20"/>
          <w:u w:val="single"/>
        </w:rPr>
      </w:pPr>
    </w:p>
    <w:p w14:paraId="496DD92E" w14:textId="7FA5F94C" w:rsidR="000222FF" w:rsidRPr="000C3A8C" w:rsidRDefault="00451FA4" w:rsidP="00D008B5">
      <w:pPr>
        <w:autoSpaceDE w:val="0"/>
        <w:autoSpaceDN w:val="0"/>
        <w:adjustRightInd w:val="0"/>
        <w:spacing w:after="0" w:line="240" w:lineRule="auto"/>
        <w:jc w:val="both"/>
        <w:rPr>
          <w:rFonts w:cs="Arial"/>
          <w:color w:val="000000"/>
          <w:sz w:val="20"/>
          <w:szCs w:val="20"/>
        </w:rPr>
      </w:pPr>
      <w:r w:rsidRPr="000C3A8C">
        <w:rPr>
          <w:rFonts w:cs="Arial"/>
          <w:color w:val="000000"/>
          <w:sz w:val="20"/>
          <w:szCs w:val="20"/>
        </w:rPr>
        <w:t>E</w:t>
      </w:r>
      <w:r w:rsidR="000222FF" w:rsidRPr="000C3A8C">
        <w:rPr>
          <w:rFonts w:cs="Arial"/>
          <w:color w:val="000000"/>
          <w:sz w:val="20"/>
          <w:szCs w:val="20"/>
        </w:rPr>
        <w:t>n el marco del trabajo con la Red Latinoamericana de Transparencia y Acceso a la Información Pública</w:t>
      </w:r>
      <w:r w:rsidRPr="000C3A8C">
        <w:rPr>
          <w:rStyle w:val="Refdenotaalpie"/>
          <w:rFonts w:cs="Arial"/>
          <w:color w:val="000000"/>
          <w:sz w:val="20"/>
          <w:szCs w:val="20"/>
        </w:rPr>
        <w:footnoteReference w:id="2"/>
      </w:r>
      <w:r w:rsidR="000B67A4">
        <w:rPr>
          <w:rFonts w:cs="Arial"/>
          <w:color w:val="000000"/>
          <w:sz w:val="20"/>
          <w:szCs w:val="20"/>
        </w:rPr>
        <w:t xml:space="preserve">, en junio de 2014 </w:t>
      </w:r>
      <w:r w:rsidR="000222FF" w:rsidRPr="000C3A8C">
        <w:rPr>
          <w:rFonts w:cs="Arial"/>
          <w:color w:val="000000"/>
          <w:sz w:val="20"/>
          <w:szCs w:val="20"/>
        </w:rPr>
        <w:t>la Secretaría de Transparencia, como miembro adherente de dicha red, inició en conjunto con 11 países del hem</w:t>
      </w:r>
      <w:r w:rsidR="000B67A4">
        <w:rPr>
          <w:rFonts w:cs="Arial"/>
          <w:color w:val="000000"/>
          <w:sz w:val="20"/>
          <w:szCs w:val="20"/>
        </w:rPr>
        <w:t>isferio, la construcción de un Modelo L</w:t>
      </w:r>
      <w:r w:rsidR="000222FF" w:rsidRPr="000C3A8C">
        <w:rPr>
          <w:rFonts w:cs="Arial"/>
          <w:color w:val="000000"/>
          <w:sz w:val="20"/>
          <w:szCs w:val="20"/>
        </w:rPr>
        <w:t xml:space="preserve">atinoamericano de Gestión de Archivos para el acceso a la información pública. Dicho modelo en el caso colombiano, busca servir como herramienta que permita complementar los lineamientos en materia de gestión documental expedidos por el Archivo General de la Nación, y dotarlos de un enfoque orientado a la transparencia y el acceso a la información de los documentos públicos de gestión y de archivo. </w:t>
      </w:r>
    </w:p>
    <w:p w14:paraId="1631888A" w14:textId="2C1A0FE4" w:rsidR="000222FF" w:rsidRPr="000C3A8C" w:rsidRDefault="000222FF" w:rsidP="00D008B5">
      <w:pPr>
        <w:autoSpaceDE w:val="0"/>
        <w:autoSpaceDN w:val="0"/>
        <w:adjustRightInd w:val="0"/>
        <w:spacing w:after="0" w:line="240" w:lineRule="auto"/>
        <w:rPr>
          <w:rFonts w:cs="Arial"/>
          <w:color w:val="000000"/>
          <w:sz w:val="20"/>
          <w:szCs w:val="20"/>
        </w:rPr>
      </w:pPr>
    </w:p>
    <w:p w14:paraId="054FCCE9" w14:textId="4DB17159" w:rsidR="000222FF" w:rsidRPr="000C3A8C" w:rsidRDefault="000222FF" w:rsidP="00D008B5">
      <w:pPr>
        <w:autoSpaceDE w:val="0"/>
        <w:autoSpaceDN w:val="0"/>
        <w:adjustRightInd w:val="0"/>
        <w:spacing w:after="0" w:line="240" w:lineRule="auto"/>
        <w:jc w:val="both"/>
        <w:rPr>
          <w:rFonts w:cs="Arial"/>
          <w:color w:val="000000"/>
          <w:sz w:val="20"/>
          <w:szCs w:val="20"/>
        </w:rPr>
      </w:pPr>
      <w:r w:rsidRPr="000C3A8C">
        <w:rPr>
          <w:rFonts w:cs="Arial"/>
          <w:color w:val="000000"/>
          <w:sz w:val="20"/>
          <w:szCs w:val="20"/>
        </w:rPr>
        <w:t>La Secretaría de Transparencia de la mano con el Archivo General de la Nación, inició en junio de 2015, dos pruebas piloto</w:t>
      </w:r>
      <w:r w:rsidR="000B67A4">
        <w:rPr>
          <w:rFonts w:cs="Arial"/>
          <w:color w:val="000000"/>
          <w:sz w:val="20"/>
          <w:szCs w:val="20"/>
        </w:rPr>
        <w:t xml:space="preserve">, una </w:t>
      </w:r>
      <w:r w:rsidRPr="000C3A8C">
        <w:rPr>
          <w:rFonts w:cs="Arial"/>
          <w:color w:val="000000"/>
          <w:sz w:val="20"/>
          <w:szCs w:val="20"/>
        </w:rPr>
        <w:t>en el Ministerio de Hacienda y Crédito Público</w:t>
      </w:r>
      <w:r w:rsidR="000B67A4">
        <w:rPr>
          <w:rFonts w:cs="Arial"/>
          <w:color w:val="000000"/>
          <w:sz w:val="20"/>
          <w:szCs w:val="20"/>
        </w:rPr>
        <w:t xml:space="preserve"> y la otra</w:t>
      </w:r>
      <w:r w:rsidRPr="000C3A8C">
        <w:rPr>
          <w:rFonts w:cs="Arial"/>
          <w:color w:val="000000"/>
          <w:sz w:val="20"/>
          <w:szCs w:val="20"/>
        </w:rPr>
        <w:t xml:space="preserve">  en la Alcaldía M</w:t>
      </w:r>
      <w:r w:rsidR="000B67A4">
        <w:rPr>
          <w:rFonts w:cs="Arial"/>
          <w:color w:val="000000"/>
          <w:sz w:val="20"/>
          <w:szCs w:val="20"/>
        </w:rPr>
        <w:t xml:space="preserve">unicipal de Chía </w:t>
      </w:r>
      <w:r w:rsidR="000B67A4">
        <w:rPr>
          <w:rFonts w:cs="Arial"/>
          <w:color w:val="000000"/>
          <w:sz w:val="20"/>
          <w:szCs w:val="20"/>
        </w:rPr>
        <w:t>(Cundinamarca)</w:t>
      </w:r>
      <w:r w:rsidR="000B67A4">
        <w:rPr>
          <w:rFonts w:cs="Arial"/>
          <w:color w:val="000000"/>
          <w:sz w:val="20"/>
          <w:szCs w:val="20"/>
        </w:rPr>
        <w:t>. El objetivo fue</w:t>
      </w:r>
      <w:r w:rsidRPr="000C3A8C">
        <w:rPr>
          <w:rFonts w:cs="Arial"/>
          <w:color w:val="000000"/>
          <w:sz w:val="20"/>
          <w:szCs w:val="20"/>
        </w:rPr>
        <w:t xml:space="preserve"> probar la eficiencia del modelo de la RTA e identificar los ajustes que se deben realizar a los lineamientos o normas colombianas en materia de gestión documental, para garantizar el adecuado manejo y acceso a la información. </w:t>
      </w:r>
    </w:p>
    <w:p w14:paraId="7EE06EAC" w14:textId="77777777" w:rsidR="00B408D2" w:rsidRPr="000C3A8C" w:rsidRDefault="00B408D2" w:rsidP="00D008B5">
      <w:pPr>
        <w:spacing w:after="0" w:line="240" w:lineRule="auto"/>
        <w:jc w:val="both"/>
        <w:rPr>
          <w:rFonts w:cs="Arial"/>
          <w:sz w:val="20"/>
          <w:szCs w:val="20"/>
        </w:rPr>
      </w:pPr>
    </w:p>
    <w:p w14:paraId="2CCD198A" w14:textId="1E5FB9DC" w:rsidR="00B408D2" w:rsidRDefault="00B408D2" w:rsidP="00D008B5">
      <w:pPr>
        <w:pStyle w:val="Prrafodelista"/>
        <w:numPr>
          <w:ilvl w:val="1"/>
          <w:numId w:val="5"/>
        </w:numPr>
        <w:spacing w:after="0" w:line="240" w:lineRule="auto"/>
        <w:ind w:left="924" w:hanging="357"/>
        <w:jc w:val="both"/>
        <w:rPr>
          <w:rFonts w:cs="Arial"/>
          <w:i/>
          <w:sz w:val="20"/>
          <w:szCs w:val="20"/>
          <w:u w:val="single"/>
        </w:rPr>
      </w:pPr>
      <w:r w:rsidRPr="00B408D2">
        <w:rPr>
          <w:rFonts w:cs="Arial"/>
          <w:i/>
          <w:sz w:val="20"/>
          <w:szCs w:val="20"/>
          <w:u w:val="single"/>
        </w:rPr>
        <w:t xml:space="preserve">Guías y lineamientos para la Implementación de la Ley de Transparencia </w:t>
      </w:r>
    </w:p>
    <w:p w14:paraId="7191C106" w14:textId="77777777" w:rsidR="00D008B5" w:rsidRPr="00B408D2" w:rsidRDefault="00D008B5" w:rsidP="00D008B5">
      <w:pPr>
        <w:pStyle w:val="Prrafodelista"/>
        <w:spacing w:after="0" w:line="240" w:lineRule="auto"/>
        <w:ind w:left="924"/>
        <w:jc w:val="both"/>
        <w:rPr>
          <w:rFonts w:cs="Arial"/>
          <w:i/>
          <w:sz w:val="20"/>
          <w:szCs w:val="20"/>
          <w:u w:val="single"/>
        </w:rPr>
      </w:pPr>
    </w:p>
    <w:p w14:paraId="325D1176" w14:textId="6F22E061" w:rsidR="00A85BEB" w:rsidRPr="000C3A8C" w:rsidRDefault="00B408D2" w:rsidP="00D008B5">
      <w:pPr>
        <w:spacing w:after="0" w:line="240" w:lineRule="auto"/>
        <w:jc w:val="both"/>
        <w:rPr>
          <w:rFonts w:cs="Arial"/>
          <w:color w:val="000000"/>
          <w:sz w:val="20"/>
          <w:szCs w:val="20"/>
        </w:rPr>
      </w:pPr>
      <w:r w:rsidRPr="000C3A8C">
        <w:rPr>
          <w:rFonts w:cs="Arial"/>
          <w:color w:val="000000"/>
          <w:sz w:val="20"/>
          <w:szCs w:val="20"/>
        </w:rPr>
        <w:t xml:space="preserve">Con el propósito de explicar en lenguaje claro las principales obligaciones </w:t>
      </w:r>
      <w:r w:rsidRPr="000C3A8C">
        <w:rPr>
          <w:rFonts w:cs="Arial"/>
          <w:color w:val="000000"/>
          <w:sz w:val="20"/>
          <w:szCs w:val="20"/>
        </w:rPr>
        <w:t>e instrumentos de gestión</w:t>
      </w:r>
      <w:r w:rsidRPr="000C3A8C">
        <w:rPr>
          <w:rFonts w:cs="Arial"/>
          <w:color w:val="000000"/>
          <w:sz w:val="20"/>
          <w:szCs w:val="20"/>
        </w:rPr>
        <w:t xml:space="preserve"> que trae la Ley 1712 de 2014</w:t>
      </w:r>
      <w:r w:rsidRPr="000C3A8C">
        <w:rPr>
          <w:rFonts w:cs="Arial"/>
          <w:color w:val="000000"/>
          <w:sz w:val="20"/>
          <w:szCs w:val="20"/>
        </w:rPr>
        <w:t xml:space="preserve"> y ofrecer </w:t>
      </w:r>
      <w:r w:rsidR="00A85BEB" w:rsidRPr="000C3A8C">
        <w:rPr>
          <w:rFonts w:cs="Arial"/>
          <w:sz w:val="20"/>
          <w:szCs w:val="20"/>
        </w:rPr>
        <w:t xml:space="preserve">lineamientos que faciliten </w:t>
      </w:r>
      <w:r w:rsidRPr="000C3A8C">
        <w:rPr>
          <w:rFonts w:cs="Arial"/>
          <w:sz w:val="20"/>
          <w:szCs w:val="20"/>
        </w:rPr>
        <w:t xml:space="preserve">su </w:t>
      </w:r>
      <w:r w:rsidR="00A85BEB" w:rsidRPr="000C3A8C">
        <w:rPr>
          <w:rFonts w:cs="Arial"/>
          <w:sz w:val="20"/>
          <w:szCs w:val="20"/>
        </w:rPr>
        <w:t>implementación</w:t>
      </w:r>
      <w:r w:rsidR="005E6978" w:rsidRPr="000C3A8C">
        <w:rPr>
          <w:rFonts w:cs="Arial"/>
          <w:sz w:val="20"/>
          <w:szCs w:val="20"/>
        </w:rPr>
        <w:t>, l</w:t>
      </w:r>
      <w:r w:rsidR="00A85BEB" w:rsidRPr="000C3A8C">
        <w:rPr>
          <w:rFonts w:cs="Arial"/>
          <w:sz w:val="20"/>
          <w:szCs w:val="20"/>
        </w:rPr>
        <w:t>a Secretaría adelantó</w:t>
      </w:r>
      <w:r w:rsidR="005E6978" w:rsidRPr="000C3A8C">
        <w:rPr>
          <w:rFonts w:cs="Arial"/>
          <w:sz w:val="20"/>
          <w:szCs w:val="20"/>
        </w:rPr>
        <w:t xml:space="preserve"> </w:t>
      </w:r>
      <w:r w:rsidRPr="000C3A8C">
        <w:rPr>
          <w:rFonts w:cs="Arial"/>
          <w:sz w:val="20"/>
          <w:szCs w:val="20"/>
        </w:rPr>
        <w:t xml:space="preserve">la elaboración de tres </w:t>
      </w:r>
      <w:r w:rsidR="00320E29" w:rsidRPr="000C3A8C">
        <w:rPr>
          <w:rFonts w:cs="Arial"/>
          <w:sz w:val="20"/>
          <w:szCs w:val="20"/>
        </w:rPr>
        <w:t>guías</w:t>
      </w:r>
      <w:r w:rsidRPr="000C3A8C">
        <w:rPr>
          <w:rFonts w:cs="Arial"/>
          <w:sz w:val="20"/>
          <w:szCs w:val="20"/>
        </w:rPr>
        <w:t xml:space="preserve"> prácticas de implemen</w:t>
      </w:r>
      <w:r w:rsidR="00320E29" w:rsidRPr="000C3A8C">
        <w:rPr>
          <w:rFonts w:cs="Arial"/>
          <w:sz w:val="20"/>
          <w:szCs w:val="20"/>
        </w:rPr>
        <w:t>t</w:t>
      </w:r>
      <w:r w:rsidRPr="000C3A8C">
        <w:rPr>
          <w:rFonts w:cs="Arial"/>
          <w:sz w:val="20"/>
          <w:szCs w:val="20"/>
        </w:rPr>
        <w:t>ación</w:t>
      </w:r>
      <w:r w:rsidR="00320E29" w:rsidRPr="000C3A8C">
        <w:rPr>
          <w:rFonts w:cs="Arial"/>
          <w:sz w:val="20"/>
          <w:szCs w:val="20"/>
        </w:rPr>
        <w:t xml:space="preserve"> en temas claves,  las </w:t>
      </w:r>
      <w:r w:rsidR="0015106E" w:rsidRPr="000C3A8C">
        <w:rPr>
          <w:rFonts w:cs="Arial"/>
          <w:sz w:val="20"/>
          <w:szCs w:val="20"/>
        </w:rPr>
        <w:t>cuales</w:t>
      </w:r>
      <w:r w:rsidR="00320E29" w:rsidRPr="000C3A8C">
        <w:rPr>
          <w:rFonts w:cs="Arial"/>
          <w:sz w:val="20"/>
          <w:szCs w:val="20"/>
        </w:rPr>
        <w:t xml:space="preserve"> fueron gestionadas con el apoyo del </w:t>
      </w:r>
      <w:r w:rsidRPr="000C3A8C">
        <w:rPr>
          <w:rFonts w:cs="Arial"/>
          <w:sz w:val="20"/>
          <w:szCs w:val="20"/>
        </w:rPr>
        <w:t xml:space="preserve"> proyecto Anticorrupción y Transparencia de la Unión Europea para Colombia –ACTUE- ejecutado a través de la Fundación Internacional y para Iberoamérica de Administración y Políticas Públicas (FIIAPP)</w:t>
      </w:r>
      <w:r w:rsidR="00A85BEB" w:rsidRPr="000C3A8C">
        <w:rPr>
          <w:rFonts w:cs="Arial"/>
          <w:sz w:val="20"/>
          <w:szCs w:val="20"/>
        </w:rPr>
        <w:t xml:space="preserve">. Estas guías desarrollan los siguientes temas: </w:t>
      </w:r>
    </w:p>
    <w:p w14:paraId="6DDDA91D" w14:textId="77777777" w:rsidR="00A85BEB" w:rsidRPr="000C3A8C" w:rsidRDefault="00A85BEB" w:rsidP="00D008B5">
      <w:pPr>
        <w:pStyle w:val="Prrafodelista"/>
        <w:numPr>
          <w:ilvl w:val="1"/>
          <w:numId w:val="2"/>
        </w:numPr>
        <w:spacing w:after="0" w:line="240" w:lineRule="auto"/>
        <w:jc w:val="both"/>
        <w:rPr>
          <w:rFonts w:cs="Arial"/>
          <w:sz w:val="20"/>
          <w:szCs w:val="20"/>
        </w:rPr>
      </w:pPr>
      <w:r w:rsidRPr="000C3A8C">
        <w:rPr>
          <w:rFonts w:cs="Arial"/>
          <w:sz w:val="20"/>
          <w:szCs w:val="20"/>
        </w:rPr>
        <w:t xml:space="preserve">Guía para la elaboración de los instrumentos de gestión de la información (Registro de Activos de Información, Índice de Información Clasificada y Reservada, Esquema de Publicación y Programa de Gestión Documental. </w:t>
      </w:r>
    </w:p>
    <w:p w14:paraId="6BADA11D" w14:textId="77777777" w:rsidR="00A85BEB" w:rsidRPr="000C3A8C" w:rsidRDefault="00A85BEB" w:rsidP="00D008B5">
      <w:pPr>
        <w:pStyle w:val="Prrafodelista"/>
        <w:numPr>
          <w:ilvl w:val="1"/>
          <w:numId w:val="2"/>
        </w:numPr>
        <w:spacing w:after="0" w:line="240" w:lineRule="auto"/>
        <w:jc w:val="both"/>
        <w:rPr>
          <w:rFonts w:cs="Arial"/>
          <w:sz w:val="20"/>
          <w:szCs w:val="20"/>
        </w:rPr>
      </w:pPr>
      <w:r w:rsidRPr="000C3A8C">
        <w:rPr>
          <w:rFonts w:cs="Arial"/>
          <w:sz w:val="20"/>
          <w:szCs w:val="20"/>
        </w:rPr>
        <w:t xml:space="preserve">Guía para la caracterización de usuarios de información pública. </w:t>
      </w:r>
    </w:p>
    <w:p w14:paraId="7F0ABECE" w14:textId="77777777" w:rsidR="00A85BEB" w:rsidRPr="000C3A8C" w:rsidRDefault="00A85BEB" w:rsidP="00D008B5">
      <w:pPr>
        <w:pStyle w:val="Prrafodelista"/>
        <w:numPr>
          <w:ilvl w:val="1"/>
          <w:numId w:val="2"/>
        </w:numPr>
        <w:spacing w:after="0" w:line="240" w:lineRule="auto"/>
        <w:jc w:val="both"/>
        <w:rPr>
          <w:rFonts w:cs="Arial"/>
          <w:sz w:val="20"/>
          <w:szCs w:val="20"/>
        </w:rPr>
      </w:pPr>
      <w:r w:rsidRPr="000C3A8C">
        <w:rPr>
          <w:rFonts w:cs="Arial"/>
          <w:sz w:val="20"/>
          <w:szCs w:val="20"/>
        </w:rPr>
        <w:t xml:space="preserve">Guía para la atención de solicitudes de acceso a la información pública. </w:t>
      </w:r>
    </w:p>
    <w:p w14:paraId="5A46ECFB" w14:textId="77777777" w:rsidR="00A85BEB" w:rsidRPr="000C3A8C" w:rsidRDefault="00A85BEB" w:rsidP="00D008B5">
      <w:pPr>
        <w:pStyle w:val="Prrafodelista"/>
        <w:spacing w:after="0" w:line="240" w:lineRule="auto"/>
        <w:jc w:val="both"/>
        <w:rPr>
          <w:rFonts w:cs="Arial"/>
          <w:sz w:val="20"/>
          <w:szCs w:val="20"/>
        </w:rPr>
      </w:pPr>
    </w:p>
    <w:p w14:paraId="0A18FA00" w14:textId="26DDF1CF" w:rsidR="00320E29" w:rsidRDefault="00320E29" w:rsidP="00D008B5">
      <w:pPr>
        <w:spacing w:after="0" w:line="240" w:lineRule="auto"/>
        <w:jc w:val="both"/>
        <w:rPr>
          <w:rFonts w:cs="Arial"/>
          <w:sz w:val="20"/>
          <w:szCs w:val="20"/>
        </w:rPr>
      </w:pPr>
      <w:r w:rsidRPr="000C3A8C">
        <w:rPr>
          <w:rFonts w:cs="Arial"/>
          <w:sz w:val="20"/>
          <w:szCs w:val="20"/>
        </w:rPr>
        <w:t>De manera complementaria, y con el propósito de definir herramientas diferenciadas que facilitaran la implementación de la Ley por parte de sujetos obligados no tradicionales, con el apoyo fin</w:t>
      </w:r>
      <w:r w:rsidRPr="000C3A8C">
        <w:rPr>
          <w:rFonts w:cs="Arial"/>
          <w:sz w:val="20"/>
          <w:szCs w:val="20"/>
        </w:rPr>
        <w:t>anciero del Programa EUROsociAL</w:t>
      </w:r>
      <w:r w:rsidRPr="000C3A8C">
        <w:rPr>
          <w:rFonts w:cs="Arial"/>
          <w:sz w:val="20"/>
          <w:szCs w:val="20"/>
        </w:rPr>
        <w:t xml:space="preserve"> para apoyar la cohesión social en A</w:t>
      </w:r>
      <w:r w:rsidRPr="000C3A8C">
        <w:rPr>
          <w:rFonts w:cs="Arial"/>
          <w:sz w:val="20"/>
          <w:szCs w:val="20"/>
        </w:rPr>
        <w:t xml:space="preserve">mérica Latina; la Secretaría de </w:t>
      </w:r>
      <w:r w:rsidRPr="000C3A8C">
        <w:rPr>
          <w:rFonts w:cs="Arial"/>
          <w:sz w:val="20"/>
          <w:szCs w:val="20"/>
        </w:rPr>
        <w:t xml:space="preserve">Transparencia, inició una asistencia técnica con dos expertos consultores (uno nacional y otro internacional) para el diseño de lineamientos para la implementación de acciones de Transparencia y Acceso a la Información en Colombia y en América Latina por parte de partidos políticos y movimientos significativos de ciudadanos. </w:t>
      </w:r>
      <w:r w:rsidRPr="000C3A8C">
        <w:rPr>
          <w:rFonts w:cs="Arial"/>
          <w:sz w:val="20"/>
          <w:szCs w:val="20"/>
        </w:rPr>
        <w:t xml:space="preserve">Así mismo, </w:t>
      </w:r>
      <w:r w:rsidRPr="000C3A8C">
        <w:rPr>
          <w:rFonts w:cs="Arial"/>
          <w:sz w:val="20"/>
          <w:szCs w:val="20"/>
        </w:rPr>
        <w:t xml:space="preserve">en </w:t>
      </w:r>
      <w:r w:rsidRPr="000C3A8C">
        <w:rPr>
          <w:rFonts w:cs="Arial"/>
          <w:sz w:val="20"/>
          <w:szCs w:val="20"/>
        </w:rPr>
        <w:lastRenderedPageBreak/>
        <w:t xml:space="preserve">alianza con el Instituto Holandés para la Democracia Multipartidista (NIMD por sus siglas en inglés) y la Corporación Transparencia por Colombia, la Secretaría de Transparencia elaboró la guía de </w:t>
      </w:r>
      <w:r w:rsidRPr="000C3A8C">
        <w:rPr>
          <w:rFonts w:cs="Arial"/>
          <w:sz w:val="20"/>
          <w:szCs w:val="20"/>
        </w:rPr>
        <w:t>“</w:t>
      </w:r>
      <w:r w:rsidRPr="000C3A8C">
        <w:rPr>
          <w:rFonts w:cs="Arial"/>
          <w:sz w:val="20"/>
          <w:szCs w:val="20"/>
        </w:rPr>
        <w:t>Transparencia y Acceso a la Información en Partidos y Movimientos Políticos Colombianos: Responsabilidades frente a la implementación de la Ley 1712 de 2014. Acciones dirigidas a facilitar la implementación de los lineamientos y disposiciones en materia de acceso a la información pública, presentes en la Ley 1712 de 2014 y su decreto reglamentario, para este importante grupo de sujetos obligados.</w:t>
      </w:r>
    </w:p>
    <w:p w14:paraId="7FA6FD62" w14:textId="77777777" w:rsidR="00D008B5" w:rsidRPr="000C3A8C" w:rsidRDefault="00D008B5" w:rsidP="00D008B5">
      <w:pPr>
        <w:spacing w:after="0" w:line="240" w:lineRule="auto"/>
        <w:jc w:val="both"/>
        <w:rPr>
          <w:rFonts w:cs="Arial"/>
          <w:sz w:val="20"/>
          <w:szCs w:val="20"/>
        </w:rPr>
      </w:pPr>
    </w:p>
    <w:p w14:paraId="398823D6" w14:textId="066B1E9D" w:rsidR="00B257DB" w:rsidRDefault="00B257DB" w:rsidP="00D008B5">
      <w:pPr>
        <w:pStyle w:val="Prrafodelista"/>
        <w:numPr>
          <w:ilvl w:val="1"/>
          <w:numId w:val="5"/>
        </w:numPr>
        <w:spacing w:after="0" w:line="240" w:lineRule="auto"/>
        <w:ind w:left="924" w:hanging="357"/>
        <w:jc w:val="both"/>
        <w:rPr>
          <w:rFonts w:cs="Arial"/>
          <w:i/>
          <w:sz w:val="20"/>
          <w:szCs w:val="20"/>
          <w:u w:val="single"/>
        </w:rPr>
      </w:pPr>
      <w:r w:rsidRPr="000C3A8C">
        <w:rPr>
          <w:rFonts w:cs="Arial"/>
          <w:i/>
          <w:sz w:val="20"/>
          <w:szCs w:val="20"/>
          <w:u w:val="single"/>
        </w:rPr>
        <w:t>Metodología para la implementación de la Ley 1712 de 2014 en entidades territoriales.</w:t>
      </w:r>
    </w:p>
    <w:p w14:paraId="4453A2B2" w14:textId="77777777" w:rsidR="00D008B5" w:rsidRPr="000C3A8C" w:rsidRDefault="00D008B5" w:rsidP="00D008B5">
      <w:pPr>
        <w:pStyle w:val="Prrafodelista"/>
        <w:spacing w:after="0" w:line="240" w:lineRule="auto"/>
        <w:ind w:left="924"/>
        <w:jc w:val="both"/>
        <w:rPr>
          <w:rFonts w:cs="Arial"/>
          <w:i/>
          <w:sz w:val="20"/>
          <w:szCs w:val="20"/>
          <w:u w:val="single"/>
        </w:rPr>
      </w:pPr>
    </w:p>
    <w:p w14:paraId="2C96DAC8" w14:textId="77777777" w:rsidR="00B17654" w:rsidRDefault="00B257DB" w:rsidP="00D008B5">
      <w:pPr>
        <w:spacing w:after="0" w:line="240" w:lineRule="auto"/>
        <w:jc w:val="both"/>
        <w:rPr>
          <w:rFonts w:cs="Arial"/>
          <w:sz w:val="20"/>
          <w:szCs w:val="20"/>
        </w:rPr>
      </w:pPr>
      <w:r w:rsidRPr="000C3A8C">
        <w:rPr>
          <w:rFonts w:cs="Arial"/>
          <w:sz w:val="20"/>
          <w:szCs w:val="20"/>
        </w:rPr>
        <w:t>El Plan Nacional de Desarrollo 2014-2018 “Todos por un nuevo país”, está construido con dos enfoques: la orientación hacia resultados y la orientación te</w:t>
      </w:r>
      <w:r w:rsidR="0020669C" w:rsidRPr="000C3A8C">
        <w:rPr>
          <w:rFonts w:cs="Arial"/>
          <w:sz w:val="20"/>
          <w:szCs w:val="20"/>
        </w:rPr>
        <w:t>rritorial.</w:t>
      </w:r>
      <w:r w:rsidRPr="000C3A8C">
        <w:rPr>
          <w:rFonts w:cs="Arial"/>
          <w:sz w:val="20"/>
          <w:szCs w:val="20"/>
        </w:rPr>
        <w:t xml:space="preserve"> </w:t>
      </w:r>
      <w:r w:rsidR="0020669C" w:rsidRPr="000C3A8C">
        <w:rPr>
          <w:rFonts w:cs="Arial"/>
          <w:sz w:val="20"/>
          <w:szCs w:val="20"/>
        </w:rPr>
        <w:t>S</w:t>
      </w:r>
      <w:r w:rsidRPr="000C3A8C">
        <w:rPr>
          <w:rFonts w:cs="Arial"/>
          <w:sz w:val="20"/>
          <w:szCs w:val="20"/>
        </w:rPr>
        <w:t>iguiendo este último enfoque</w:t>
      </w:r>
      <w:r w:rsidR="00163E5A">
        <w:rPr>
          <w:rFonts w:cs="Arial"/>
          <w:sz w:val="20"/>
          <w:szCs w:val="20"/>
        </w:rPr>
        <w:t>,</w:t>
      </w:r>
      <w:r w:rsidRPr="000C3A8C">
        <w:rPr>
          <w:rFonts w:cs="Arial"/>
          <w:sz w:val="20"/>
          <w:szCs w:val="20"/>
        </w:rPr>
        <w:t xml:space="preserve"> la Secretaría de Transparencia consideró indispensable contar con una metodología que facilite la implementación de las obligaciones emanadas de la Ley 1712 de 2014 por parte de las entidades territoriales. </w:t>
      </w:r>
      <w:r w:rsidR="00163E5A">
        <w:rPr>
          <w:rFonts w:cs="Arial"/>
          <w:sz w:val="20"/>
          <w:szCs w:val="20"/>
        </w:rPr>
        <w:t xml:space="preserve">Es así como  se diseñó una </w:t>
      </w:r>
      <w:r w:rsidRPr="000C3A8C">
        <w:rPr>
          <w:rFonts w:cs="Arial"/>
          <w:sz w:val="20"/>
          <w:szCs w:val="20"/>
        </w:rPr>
        <w:t xml:space="preserve">metodología </w:t>
      </w:r>
      <w:r w:rsidR="00163E5A">
        <w:rPr>
          <w:rFonts w:cs="Arial"/>
          <w:sz w:val="20"/>
          <w:szCs w:val="20"/>
        </w:rPr>
        <w:t>que se enfoca en</w:t>
      </w:r>
      <w:r w:rsidRPr="000C3A8C">
        <w:rPr>
          <w:rFonts w:cs="Arial"/>
          <w:sz w:val="20"/>
          <w:szCs w:val="20"/>
        </w:rPr>
        <w:t xml:space="preserve"> las necesidades, realidades y dinámica</w:t>
      </w:r>
      <w:r w:rsidR="00163E5A">
        <w:rPr>
          <w:rFonts w:cs="Arial"/>
          <w:sz w:val="20"/>
          <w:szCs w:val="20"/>
        </w:rPr>
        <w:t>s</w:t>
      </w:r>
      <w:r w:rsidRPr="000C3A8C">
        <w:rPr>
          <w:rFonts w:cs="Arial"/>
          <w:sz w:val="20"/>
          <w:szCs w:val="20"/>
        </w:rPr>
        <w:t xml:space="preserve"> </w:t>
      </w:r>
      <w:r w:rsidR="00163E5A" w:rsidRPr="000C3A8C">
        <w:rPr>
          <w:rFonts w:cs="Arial"/>
          <w:sz w:val="20"/>
          <w:szCs w:val="20"/>
        </w:rPr>
        <w:t>propi</w:t>
      </w:r>
      <w:r w:rsidR="00163E5A">
        <w:rPr>
          <w:rFonts w:cs="Arial"/>
          <w:sz w:val="20"/>
          <w:szCs w:val="20"/>
        </w:rPr>
        <w:t>a</w:t>
      </w:r>
      <w:r w:rsidR="00163E5A" w:rsidRPr="000C3A8C">
        <w:rPr>
          <w:rFonts w:cs="Arial"/>
          <w:sz w:val="20"/>
          <w:szCs w:val="20"/>
        </w:rPr>
        <w:t>s</w:t>
      </w:r>
      <w:r w:rsidR="00163E5A">
        <w:rPr>
          <w:rFonts w:cs="Arial"/>
          <w:sz w:val="20"/>
          <w:szCs w:val="20"/>
        </w:rPr>
        <w:t xml:space="preserve"> de las entidades territoriales, y  </w:t>
      </w:r>
      <w:r w:rsidRPr="000C3A8C">
        <w:rPr>
          <w:rFonts w:cs="Arial"/>
          <w:sz w:val="20"/>
          <w:szCs w:val="20"/>
        </w:rPr>
        <w:t>busca</w:t>
      </w:r>
      <w:r w:rsidRPr="000C3A8C">
        <w:rPr>
          <w:rFonts w:cs="Arial"/>
          <w:sz w:val="20"/>
          <w:szCs w:val="20"/>
        </w:rPr>
        <w:t xml:space="preserve"> que los mandatarios del nivel departamental y municipal tengan una plena comprensión de las obligaciones que tienen la Ley 17</w:t>
      </w:r>
      <w:r w:rsidR="00163E5A">
        <w:rPr>
          <w:rFonts w:cs="Arial"/>
          <w:sz w:val="20"/>
          <w:szCs w:val="20"/>
        </w:rPr>
        <w:t xml:space="preserve">12 de 2014 y sus normas conexas. </w:t>
      </w:r>
    </w:p>
    <w:p w14:paraId="5C6B4BBD" w14:textId="77777777" w:rsidR="00B17654" w:rsidRDefault="00B17654" w:rsidP="00D008B5">
      <w:pPr>
        <w:spacing w:after="0" w:line="240" w:lineRule="auto"/>
        <w:jc w:val="both"/>
        <w:rPr>
          <w:rFonts w:cs="Arial"/>
          <w:sz w:val="20"/>
          <w:szCs w:val="20"/>
        </w:rPr>
      </w:pPr>
    </w:p>
    <w:p w14:paraId="71880BA9" w14:textId="325405B2" w:rsidR="00B257DB" w:rsidRDefault="00163E5A" w:rsidP="00D008B5">
      <w:pPr>
        <w:spacing w:after="0" w:line="240" w:lineRule="auto"/>
        <w:jc w:val="both"/>
        <w:rPr>
          <w:rFonts w:cs="Arial"/>
          <w:sz w:val="20"/>
          <w:szCs w:val="20"/>
        </w:rPr>
      </w:pPr>
      <w:r>
        <w:rPr>
          <w:rFonts w:cs="Arial"/>
          <w:sz w:val="20"/>
          <w:szCs w:val="20"/>
        </w:rPr>
        <w:t>Así mismo, orienta</w:t>
      </w:r>
      <w:r w:rsidR="00B257DB" w:rsidRPr="000C3A8C">
        <w:rPr>
          <w:rFonts w:cs="Arial"/>
          <w:sz w:val="20"/>
          <w:szCs w:val="20"/>
        </w:rPr>
        <w:t xml:space="preserve"> los procedimientos, procesos y actuaciones, entre otros aspectos, que deben realizar las entidades del orden territorial para asegurar una implementación exitosa de la norma, particularmente a partir del desarrollo de herramientas que faciliten la implementación de los instrumentos de gestión de información dispuestos por el Decreto 1081 de 20153, el cual reglamenta pa</w:t>
      </w:r>
      <w:r w:rsidR="0020669C" w:rsidRPr="000C3A8C">
        <w:rPr>
          <w:rFonts w:cs="Arial"/>
          <w:sz w:val="20"/>
          <w:szCs w:val="20"/>
        </w:rPr>
        <w:t xml:space="preserve">rcialmente la Ley 1712 de 2014. </w:t>
      </w:r>
      <w:r w:rsidR="00B257DB" w:rsidRPr="000C3A8C">
        <w:rPr>
          <w:rFonts w:cs="Arial"/>
          <w:sz w:val="20"/>
          <w:szCs w:val="20"/>
        </w:rPr>
        <w:t xml:space="preserve">Finalmente esta metodología </w:t>
      </w:r>
      <w:r w:rsidR="00B17654">
        <w:rPr>
          <w:rFonts w:cs="Arial"/>
          <w:sz w:val="20"/>
          <w:szCs w:val="20"/>
        </w:rPr>
        <w:t>permite</w:t>
      </w:r>
      <w:r w:rsidR="00B257DB" w:rsidRPr="000C3A8C">
        <w:rPr>
          <w:rFonts w:cs="Arial"/>
          <w:sz w:val="20"/>
          <w:szCs w:val="20"/>
        </w:rPr>
        <w:t xml:space="preserve"> a los gobiernos locales materializar una estrategia propia para aumentar la transparencia, reducir los riesgos de corrupción y mejorar la capacidad de lucha contra dicho flagelo.</w:t>
      </w:r>
    </w:p>
    <w:p w14:paraId="57955783" w14:textId="77777777" w:rsidR="00D008B5" w:rsidRPr="000C3A8C" w:rsidRDefault="00D008B5" w:rsidP="00D008B5">
      <w:pPr>
        <w:spacing w:after="0" w:line="240" w:lineRule="auto"/>
        <w:jc w:val="both"/>
        <w:rPr>
          <w:rFonts w:cs="Arial"/>
          <w:sz w:val="20"/>
          <w:szCs w:val="20"/>
        </w:rPr>
      </w:pPr>
    </w:p>
    <w:p w14:paraId="30A6A8EA" w14:textId="5A040B40" w:rsidR="0020669C" w:rsidRPr="000C3A8C" w:rsidRDefault="0020669C" w:rsidP="00D008B5">
      <w:pPr>
        <w:pStyle w:val="Prrafodelista"/>
        <w:numPr>
          <w:ilvl w:val="1"/>
          <w:numId w:val="5"/>
        </w:numPr>
        <w:spacing w:after="0" w:line="240" w:lineRule="auto"/>
        <w:ind w:left="924" w:hanging="357"/>
        <w:jc w:val="both"/>
        <w:rPr>
          <w:rFonts w:cs="Arial"/>
          <w:i/>
          <w:sz w:val="20"/>
          <w:szCs w:val="20"/>
          <w:u w:val="single"/>
        </w:rPr>
      </w:pPr>
      <w:r w:rsidRPr="000C3A8C">
        <w:rPr>
          <w:rFonts w:cs="Arial"/>
          <w:i/>
          <w:sz w:val="20"/>
          <w:szCs w:val="20"/>
          <w:u w:val="single"/>
        </w:rPr>
        <w:t xml:space="preserve">Inventario de sujetos obligados </w:t>
      </w:r>
    </w:p>
    <w:p w14:paraId="7B3B95A8" w14:textId="77777777" w:rsidR="00320E29" w:rsidRPr="000C3A8C" w:rsidRDefault="00320E29" w:rsidP="00D008B5">
      <w:pPr>
        <w:pStyle w:val="Prrafodelista"/>
        <w:spacing w:after="0" w:line="240" w:lineRule="auto"/>
        <w:jc w:val="both"/>
        <w:rPr>
          <w:rFonts w:cs="Arial"/>
          <w:sz w:val="20"/>
          <w:szCs w:val="20"/>
        </w:rPr>
      </w:pPr>
    </w:p>
    <w:p w14:paraId="37E94F0F" w14:textId="13FB0FA6" w:rsidR="00320E29" w:rsidRPr="000C3A8C" w:rsidRDefault="0020669C" w:rsidP="00D008B5">
      <w:pPr>
        <w:spacing w:after="0" w:line="240" w:lineRule="auto"/>
        <w:jc w:val="both"/>
        <w:rPr>
          <w:rFonts w:cs="Arial"/>
          <w:sz w:val="20"/>
          <w:szCs w:val="20"/>
        </w:rPr>
      </w:pPr>
      <w:r w:rsidRPr="000C3A8C">
        <w:rPr>
          <w:rFonts w:cs="Arial"/>
          <w:sz w:val="20"/>
          <w:szCs w:val="20"/>
        </w:rPr>
        <w:t>Transversalmente a todas las actividades anteriormente descritas, la Secretaría de Transparencia con</w:t>
      </w:r>
      <w:r w:rsidRPr="000C3A8C">
        <w:rPr>
          <w:rFonts w:cs="Arial"/>
          <w:sz w:val="20"/>
          <w:szCs w:val="20"/>
        </w:rPr>
        <w:t xml:space="preserve"> el apoyo de la FIIAPP, adelantó</w:t>
      </w:r>
      <w:r w:rsidRPr="000C3A8C">
        <w:rPr>
          <w:rFonts w:cs="Arial"/>
          <w:sz w:val="20"/>
          <w:szCs w:val="20"/>
        </w:rPr>
        <w:t xml:space="preserve"> una consultoría para la elaboración de un inventario de los sujetos obligados descritos en el artículo 5° de la Ley de Transparencia y del Derecho de A</w:t>
      </w:r>
      <w:r w:rsidRPr="000C3A8C">
        <w:rPr>
          <w:rFonts w:cs="Arial"/>
          <w:sz w:val="20"/>
          <w:szCs w:val="20"/>
        </w:rPr>
        <w:t xml:space="preserve">cceso a la Información Pública. </w:t>
      </w:r>
      <w:r w:rsidRPr="000C3A8C">
        <w:rPr>
          <w:rFonts w:cs="Arial"/>
          <w:sz w:val="20"/>
          <w:szCs w:val="20"/>
        </w:rPr>
        <w:t xml:space="preserve">Dicho inventario </w:t>
      </w:r>
      <w:r w:rsidRPr="000C3A8C">
        <w:rPr>
          <w:rFonts w:cs="Arial"/>
          <w:sz w:val="20"/>
          <w:szCs w:val="20"/>
        </w:rPr>
        <w:t>permite conocer</w:t>
      </w:r>
      <w:r w:rsidRPr="000C3A8C">
        <w:rPr>
          <w:rFonts w:cs="Arial"/>
          <w:sz w:val="20"/>
          <w:szCs w:val="20"/>
        </w:rPr>
        <w:t xml:space="preserve"> de primera mano quiénes son las personas a las que las disposiciones de la Ley 1712 de 2014 les son aplicables en calidad de sujetos obligados, lo que implica indagar su naturaleza, actividad, alineación con las políticas misionales de las entidades líderes de la política de acceso a la información pública y las entidades que le llevan a cabo supervigilancia y control, entre otras más, y servir como insumo para la formulación de estrategias de capacitación y asistencia por parte de las entidades líderes, y de control y vigilancia por parte del Ministerio Público.</w:t>
      </w:r>
    </w:p>
    <w:p w14:paraId="3DE21335" w14:textId="77777777" w:rsidR="0019134B" w:rsidRPr="000C3A8C" w:rsidRDefault="0019134B" w:rsidP="00D008B5">
      <w:pPr>
        <w:pStyle w:val="Prrafodelista"/>
        <w:spacing w:after="0" w:line="240" w:lineRule="auto"/>
        <w:rPr>
          <w:rFonts w:cs="Arial"/>
          <w:sz w:val="20"/>
          <w:szCs w:val="20"/>
        </w:rPr>
      </w:pPr>
    </w:p>
    <w:p w14:paraId="2507AAC0" w14:textId="77777777" w:rsidR="0019134B" w:rsidRPr="000C3A8C" w:rsidRDefault="0019134B" w:rsidP="00D008B5">
      <w:pPr>
        <w:pStyle w:val="Prrafodelista"/>
        <w:spacing w:after="0" w:line="240" w:lineRule="auto"/>
        <w:jc w:val="both"/>
        <w:rPr>
          <w:rFonts w:cs="Arial"/>
          <w:sz w:val="20"/>
          <w:szCs w:val="20"/>
        </w:rPr>
      </w:pPr>
    </w:p>
    <w:p w14:paraId="37BB2911" w14:textId="77777777" w:rsidR="00C32351" w:rsidRDefault="00C055D3" w:rsidP="00D008B5">
      <w:pPr>
        <w:pStyle w:val="Prrafodelista"/>
        <w:numPr>
          <w:ilvl w:val="0"/>
          <w:numId w:val="1"/>
        </w:numPr>
        <w:spacing w:after="0" w:line="240" w:lineRule="auto"/>
        <w:jc w:val="both"/>
        <w:rPr>
          <w:rFonts w:cs="Arial"/>
          <w:b/>
          <w:sz w:val="20"/>
          <w:szCs w:val="20"/>
        </w:rPr>
      </w:pPr>
      <w:r w:rsidRPr="000C3A8C">
        <w:rPr>
          <w:rFonts w:cs="Arial"/>
          <w:b/>
          <w:sz w:val="20"/>
          <w:szCs w:val="20"/>
        </w:rPr>
        <w:t>LÓGRO 2: capacitación y acompañamiento</w:t>
      </w:r>
      <w:r w:rsidR="0019134B" w:rsidRPr="000C3A8C">
        <w:rPr>
          <w:rFonts w:cs="Arial"/>
          <w:b/>
          <w:sz w:val="20"/>
          <w:szCs w:val="20"/>
        </w:rPr>
        <w:t>:</w:t>
      </w:r>
    </w:p>
    <w:p w14:paraId="174B160F" w14:textId="77777777" w:rsidR="00D008B5" w:rsidRPr="000C3A8C" w:rsidRDefault="00D008B5" w:rsidP="00D008B5">
      <w:pPr>
        <w:pStyle w:val="Prrafodelista"/>
        <w:spacing w:after="0" w:line="240" w:lineRule="auto"/>
        <w:ind w:left="360"/>
        <w:jc w:val="both"/>
        <w:rPr>
          <w:rFonts w:cs="Arial"/>
          <w:b/>
          <w:sz w:val="20"/>
          <w:szCs w:val="20"/>
        </w:rPr>
      </w:pPr>
    </w:p>
    <w:p w14:paraId="384E906F" w14:textId="1B4575D8" w:rsidR="0019134B" w:rsidRDefault="0019134B" w:rsidP="00D008B5">
      <w:pPr>
        <w:spacing w:after="0" w:line="240" w:lineRule="auto"/>
        <w:jc w:val="both"/>
        <w:rPr>
          <w:rFonts w:cs="Arial"/>
          <w:sz w:val="20"/>
          <w:szCs w:val="20"/>
        </w:rPr>
      </w:pPr>
      <w:r w:rsidRPr="000C3A8C">
        <w:rPr>
          <w:rFonts w:cs="Arial"/>
          <w:sz w:val="20"/>
          <w:szCs w:val="20"/>
        </w:rPr>
        <w:t xml:space="preserve">El desarrollo de esta línea estratégica de acción está relacionada con la difusión, sensibilización y acompañamiento a distintos grupos de sujetos obligados en la implementación de la política de acceso a la información pública. </w:t>
      </w:r>
      <w:r w:rsidR="00C32351" w:rsidRPr="000C3A8C">
        <w:rPr>
          <w:rFonts w:cs="Arial"/>
          <w:sz w:val="20"/>
          <w:szCs w:val="20"/>
        </w:rPr>
        <w:t>En tal sentido se alcanzaron los siguientes logros</w:t>
      </w:r>
    </w:p>
    <w:p w14:paraId="3699EC48" w14:textId="77777777" w:rsidR="00D008B5" w:rsidRPr="000C3A8C" w:rsidRDefault="00D008B5" w:rsidP="00D008B5">
      <w:pPr>
        <w:spacing w:after="0" w:line="240" w:lineRule="auto"/>
        <w:jc w:val="both"/>
        <w:rPr>
          <w:rFonts w:cs="Arial"/>
          <w:sz w:val="20"/>
          <w:szCs w:val="20"/>
        </w:rPr>
      </w:pPr>
    </w:p>
    <w:p w14:paraId="0A812453" w14:textId="30C29892" w:rsidR="00E85F5B" w:rsidRPr="00A626C4" w:rsidRDefault="00A626C4" w:rsidP="00D008B5">
      <w:pPr>
        <w:pStyle w:val="Prrafodelista"/>
        <w:numPr>
          <w:ilvl w:val="1"/>
          <w:numId w:val="1"/>
        </w:numPr>
        <w:spacing w:after="0" w:line="240" w:lineRule="auto"/>
        <w:jc w:val="both"/>
        <w:rPr>
          <w:rFonts w:cs="Arial"/>
          <w:i/>
          <w:sz w:val="20"/>
          <w:szCs w:val="20"/>
          <w:u w:val="single"/>
        </w:rPr>
      </w:pPr>
      <w:r w:rsidRPr="00A626C4">
        <w:rPr>
          <w:rFonts w:cs="Arial"/>
          <w:i/>
          <w:sz w:val="20"/>
          <w:szCs w:val="20"/>
          <w:u w:val="single"/>
        </w:rPr>
        <w:t>Socialización de los</w:t>
      </w:r>
      <w:r w:rsidR="00E85F5B" w:rsidRPr="00A626C4">
        <w:rPr>
          <w:rFonts w:cs="Arial"/>
          <w:i/>
          <w:sz w:val="20"/>
          <w:szCs w:val="20"/>
          <w:u w:val="single"/>
        </w:rPr>
        <w:t xml:space="preserve"> contenidos de la ley</w:t>
      </w:r>
      <w:r w:rsidRPr="00A626C4">
        <w:rPr>
          <w:rFonts w:cs="Arial"/>
          <w:i/>
          <w:sz w:val="20"/>
          <w:szCs w:val="20"/>
          <w:u w:val="single"/>
        </w:rPr>
        <w:t xml:space="preserve"> </w:t>
      </w:r>
      <w:r w:rsidRPr="00A626C4">
        <w:rPr>
          <w:rFonts w:cs="Arial"/>
          <w:i/>
          <w:sz w:val="20"/>
          <w:szCs w:val="20"/>
          <w:u w:val="single"/>
        </w:rPr>
        <w:t xml:space="preserve">de Transparencia y del Derecho de Acceso a la Información Pública Nacional </w:t>
      </w:r>
      <w:r>
        <w:rPr>
          <w:rFonts w:cs="Arial"/>
          <w:i/>
          <w:sz w:val="20"/>
          <w:szCs w:val="20"/>
          <w:u w:val="single"/>
        </w:rPr>
        <w:t>en el país.</w:t>
      </w:r>
    </w:p>
    <w:p w14:paraId="4A0A4DCA" w14:textId="77777777" w:rsidR="00D008B5" w:rsidRPr="000C3A8C" w:rsidRDefault="00D008B5" w:rsidP="00D008B5">
      <w:pPr>
        <w:pStyle w:val="Prrafodelista"/>
        <w:spacing w:after="0" w:line="240" w:lineRule="auto"/>
        <w:ind w:left="792"/>
        <w:jc w:val="both"/>
        <w:rPr>
          <w:rFonts w:cs="Arial"/>
          <w:i/>
          <w:sz w:val="20"/>
          <w:szCs w:val="20"/>
          <w:u w:val="single"/>
        </w:rPr>
      </w:pPr>
    </w:p>
    <w:p w14:paraId="2DB755BF" w14:textId="14F5AB1F" w:rsidR="00A626C4" w:rsidRDefault="00A626C4" w:rsidP="00A626C4">
      <w:pPr>
        <w:spacing w:after="0" w:line="240" w:lineRule="auto"/>
        <w:jc w:val="both"/>
        <w:rPr>
          <w:rFonts w:cs="Arial"/>
          <w:sz w:val="20"/>
          <w:szCs w:val="20"/>
        </w:rPr>
      </w:pPr>
      <w:r w:rsidRPr="00A626C4">
        <w:rPr>
          <w:rFonts w:cs="Arial"/>
          <w:sz w:val="20"/>
          <w:szCs w:val="20"/>
        </w:rPr>
        <w:t xml:space="preserve">La Secretaría de Transparencia, una vez sancionada la Ley 1712 de 2014, inició las acciones de sensibilización y capacitación sobre los contenidos de la misma, con sujetos obligados y ciudadanos en el nivel nacional y </w:t>
      </w:r>
      <w:r w:rsidRPr="00A626C4">
        <w:rPr>
          <w:rFonts w:cs="Arial"/>
          <w:sz w:val="20"/>
          <w:szCs w:val="20"/>
        </w:rPr>
        <w:lastRenderedPageBreak/>
        <w:t>territorial. Las primeras acciones se lideraron a través del Observatorio de Transparencia y Anticorrupción, con el cual se realizaron eventos de capacitación y dialogo frente a la ley, en las ciudades de Barranquilla, Bogotá, Bucaramanga, Cali, Cartagena, Florencia, Manizales, Medellín y Neiva con una asistencia total de 598 personas -dentro de las cuales se encuentran funcionarios públicos de entidades del orden nacional y territorial, representantes de la sociedad civil (universidades, ONG, y otros)</w:t>
      </w:r>
      <w:r w:rsidR="00B17654">
        <w:rPr>
          <w:rFonts w:cs="Arial"/>
          <w:sz w:val="20"/>
          <w:szCs w:val="20"/>
        </w:rPr>
        <w:t xml:space="preserve"> y miembros del sector privado. </w:t>
      </w:r>
      <w:r w:rsidRPr="00A626C4">
        <w:rPr>
          <w:rFonts w:cs="Arial"/>
          <w:sz w:val="20"/>
          <w:szCs w:val="20"/>
        </w:rPr>
        <w:t>En el desarrollo de estos talleres, se capacitó a los asistentes en las principales generalidades y disposiciones de la Ley de Transparencia (antecedentes de la ley, el derecho de acceso a la información pública, principios y conceptos básicos de la ley, información clasificada y reservada, gestión de la información, avances y retos) dado el alcance de la convocatoria.</w:t>
      </w:r>
    </w:p>
    <w:p w14:paraId="6EFDF1B1" w14:textId="77777777" w:rsidR="00A626C4" w:rsidRPr="00A626C4" w:rsidRDefault="00A626C4" w:rsidP="00A626C4">
      <w:pPr>
        <w:spacing w:after="0" w:line="240" w:lineRule="auto"/>
        <w:jc w:val="both"/>
        <w:rPr>
          <w:rFonts w:cs="Arial"/>
          <w:sz w:val="20"/>
          <w:szCs w:val="20"/>
        </w:rPr>
      </w:pPr>
    </w:p>
    <w:p w14:paraId="6D615846" w14:textId="1F2E11B5" w:rsidR="00A626C4" w:rsidRDefault="00A626C4" w:rsidP="00A626C4">
      <w:pPr>
        <w:spacing w:after="0" w:line="240" w:lineRule="auto"/>
        <w:jc w:val="both"/>
        <w:rPr>
          <w:rFonts w:cs="Arial"/>
          <w:sz w:val="20"/>
          <w:szCs w:val="20"/>
        </w:rPr>
      </w:pPr>
      <w:r w:rsidRPr="00A626C4">
        <w:rPr>
          <w:rFonts w:cs="Arial"/>
          <w:sz w:val="20"/>
          <w:szCs w:val="20"/>
        </w:rPr>
        <w:t xml:space="preserve">En complemento de lo anterior, en el marco del Programa de Capacitación a Personeros en Derechos Humanos organizado por el Instituto de Estudios del Ministerio Público de la Procuraduría General de la Nación, la Secretaría de Transparencia en conjunto con el Grupo de Transparencia y del Derecho de Acceso a la Información Pública Nacional de la Procuraduría capacitaron durante </w:t>
      </w:r>
      <w:r>
        <w:rPr>
          <w:rFonts w:cs="Arial"/>
          <w:sz w:val="20"/>
          <w:szCs w:val="20"/>
        </w:rPr>
        <w:t>los meses de octubre y noviembre d</w:t>
      </w:r>
      <w:r w:rsidRPr="00A626C4">
        <w:rPr>
          <w:rFonts w:cs="Arial"/>
          <w:sz w:val="20"/>
          <w:szCs w:val="20"/>
        </w:rPr>
        <w:t>el año 2014 a un total de 752 funcionarios del Ministerio Público a través de ocho (8) talleres en las ciudades de Cali, Neiva, Cartagena, Paipa, Girardot, Armenia, Medellín y Pamplona, en sus obligaciones como garantes del derecho de acceso a la información pública y en las generalidades de la Ley en virtud de la labor de capacitación y asistencia que éste órgano debe cumplir.</w:t>
      </w:r>
    </w:p>
    <w:p w14:paraId="456A10B7" w14:textId="77777777" w:rsidR="00A626C4" w:rsidRPr="00A626C4" w:rsidRDefault="00A626C4" w:rsidP="00A626C4">
      <w:pPr>
        <w:spacing w:after="0" w:line="240" w:lineRule="auto"/>
        <w:jc w:val="both"/>
        <w:rPr>
          <w:rFonts w:cs="Arial"/>
          <w:sz w:val="20"/>
          <w:szCs w:val="20"/>
        </w:rPr>
      </w:pPr>
    </w:p>
    <w:p w14:paraId="5FD96CD6" w14:textId="46FD3600" w:rsidR="00A626C4" w:rsidRPr="00A626C4" w:rsidRDefault="00A626C4" w:rsidP="00A626C4">
      <w:pPr>
        <w:spacing w:after="0" w:line="240" w:lineRule="auto"/>
        <w:jc w:val="both"/>
        <w:rPr>
          <w:rFonts w:cs="Arial"/>
          <w:sz w:val="20"/>
          <w:szCs w:val="20"/>
        </w:rPr>
      </w:pPr>
      <w:r>
        <w:rPr>
          <w:rFonts w:cs="Arial"/>
          <w:sz w:val="20"/>
          <w:szCs w:val="20"/>
        </w:rPr>
        <w:t xml:space="preserve">Es importante resaltar que </w:t>
      </w:r>
      <w:r w:rsidRPr="00A626C4">
        <w:rPr>
          <w:rFonts w:cs="Arial"/>
          <w:sz w:val="20"/>
          <w:szCs w:val="20"/>
        </w:rPr>
        <w:t xml:space="preserve">desde el momento de sanción de la Ley 1712 de 2014, </w:t>
      </w:r>
      <w:r>
        <w:rPr>
          <w:rFonts w:cs="Arial"/>
          <w:sz w:val="20"/>
          <w:szCs w:val="20"/>
        </w:rPr>
        <w:t>se han capacitado a 6</w:t>
      </w:r>
      <w:r w:rsidR="004916DC">
        <w:rPr>
          <w:rFonts w:cs="Arial"/>
          <w:sz w:val="20"/>
          <w:szCs w:val="20"/>
        </w:rPr>
        <w:t>.</w:t>
      </w:r>
      <w:r>
        <w:rPr>
          <w:rFonts w:cs="Arial"/>
          <w:sz w:val="20"/>
          <w:szCs w:val="20"/>
        </w:rPr>
        <w:t xml:space="preserve">380 personas, entre </w:t>
      </w:r>
      <w:r w:rsidR="004916DC">
        <w:rPr>
          <w:rFonts w:cs="Arial"/>
          <w:sz w:val="20"/>
          <w:szCs w:val="20"/>
        </w:rPr>
        <w:t>ciudadanos</w:t>
      </w:r>
      <w:r>
        <w:rPr>
          <w:rFonts w:cs="Arial"/>
          <w:sz w:val="20"/>
          <w:szCs w:val="20"/>
        </w:rPr>
        <w:t xml:space="preserve"> y servidores públicos, en más de </w:t>
      </w:r>
      <w:r w:rsidR="004916DC">
        <w:rPr>
          <w:rFonts w:cs="Arial"/>
          <w:sz w:val="20"/>
          <w:szCs w:val="20"/>
        </w:rPr>
        <w:t xml:space="preserve">16 ciudades, lo que a la fecha de hoy permite identificar </w:t>
      </w:r>
      <w:r w:rsidR="004916DC" w:rsidRPr="0015106E">
        <w:rPr>
          <w:sz w:val="20"/>
          <w:szCs w:val="20"/>
        </w:rPr>
        <w:t xml:space="preserve">933 las entidades </w:t>
      </w:r>
      <w:r w:rsidR="004916DC" w:rsidRPr="0015106E">
        <w:rPr>
          <w:sz w:val="20"/>
          <w:szCs w:val="20"/>
        </w:rPr>
        <w:t xml:space="preserve">públicas </w:t>
      </w:r>
      <w:r w:rsidR="004916DC" w:rsidRPr="0015106E">
        <w:rPr>
          <w:sz w:val="20"/>
          <w:szCs w:val="20"/>
        </w:rPr>
        <w:t>capacitadas</w:t>
      </w:r>
      <w:r w:rsidR="004916DC" w:rsidRPr="0015106E">
        <w:t>.</w:t>
      </w:r>
      <w:r w:rsidRPr="0015106E">
        <w:rPr>
          <w:rFonts w:cs="Arial"/>
          <w:sz w:val="20"/>
          <w:szCs w:val="20"/>
        </w:rPr>
        <w:t xml:space="preserve"> </w:t>
      </w:r>
      <w:r w:rsidRPr="00A626C4">
        <w:rPr>
          <w:rFonts w:cs="Arial"/>
          <w:sz w:val="20"/>
          <w:szCs w:val="20"/>
        </w:rPr>
        <w:t>Merece especial relevancia en este caso, las acciones de orientación para la implementación de la Ley 1712 que se han adelantado durante lo corrido de 2015 con el Fondo Nacional del Ahorro, entidad que pidió a la Secretaría asesoría para implementar la ley, a partir de la generación de capacidades en un equipo definido por dicha entidad para liderar el proceso de implementación de la ley en el Fondo.</w:t>
      </w:r>
    </w:p>
    <w:p w14:paraId="3EBBF0BF" w14:textId="77777777" w:rsidR="004916DC" w:rsidRDefault="004916DC" w:rsidP="00A626C4">
      <w:pPr>
        <w:spacing w:after="0" w:line="240" w:lineRule="auto"/>
        <w:jc w:val="both"/>
        <w:rPr>
          <w:rFonts w:cs="Arial"/>
          <w:sz w:val="20"/>
          <w:szCs w:val="20"/>
        </w:rPr>
      </w:pPr>
    </w:p>
    <w:p w14:paraId="1659AB97" w14:textId="03C7A2C4" w:rsidR="00E85F5B" w:rsidRDefault="00A626C4" w:rsidP="00A626C4">
      <w:pPr>
        <w:spacing w:after="0" w:line="240" w:lineRule="auto"/>
        <w:jc w:val="both"/>
        <w:rPr>
          <w:rFonts w:cs="Arial"/>
          <w:sz w:val="20"/>
          <w:szCs w:val="20"/>
        </w:rPr>
      </w:pPr>
      <w:r w:rsidRPr="00A626C4">
        <w:rPr>
          <w:rFonts w:cs="Arial"/>
          <w:sz w:val="20"/>
          <w:szCs w:val="20"/>
        </w:rPr>
        <w:t>Igualmente, la Secretaría ha concentrado importantes esfuerzos en difundir los contenidos principales de la norma, para lo cual se han adelantado campañas de difusión de sus contenidos a través de redes sociales y otros medios electrónicos del Observatorio de Transparencia y Anticorrupción y de alianzas con organizaciones de sociedad civil y gobiernos locales.</w:t>
      </w:r>
    </w:p>
    <w:p w14:paraId="53A4FF0B" w14:textId="77777777" w:rsidR="00A626C4" w:rsidRDefault="00A626C4" w:rsidP="00A626C4">
      <w:pPr>
        <w:spacing w:after="0" w:line="240" w:lineRule="auto"/>
        <w:jc w:val="both"/>
        <w:rPr>
          <w:rFonts w:cs="Arial"/>
          <w:sz w:val="20"/>
          <w:szCs w:val="20"/>
        </w:rPr>
      </w:pPr>
    </w:p>
    <w:tbl>
      <w:tblPr>
        <w:tblW w:w="5060" w:type="dxa"/>
        <w:jc w:val="center"/>
        <w:tblCellMar>
          <w:left w:w="0" w:type="dxa"/>
          <w:right w:w="0" w:type="dxa"/>
        </w:tblCellMar>
        <w:tblLook w:val="04A0" w:firstRow="1" w:lastRow="0" w:firstColumn="1" w:lastColumn="0" w:noHBand="0" w:noVBand="1"/>
      </w:tblPr>
      <w:tblGrid>
        <w:gridCol w:w="1460"/>
        <w:gridCol w:w="1200"/>
        <w:gridCol w:w="1200"/>
        <w:gridCol w:w="1200"/>
      </w:tblGrid>
      <w:tr w:rsidR="004916DC" w:rsidRPr="004916DC" w14:paraId="23756B6F" w14:textId="5DD0A8C7" w:rsidTr="004916DC">
        <w:trPr>
          <w:trHeight w:val="345"/>
          <w:jc w:val="center"/>
        </w:trPr>
        <w:tc>
          <w:tcPr>
            <w:tcW w:w="1460" w:type="dxa"/>
            <w:tcBorders>
              <w:top w:val="single" w:sz="8" w:space="0" w:color="auto"/>
              <w:left w:val="single" w:sz="8" w:space="0" w:color="auto"/>
              <w:bottom w:val="single" w:sz="8" w:space="0" w:color="auto"/>
              <w:right w:val="single" w:sz="8" w:space="0" w:color="auto"/>
            </w:tcBorders>
            <w:shd w:val="clear" w:color="auto" w:fill="C6D9F1" w:themeFill="text2" w:themeFillTint="33"/>
            <w:noWrap/>
            <w:tcMar>
              <w:top w:w="0" w:type="dxa"/>
              <w:left w:w="70" w:type="dxa"/>
              <w:bottom w:w="0" w:type="dxa"/>
              <w:right w:w="70" w:type="dxa"/>
            </w:tcMar>
            <w:vAlign w:val="center"/>
            <w:hideMark/>
          </w:tcPr>
          <w:p w14:paraId="413B357E" w14:textId="77777777" w:rsidR="004916DC" w:rsidRPr="004916DC" w:rsidRDefault="004916DC" w:rsidP="004916DC">
            <w:pPr>
              <w:spacing w:after="0" w:line="240" w:lineRule="auto"/>
              <w:jc w:val="center"/>
              <w:rPr>
                <w:b/>
                <w:bCs/>
                <w:iCs/>
                <w:sz w:val="20"/>
                <w:szCs w:val="20"/>
                <w:lang w:eastAsia="es-CO"/>
              </w:rPr>
            </w:pPr>
            <w:r w:rsidRPr="004916DC">
              <w:rPr>
                <w:b/>
                <w:bCs/>
                <w:iCs/>
                <w:sz w:val="20"/>
                <w:szCs w:val="20"/>
                <w:lang w:eastAsia="es-CO"/>
              </w:rPr>
              <w:t>CIUDAD</w:t>
            </w:r>
          </w:p>
        </w:tc>
        <w:tc>
          <w:tcPr>
            <w:tcW w:w="1200" w:type="dxa"/>
            <w:tcBorders>
              <w:top w:val="single" w:sz="8" w:space="0" w:color="auto"/>
              <w:left w:val="nil"/>
              <w:bottom w:val="single" w:sz="8" w:space="0" w:color="auto"/>
              <w:right w:val="single" w:sz="8" w:space="0" w:color="auto"/>
            </w:tcBorders>
            <w:shd w:val="clear" w:color="auto" w:fill="C6D9F1" w:themeFill="text2" w:themeFillTint="33"/>
            <w:noWrap/>
            <w:tcMar>
              <w:top w:w="0" w:type="dxa"/>
              <w:left w:w="70" w:type="dxa"/>
              <w:bottom w:w="0" w:type="dxa"/>
              <w:right w:w="70" w:type="dxa"/>
            </w:tcMar>
            <w:vAlign w:val="center"/>
            <w:hideMark/>
          </w:tcPr>
          <w:p w14:paraId="177FF8B8" w14:textId="77777777" w:rsidR="004916DC" w:rsidRPr="004916DC" w:rsidRDefault="004916DC" w:rsidP="004916DC">
            <w:pPr>
              <w:spacing w:after="0" w:line="240" w:lineRule="auto"/>
              <w:jc w:val="center"/>
              <w:rPr>
                <w:b/>
                <w:bCs/>
                <w:iCs/>
                <w:sz w:val="20"/>
                <w:szCs w:val="20"/>
                <w:lang w:eastAsia="es-CO"/>
              </w:rPr>
            </w:pPr>
            <w:r w:rsidRPr="004916DC">
              <w:rPr>
                <w:b/>
                <w:bCs/>
                <w:iCs/>
                <w:sz w:val="20"/>
                <w:szCs w:val="20"/>
                <w:lang w:eastAsia="es-CO"/>
              </w:rPr>
              <w:t>ASISTENTES</w:t>
            </w:r>
          </w:p>
        </w:tc>
        <w:tc>
          <w:tcPr>
            <w:tcW w:w="1200" w:type="dxa"/>
            <w:tcBorders>
              <w:top w:val="single" w:sz="8" w:space="0" w:color="auto"/>
              <w:left w:val="nil"/>
              <w:bottom w:val="single" w:sz="8" w:space="0" w:color="auto"/>
              <w:right w:val="single" w:sz="8" w:space="0" w:color="auto"/>
            </w:tcBorders>
            <w:shd w:val="clear" w:color="auto" w:fill="C6D9F1" w:themeFill="text2" w:themeFillTint="33"/>
            <w:vAlign w:val="center"/>
          </w:tcPr>
          <w:p w14:paraId="35BDCFE6" w14:textId="6A14B26D" w:rsidR="004916DC" w:rsidRPr="004916DC" w:rsidRDefault="004916DC" w:rsidP="004916DC">
            <w:pPr>
              <w:spacing w:after="0" w:line="240" w:lineRule="auto"/>
              <w:jc w:val="center"/>
              <w:rPr>
                <w:b/>
                <w:bCs/>
                <w:iCs/>
                <w:sz w:val="20"/>
                <w:szCs w:val="20"/>
                <w:lang w:eastAsia="es-CO"/>
              </w:rPr>
            </w:pPr>
            <w:r w:rsidRPr="004916DC">
              <w:rPr>
                <w:b/>
                <w:bCs/>
                <w:iCs/>
                <w:sz w:val="20"/>
                <w:szCs w:val="20"/>
                <w:lang w:eastAsia="es-CO"/>
              </w:rPr>
              <w:t>CIUDAD</w:t>
            </w:r>
          </w:p>
        </w:tc>
        <w:tc>
          <w:tcPr>
            <w:tcW w:w="1200" w:type="dxa"/>
            <w:tcBorders>
              <w:top w:val="single" w:sz="8" w:space="0" w:color="auto"/>
              <w:left w:val="nil"/>
              <w:bottom w:val="single" w:sz="8" w:space="0" w:color="auto"/>
              <w:right w:val="single" w:sz="8" w:space="0" w:color="auto"/>
            </w:tcBorders>
            <w:shd w:val="clear" w:color="auto" w:fill="C6D9F1" w:themeFill="text2" w:themeFillTint="33"/>
            <w:vAlign w:val="center"/>
          </w:tcPr>
          <w:p w14:paraId="28E7B0FD" w14:textId="370DF16A" w:rsidR="004916DC" w:rsidRPr="004916DC" w:rsidRDefault="004916DC" w:rsidP="004916DC">
            <w:pPr>
              <w:spacing w:after="0" w:line="240" w:lineRule="auto"/>
              <w:jc w:val="center"/>
              <w:rPr>
                <w:b/>
                <w:bCs/>
                <w:iCs/>
                <w:sz w:val="20"/>
                <w:szCs w:val="20"/>
                <w:lang w:eastAsia="es-CO"/>
              </w:rPr>
            </w:pPr>
            <w:r w:rsidRPr="004916DC">
              <w:rPr>
                <w:b/>
                <w:bCs/>
                <w:iCs/>
                <w:sz w:val="20"/>
                <w:szCs w:val="20"/>
                <w:lang w:eastAsia="es-CO"/>
              </w:rPr>
              <w:t>ASISTENTES</w:t>
            </w:r>
          </w:p>
        </w:tc>
      </w:tr>
      <w:tr w:rsidR="004916DC" w:rsidRPr="004916DC" w14:paraId="0FE8F6B0" w14:textId="5B7D9374"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AA74AD4"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 xml:space="preserve">Bogotá </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EE8820"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4183</w:t>
            </w:r>
          </w:p>
        </w:tc>
        <w:tc>
          <w:tcPr>
            <w:tcW w:w="1200" w:type="dxa"/>
            <w:tcBorders>
              <w:top w:val="nil"/>
              <w:left w:val="nil"/>
              <w:bottom w:val="single" w:sz="8" w:space="0" w:color="auto"/>
              <w:right w:val="single" w:sz="8" w:space="0" w:color="auto"/>
            </w:tcBorders>
            <w:vAlign w:val="center"/>
          </w:tcPr>
          <w:p w14:paraId="459A4EF5" w14:textId="039A5681"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 xml:space="preserve">Yopal </w:t>
            </w:r>
          </w:p>
        </w:tc>
        <w:tc>
          <w:tcPr>
            <w:tcW w:w="1200" w:type="dxa"/>
            <w:tcBorders>
              <w:top w:val="nil"/>
              <w:left w:val="nil"/>
              <w:bottom w:val="single" w:sz="8" w:space="0" w:color="auto"/>
              <w:right w:val="single" w:sz="8" w:space="0" w:color="auto"/>
            </w:tcBorders>
            <w:vAlign w:val="center"/>
          </w:tcPr>
          <w:p w14:paraId="7B8EB628" w14:textId="52F5509A"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180</w:t>
            </w:r>
          </w:p>
        </w:tc>
      </w:tr>
      <w:tr w:rsidR="004916DC" w:rsidRPr="004916DC" w14:paraId="7AB5395B" w14:textId="2CEF27C0"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74C8737"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Bucaramanga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EC3B8C"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51</w:t>
            </w:r>
          </w:p>
        </w:tc>
        <w:tc>
          <w:tcPr>
            <w:tcW w:w="1200" w:type="dxa"/>
            <w:tcBorders>
              <w:top w:val="nil"/>
              <w:left w:val="nil"/>
              <w:bottom w:val="single" w:sz="8" w:space="0" w:color="auto"/>
              <w:right w:val="single" w:sz="8" w:space="0" w:color="auto"/>
            </w:tcBorders>
            <w:vAlign w:val="center"/>
          </w:tcPr>
          <w:p w14:paraId="1DFABF3C" w14:textId="28221790"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Cartagena</w:t>
            </w:r>
          </w:p>
        </w:tc>
        <w:tc>
          <w:tcPr>
            <w:tcW w:w="1200" w:type="dxa"/>
            <w:tcBorders>
              <w:top w:val="nil"/>
              <w:left w:val="nil"/>
              <w:bottom w:val="single" w:sz="8" w:space="0" w:color="auto"/>
              <w:right w:val="single" w:sz="8" w:space="0" w:color="auto"/>
            </w:tcBorders>
            <w:vAlign w:val="center"/>
          </w:tcPr>
          <w:p w14:paraId="6DD4B71B" w14:textId="3EEEAD34"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121</w:t>
            </w:r>
          </w:p>
        </w:tc>
      </w:tr>
      <w:tr w:rsidR="004916DC" w:rsidRPr="004916DC" w14:paraId="42012A1D" w14:textId="14817628"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5664D8D"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 xml:space="preserve">Cali </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B9C682"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267</w:t>
            </w:r>
          </w:p>
        </w:tc>
        <w:tc>
          <w:tcPr>
            <w:tcW w:w="1200" w:type="dxa"/>
            <w:tcBorders>
              <w:top w:val="nil"/>
              <w:left w:val="nil"/>
              <w:bottom w:val="single" w:sz="8" w:space="0" w:color="auto"/>
              <w:right w:val="single" w:sz="8" w:space="0" w:color="auto"/>
            </w:tcBorders>
            <w:vAlign w:val="center"/>
          </w:tcPr>
          <w:p w14:paraId="55F05E47" w14:textId="65777F14"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Paipa</w:t>
            </w:r>
          </w:p>
        </w:tc>
        <w:tc>
          <w:tcPr>
            <w:tcW w:w="1200" w:type="dxa"/>
            <w:tcBorders>
              <w:top w:val="nil"/>
              <w:left w:val="nil"/>
              <w:bottom w:val="single" w:sz="8" w:space="0" w:color="auto"/>
              <w:right w:val="single" w:sz="8" w:space="0" w:color="auto"/>
            </w:tcBorders>
            <w:vAlign w:val="center"/>
          </w:tcPr>
          <w:p w14:paraId="459E8D03" w14:textId="3452FE4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141</w:t>
            </w:r>
          </w:p>
        </w:tc>
      </w:tr>
      <w:tr w:rsidR="004916DC" w:rsidRPr="004916DC" w14:paraId="65577F69" w14:textId="6E947392"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1B97FEA"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Medellín</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46D04A2"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256</w:t>
            </w:r>
          </w:p>
        </w:tc>
        <w:tc>
          <w:tcPr>
            <w:tcW w:w="1200" w:type="dxa"/>
            <w:tcBorders>
              <w:top w:val="nil"/>
              <w:left w:val="nil"/>
              <w:bottom w:val="single" w:sz="8" w:space="0" w:color="auto"/>
              <w:right w:val="single" w:sz="8" w:space="0" w:color="auto"/>
            </w:tcBorders>
            <w:vAlign w:val="center"/>
          </w:tcPr>
          <w:p w14:paraId="0457C19E" w14:textId="6EF1C5BA"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Girardot</w:t>
            </w:r>
          </w:p>
        </w:tc>
        <w:tc>
          <w:tcPr>
            <w:tcW w:w="1200" w:type="dxa"/>
            <w:tcBorders>
              <w:top w:val="nil"/>
              <w:left w:val="nil"/>
              <w:bottom w:val="single" w:sz="8" w:space="0" w:color="auto"/>
              <w:right w:val="single" w:sz="8" w:space="0" w:color="auto"/>
            </w:tcBorders>
            <w:vAlign w:val="center"/>
          </w:tcPr>
          <w:p w14:paraId="50228CD1" w14:textId="4C3B6BE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115</w:t>
            </w:r>
          </w:p>
        </w:tc>
      </w:tr>
      <w:tr w:rsidR="004916DC" w:rsidRPr="004916DC" w14:paraId="6E477178" w14:textId="5881139A"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8BFC0B3"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Neiva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507FE7"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121</w:t>
            </w:r>
          </w:p>
        </w:tc>
        <w:tc>
          <w:tcPr>
            <w:tcW w:w="1200" w:type="dxa"/>
            <w:tcBorders>
              <w:top w:val="nil"/>
              <w:left w:val="nil"/>
              <w:bottom w:val="single" w:sz="8" w:space="0" w:color="auto"/>
              <w:right w:val="single" w:sz="8" w:space="0" w:color="auto"/>
            </w:tcBorders>
            <w:vAlign w:val="center"/>
          </w:tcPr>
          <w:p w14:paraId="0E31413F" w14:textId="1EA75629"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Armenia</w:t>
            </w:r>
          </w:p>
        </w:tc>
        <w:tc>
          <w:tcPr>
            <w:tcW w:w="1200" w:type="dxa"/>
            <w:tcBorders>
              <w:top w:val="nil"/>
              <w:left w:val="nil"/>
              <w:bottom w:val="single" w:sz="8" w:space="0" w:color="auto"/>
              <w:right w:val="single" w:sz="8" w:space="0" w:color="auto"/>
            </w:tcBorders>
            <w:vAlign w:val="center"/>
          </w:tcPr>
          <w:p w14:paraId="6AD9E770" w14:textId="14A12330"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90</w:t>
            </w:r>
          </w:p>
        </w:tc>
      </w:tr>
      <w:tr w:rsidR="004916DC" w:rsidRPr="004916DC" w14:paraId="7B231188" w14:textId="4490B47D"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5D8FD68"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 xml:space="preserve">Pamplona </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07E5F84"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341</w:t>
            </w:r>
          </w:p>
        </w:tc>
        <w:tc>
          <w:tcPr>
            <w:tcW w:w="1200" w:type="dxa"/>
            <w:tcBorders>
              <w:top w:val="nil"/>
              <w:left w:val="nil"/>
              <w:bottom w:val="single" w:sz="8" w:space="0" w:color="auto"/>
              <w:right w:val="single" w:sz="8" w:space="0" w:color="auto"/>
            </w:tcBorders>
            <w:vAlign w:val="center"/>
          </w:tcPr>
          <w:p w14:paraId="3D772F54" w14:textId="04CF9613"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Barranquilla</w:t>
            </w:r>
          </w:p>
        </w:tc>
        <w:tc>
          <w:tcPr>
            <w:tcW w:w="1200" w:type="dxa"/>
            <w:tcBorders>
              <w:top w:val="nil"/>
              <w:left w:val="nil"/>
              <w:bottom w:val="single" w:sz="8" w:space="0" w:color="auto"/>
              <w:right w:val="single" w:sz="8" w:space="0" w:color="auto"/>
            </w:tcBorders>
            <w:vAlign w:val="center"/>
          </w:tcPr>
          <w:p w14:paraId="7E690289" w14:textId="2ABCFBC5"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74</w:t>
            </w:r>
          </w:p>
        </w:tc>
      </w:tr>
      <w:tr w:rsidR="004916DC" w:rsidRPr="004916DC" w14:paraId="3A52E753" w14:textId="1D934DE3"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B6492A9"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San Antero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5B0170"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14</w:t>
            </w:r>
          </w:p>
        </w:tc>
        <w:tc>
          <w:tcPr>
            <w:tcW w:w="1200" w:type="dxa"/>
            <w:tcBorders>
              <w:top w:val="nil"/>
              <w:left w:val="nil"/>
              <w:bottom w:val="single" w:sz="8" w:space="0" w:color="auto"/>
              <w:right w:val="single" w:sz="8" w:space="0" w:color="auto"/>
            </w:tcBorders>
            <w:vAlign w:val="center"/>
          </w:tcPr>
          <w:p w14:paraId="07E95225" w14:textId="2F137621"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Manizales</w:t>
            </w:r>
          </w:p>
        </w:tc>
        <w:tc>
          <w:tcPr>
            <w:tcW w:w="1200" w:type="dxa"/>
            <w:tcBorders>
              <w:top w:val="nil"/>
              <w:left w:val="nil"/>
              <w:bottom w:val="single" w:sz="8" w:space="0" w:color="auto"/>
              <w:right w:val="single" w:sz="8" w:space="0" w:color="auto"/>
            </w:tcBorders>
            <w:vAlign w:val="center"/>
          </w:tcPr>
          <w:p w14:paraId="371FCAB7" w14:textId="18A7A75B"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114</w:t>
            </w:r>
          </w:p>
        </w:tc>
      </w:tr>
      <w:tr w:rsidR="004916DC" w:rsidRPr="004916DC" w14:paraId="18697FBF" w14:textId="59B0B2BC" w:rsidTr="004916DC">
        <w:trPr>
          <w:trHeight w:val="345"/>
          <w:jc w:val="center"/>
        </w:trPr>
        <w:tc>
          <w:tcPr>
            <w:tcW w:w="146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981397D" w14:textId="77777777" w:rsidR="004916DC" w:rsidRPr="004916DC" w:rsidRDefault="004916DC" w:rsidP="004916DC">
            <w:pPr>
              <w:spacing w:after="0" w:line="240" w:lineRule="auto"/>
              <w:rPr>
                <w:b/>
                <w:bCs/>
                <w:i/>
                <w:iCs/>
                <w:color w:val="000000"/>
                <w:sz w:val="20"/>
                <w:szCs w:val="20"/>
                <w:lang w:eastAsia="es-CO"/>
              </w:rPr>
            </w:pPr>
            <w:r w:rsidRPr="004916DC">
              <w:rPr>
                <w:b/>
                <w:bCs/>
                <w:i/>
                <w:iCs/>
                <w:color w:val="000000"/>
                <w:sz w:val="20"/>
                <w:szCs w:val="20"/>
                <w:lang w:eastAsia="es-CO"/>
              </w:rPr>
              <w:t>Santa Marta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873E30" w14:textId="77777777"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262</w:t>
            </w:r>
          </w:p>
        </w:tc>
        <w:tc>
          <w:tcPr>
            <w:tcW w:w="1200" w:type="dxa"/>
            <w:tcBorders>
              <w:top w:val="nil"/>
              <w:left w:val="nil"/>
              <w:bottom w:val="single" w:sz="8" w:space="0" w:color="auto"/>
              <w:right w:val="single" w:sz="8" w:space="0" w:color="auto"/>
            </w:tcBorders>
            <w:vAlign w:val="center"/>
          </w:tcPr>
          <w:p w14:paraId="4B21D828" w14:textId="72CC1FF4" w:rsidR="004916DC" w:rsidRPr="004916DC" w:rsidRDefault="004916DC" w:rsidP="004916DC">
            <w:pPr>
              <w:spacing w:after="0" w:line="240" w:lineRule="auto"/>
              <w:jc w:val="center"/>
              <w:rPr>
                <w:i/>
                <w:iCs/>
                <w:color w:val="000000"/>
                <w:sz w:val="20"/>
                <w:szCs w:val="20"/>
                <w:lang w:eastAsia="es-CO"/>
              </w:rPr>
            </w:pPr>
            <w:r w:rsidRPr="004916DC">
              <w:rPr>
                <w:b/>
                <w:bCs/>
                <w:i/>
                <w:iCs/>
                <w:color w:val="000000"/>
                <w:sz w:val="20"/>
                <w:szCs w:val="20"/>
                <w:lang w:eastAsia="es-CO"/>
              </w:rPr>
              <w:t>Florencia</w:t>
            </w:r>
          </w:p>
        </w:tc>
        <w:tc>
          <w:tcPr>
            <w:tcW w:w="1200" w:type="dxa"/>
            <w:tcBorders>
              <w:top w:val="nil"/>
              <w:left w:val="nil"/>
              <w:bottom w:val="single" w:sz="8" w:space="0" w:color="auto"/>
              <w:right w:val="single" w:sz="8" w:space="0" w:color="auto"/>
            </w:tcBorders>
            <w:vAlign w:val="center"/>
          </w:tcPr>
          <w:p w14:paraId="6AC5B17B" w14:textId="1BF2C1F0" w:rsidR="004916DC" w:rsidRPr="004916DC" w:rsidRDefault="004916DC" w:rsidP="004916DC">
            <w:pPr>
              <w:spacing w:after="0" w:line="240" w:lineRule="auto"/>
              <w:jc w:val="center"/>
              <w:rPr>
                <w:i/>
                <w:iCs/>
                <w:color w:val="000000"/>
                <w:sz w:val="20"/>
                <w:szCs w:val="20"/>
                <w:lang w:eastAsia="es-CO"/>
              </w:rPr>
            </w:pPr>
            <w:r w:rsidRPr="004916DC">
              <w:rPr>
                <w:i/>
                <w:iCs/>
                <w:color w:val="000000"/>
                <w:sz w:val="20"/>
                <w:szCs w:val="20"/>
                <w:lang w:eastAsia="es-CO"/>
              </w:rPr>
              <w:t>50</w:t>
            </w:r>
          </w:p>
        </w:tc>
      </w:tr>
      <w:tr w:rsidR="004916DC" w:rsidRPr="004916DC" w14:paraId="64614F12" w14:textId="31E75719" w:rsidTr="004916DC">
        <w:trPr>
          <w:trHeight w:val="345"/>
          <w:jc w:val="center"/>
        </w:trPr>
        <w:tc>
          <w:tcPr>
            <w:tcW w:w="5060" w:type="dxa"/>
            <w:gridSpan w:val="4"/>
            <w:tcBorders>
              <w:top w:val="nil"/>
              <w:left w:val="single" w:sz="8" w:space="0" w:color="auto"/>
              <w:bottom w:val="single" w:sz="8" w:space="0" w:color="auto"/>
              <w:right w:val="single" w:sz="8" w:space="0" w:color="auto"/>
            </w:tcBorders>
            <w:shd w:val="clear" w:color="auto" w:fill="D9D9D9"/>
            <w:noWrap/>
            <w:tcMar>
              <w:top w:w="0" w:type="dxa"/>
              <w:left w:w="70" w:type="dxa"/>
              <w:bottom w:w="0" w:type="dxa"/>
              <w:right w:w="70" w:type="dxa"/>
            </w:tcMar>
            <w:vAlign w:val="center"/>
            <w:hideMark/>
          </w:tcPr>
          <w:p w14:paraId="1305235D" w14:textId="28CE8135" w:rsidR="004916DC" w:rsidRPr="004916DC" w:rsidRDefault="004916DC" w:rsidP="004916DC">
            <w:pPr>
              <w:spacing w:after="0" w:line="240" w:lineRule="auto"/>
              <w:jc w:val="center"/>
              <w:rPr>
                <w:b/>
                <w:bCs/>
                <w:i/>
                <w:iCs/>
                <w:color w:val="000000"/>
                <w:sz w:val="20"/>
                <w:szCs w:val="20"/>
                <w:lang w:eastAsia="es-CO"/>
              </w:rPr>
            </w:pPr>
            <w:r w:rsidRPr="004916DC">
              <w:rPr>
                <w:b/>
                <w:bCs/>
                <w:i/>
                <w:iCs/>
                <w:color w:val="000000"/>
                <w:sz w:val="20"/>
                <w:szCs w:val="20"/>
                <w:lang w:eastAsia="es-CO"/>
              </w:rPr>
              <w:t>TOTAL</w:t>
            </w:r>
            <w:r>
              <w:rPr>
                <w:b/>
                <w:bCs/>
                <w:i/>
                <w:iCs/>
                <w:color w:val="000000"/>
                <w:sz w:val="20"/>
                <w:szCs w:val="20"/>
                <w:lang w:eastAsia="es-CO"/>
              </w:rPr>
              <w:t xml:space="preserve">ES:  </w:t>
            </w:r>
            <w:r w:rsidRPr="004916DC">
              <w:rPr>
                <w:b/>
                <w:bCs/>
                <w:i/>
                <w:iCs/>
                <w:color w:val="000000"/>
                <w:sz w:val="20"/>
                <w:szCs w:val="20"/>
                <w:lang w:eastAsia="es-CO"/>
              </w:rPr>
              <w:t>6380</w:t>
            </w:r>
            <w:r>
              <w:rPr>
                <w:b/>
                <w:bCs/>
                <w:i/>
                <w:iCs/>
                <w:color w:val="000000"/>
                <w:sz w:val="20"/>
                <w:szCs w:val="20"/>
                <w:lang w:eastAsia="es-CO"/>
              </w:rPr>
              <w:t xml:space="preserve"> personas, 16 ciudades</w:t>
            </w:r>
          </w:p>
        </w:tc>
      </w:tr>
    </w:tbl>
    <w:p w14:paraId="1CBBE2F1" w14:textId="77777777" w:rsidR="00A626C4" w:rsidRDefault="00A626C4" w:rsidP="00A626C4">
      <w:pPr>
        <w:spacing w:after="0" w:line="240" w:lineRule="auto"/>
        <w:rPr>
          <w:rFonts w:cs="Arial"/>
          <w:sz w:val="20"/>
          <w:szCs w:val="20"/>
        </w:rPr>
      </w:pPr>
    </w:p>
    <w:p w14:paraId="06EFE518" w14:textId="77777777" w:rsidR="0015106E" w:rsidRDefault="0015106E" w:rsidP="00A626C4">
      <w:pPr>
        <w:spacing w:after="0" w:line="240" w:lineRule="auto"/>
        <w:rPr>
          <w:rFonts w:cs="Arial"/>
          <w:sz w:val="20"/>
          <w:szCs w:val="20"/>
        </w:rPr>
      </w:pPr>
    </w:p>
    <w:p w14:paraId="0918889D" w14:textId="16294ACB" w:rsidR="00E85F5B" w:rsidRPr="000C3A8C" w:rsidRDefault="00C32351" w:rsidP="00D008B5">
      <w:pPr>
        <w:pStyle w:val="Prrafodelista"/>
        <w:numPr>
          <w:ilvl w:val="1"/>
          <w:numId w:val="1"/>
        </w:numPr>
        <w:spacing w:after="0" w:line="240" w:lineRule="auto"/>
        <w:jc w:val="both"/>
        <w:rPr>
          <w:rFonts w:cs="Arial"/>
          <w:i/>
          <w:sz w:val="20"/>
          <w:szCs w:val="20"/>
          <w:u w:val="single"/>
        </w:rPr>
      </w:pPr>
      <w:r w:rsidRPr="000C3A8C">
        <w:rPr>
          <w:rFonts w:cs="Arial"/>
          <w:i/>
          <w:sz w:val="20"/>
          <w:szCs w:val="20"/>
          <w:u w:val="single"/>
        </w:rPr>
        <w:t>A</w:t>
      </w:r>
      <w:r w:rsidRPr="000C3A8C">
        <w:rPr>
          <w:rFonts w:cs="Arial"/>
          <w:i/>
          <w:sz w:val="20"/>
          <w:szCs w:val="20"/>
          <w:u w:val="single"/>
        </w:rPr>
        <w:t>compañamiento técnico a un grupo de entidades públicas de la Rama Ejecutiva del Orden Nacional</w:t>
      </w:r>
    </w:p>
    <w:p w14:paraId="0F82AF40" w14:textId="77777777" w:rsidR="002F7AC6" w:rsidRDefault="002F7AC6" w:rsidP="00D008B5">
      <w:pPr>
        <w:spacing w:after="0" w:line="240" w:lineRule="auto"/>
        <w:jc w:val="both"/>
        <w:rPr>
          <w:rFonts w:cs="Arial"/>
          <w:sz w:val="20"/>
          <w:szCs w:val="20"/>
        </w:rPr>
      </w:pPr>
    </w:p>
    <w:p w14:paraId="3907C233" w14:textId="4C4C5DFB" w:rsidR="005A7EE2" w:rsidRDefault="0019134B" w:rsidP="00D008B5">
      <w:pPr>
        <w:spacing w:after="0" w:line="240" w:lineRule="auto"/>
        <w:jc w:val="both"/>
        <w:rPr>
          <w:rFonts w:cs="Arial"/>
          <w:sz w:val="20"/>
          <w:szCs w:val="20"/>
        </w:rPr>
      </w:pPr>
      <w:r w:rsidRPr="000C3A8C">
        <w:rPr>
          <w:rFonts w:cs="Arial"/>
          <w:sz w:val="20"/>
          <w:szCs w:val="20"/>
        </w:rPr>
        <w:t>A</w:t>
      </w:r>
      <w:r w:rsidR="005A7EE2" w:rsidRPr="000C3A8C">
        <w:rPr>
          <w:rFonts w:cs="Arial"/>
          <w:sz w:val="20"/>
          <w:szCs w:val="20"/>
        </w:rPr>
        <w:t xml:space="preserve">tendiendo  las obligaciones derivadas de la Ley 1712 de 2014, la Secretaría de Transparencia en el año 2015 </w:t>
      </w:r>
      <w:r w:rsidR="00440023" w:rsidRPr="000C3A8C">
        <w:rPr>
          <w:rFonts w:cs="Arial"/>
          <w:sz w:val="20"/>
          <w:szCs w:val="20"/>
        </w:rPr>
        <w:t>realizó el</w:t>
      </w:r>
      <w:r w:rsidR="005A7EE2" w:rsidRPr="000C3A8C">
        <w:rPr>
          <w:rFonts w:cs="Arial"/>
          <w:sz w:val="20"/>
          <w:szCs w:val="20"/>
        </w:rPr>
        <w:t xml:space="preserve"> acompañamiento técnico a un grupo de entidades públicas de la Rama Ejecutiva del Orden Nacional, para asesorar la implementación de los mandatos de </w:t>
      </w:r>
      <w:r w:rsidR="008D4BFF" w:rsidRPr="000C3A8C">
        <w:rPr>
          <w:rFonts w:cs="Arial"/>
          <w:sz w:val="20"/>
          <w:szCs w:val="20"/>
        </w:rPr>
        <w:t xml:space="preserve">la </w:t>
      </w:r>
      <w:r w:rsidR="005A7EE2" w:rsidRPr="000C3A8C">
        <w:rPr>
          <w:rFonts w:cs="Arial"/>
          <w:sz w:val="20"/>
          <w:szCs w:val="20"/>
        </w:rPr>
        <w:t xml:space="preserve">mencionada Ley, así como de otras normas de promoción de la transparencia y lucha contra la corrupción. </w:t>
      </w:r>
    </w:p>
    <w:p w14:paraId="73834F36" w14:textId="77777777" w:rsidR="002F7AC6" w:rsidRPr="000C3A8C" w:rsidRDefault="002F7AC6" w:rsidP="00D008B5">
      <w:pPr>
        <w:spacing w:after="0" w:line="240" w:lineRule="auto"/>
        <w:jc w:val="both"/>
        <w:rPr>
          <w:rFonts w:cs="Arial"/>
          <w:sz w:val="20"/>
          <w:szCs w:val="20"/>
        </w:rPr>
      </w:pPr>
    </w:p>
    <w:p w14:paraId="79B1EA20" w14:textId="6FA4FCEE" w:rsidR="005A7EE2" w:rsidRPr="000C3A8C" w:rsidRDefault="005A7EE2" w:rsidP="00D008B5">
      <w:pPr>
        <w:spacing w:after="0" w:line="240" w:lineRule="auto"/>
        <w:jc w:val="both"/>
        <w:rPr>
          <w:rFonts w:cs="Arial"/>
          <w:sz w:val="20"/>
          <w:szCs w:val="20"/>
        </w:rPr>
      </w:pPr>
      <w:r w:rsidRPr="000C3A8C">
        <w:rPr>
          <w:rFonts w:cs="Arial"/>
          <w:sz w:val="20"/>
          <w:szCs w:val="20"/>
        </w:rPr>
        <w:t>Las entidades a acompaña</w:t>
      </w:r>
      <w:r w:rsidR="008D4BFF" w:rsidRPr="000C3A8C">
        <w:rPr>
          <w:rFonts w:cs="Arial"/>
          <w:sz w:val="20"/>
          <w:szCs w:val="20"/>
        </w:rPr>
        <w:t>r</w:t>
      </w:r>
      <w:r w:rsidRPr="000C3A8C">
        <w:rPr>
          <w:rFonts w:cs="Arial"/>
          <w:sz w:val="20"/>
          <w:szCs w:val="20"/>
        </w:rPr>
        <w:t xml:space="preserve"> fueron priorizadas por el Señor Presidente de la República en Consejo de Ministros del 27 de octubre de 2014, </w:t>
      </w:r>
      <w:r w:rsidR="008D4BFF" w:rsidRPr="000C3A8C">
        <w:rPr>
          <w:rFonts w:cs="Arial"/>
          <w:sz w:val="20"/>
          <w:szCs w:val="20"/>
        </w:rPr>
        <w:t>y pertenecen</w:t>
      </w:r>
      <w:r w:rsidRPr="000C3A8C">
        <w:rPr>
          <w:rFonts w:cs="Arial"/>
          <w:sz w:val="20"/>
          <w:szCs w:val="20"/>
        </w:rPr>
        <w:t xml:space="preserve"> a los sectores de Minas y Energía, Salud, Educación, Inclusión Social y Reconciliación, </w:t>
      </w:r>
      <w:r w:rsidR="008D4BFF" w:rsidRPr="000C3A8C">
        <w:rPr>
          <w:rFonts w:cs="Arial"/>
          <w:sz w:val="20"/>
          <w:szCs w:val="20"/>
        </w:rPr>
        <w:t xml:space="preserve">así como a </w:t>
      </w:r>
      <w:r w:rsidRPr="000C3A8C">
        <w:rPr>
          <w:rFonts w:cs="Arial"/>
          <w:sz w:val="20"/>
          <w:szCs w:val="20"/>
        </w:rPr>
        <w:t>aquellos sectores estratégicos para el desarrollo del posconflicto en Colombia, dentro de los que la Secretaría de Transparencia ha priorizado a entidades</w:t>
      </w:r>
      <w:r w:rsidR="00B17654">
        <w:rPr>
          <w:rFonts w:cs="Arial"/>
          <w:sz w:val="20"/>
          <w:szCs w:val="20"/>
        </w:rPr>
        <w:t xml:space="preserve"> del Sector Agricultura</w:t>
      </w:r>
      <w:r w:rsidRPr="000C3A8C">
        <w:rPr>
          <w:rFonts w:cs="Arial"/>
          <w:sz w:val="20"/>
          <w:szCs w:val="20"/>
        </w:rPr>
        <w:t xml:space="preserve"> y al Ministerio de Defensa Nacional.</w:t>
      </w:r>
      <w:r w:rsidR="0019134B" w:rsidRPr="000C3A8C">
        <w:rPr>
          <w:rFonts w:cs="Arial"/>
          <w:sz w:val="20"/>
          <w:szCs w:val="20"/>
        </w:rPr>
        <w:t xml:space="preserve"> De dicho acompañamiento se pueden resaltar los siguientes logros: </w:t>
      </w:r>
    </w:p>
    <w:p w14:paraId="192D0F27" w14:textId="77777777" w:rsidR="00C32351" w:rsidRPr="0015106E" w:rsidRDefault="00C32351" w:rsidP="00D008B5">
      <w:pPr>
        <w:spacing w:after="0" w:line="240" w:lineRule="auto"/>
        <w:jc w:val="both"/>
        <w:rPr>
          <w:rFonts w:cs="Arial"/>
          <w:sz w:val="18"/>
          <w:szCs w:val="20"/>
        </w:rPr>
      </w:pPr>
    </w:p>
    <w:tbl>
      <w:tblPr>
        <w:tblW w:w="0" w:type="auto"/>
        <w:tblCellMar>
          <w:left w:w="0" w:type="dxa"/>
          <w:right w:w="0" w:type="dxa"/>
        </w:tblCellMar>
        <w:tblLook w:val="04A0" w:firstRow="1" w:lastRow="0" w:firstColumn="1" w:lastColumn="0" w:noHBand="0" w:noVBand="1"/>
      </w:tblPr>
      <w:tblGrid>
        <w:gridCol w:w="1266"/>
        <w:gridCol w:w="1440"/>
        <w:gridCol w:w="6112"/>
      </w:tblGrid>
      <w:tr w:rsidR="004916DC" w:rsidRPr="0015106E" w14:paraId="28CF4175" w14:textId="77777777" w:rsidTr="006B4B44">
        <w:trPr>
          <w:trHeight w:val="448"/>
        </w:trPr>
        <w:tc>
          <w:tcPr>
            <w:tcW w:w="1266" w:type="dxa"/>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vAlign w:val="center"/>
            <w:hideMark/>
          </w:tcPr>
          <w:p w14:paraId="2D231F30" w14:textId="497779E3" w:rsidR="004916DC" w:rsidRPr="0015106E" w:rsidRDefault="004916DC" w:rsidP="004916DC">
            <w:pPr>
              <w:spacing w:after="0" w:line="240" w:lineRule="auto"/>
              <w:jc w:val="center"/>
              <w:rPr>
                <w:b/>
                <w:bCs/>
                <w:sz w:val="18"/>
                <w:szCs w:val="20"/>
              </w:rPr>
            </w:pPr>
            <w:r w:rsidRPr="0015106E">
              <w:rPr>
                <w:b/>
                <w:bCs/>
                <w:sz w:val="18"/>
                <w:szCs w:val="20"/>
              </w:rPr>
              <w:t>SECTORES PRIORIZADOS</w:t>
            </w:r>
          </w:p>
        </w:tc>
        <w:tc>
          <w:tcPr>
            <w:tcW w:w="1440" w:type="dxa"/>
            <w:tcBorders>
              <w:top w:val="single" w:sz="8" w:space="0" w:color="auto"/>
              <w:left w:val="nil"/>
              <w:bottom w:val="single" w:sz="8" w:space="0" w:color="auto"/>
              <w:right w:val="single" w:sz="8" w:space="0" w:color="auto"/>
            </w:tcBorders>
            <w:shd w:val="clear" w:color="auto" w:fill="C6D9F1" w:themeFill="text2" w:themeFillTint="33"/>
            <w:tcMar>
              <w:top w:w="0" w:type="dxa"/>
              <w:left w:w="108" w:type="dxa"/>
              <w:bottom w:w="0" w:type="dxa"/>
              <w:right w:w="108" w:type="dxa"/>
            </w:tcMar>
            <w:vAlign w:val="center"/>
            <w:hideMark/>
          </w:tcPr>
          <w:p w14:paraId="37703DF1" w14:textId="1D246742" w:rsidR="004916DC" w:rsidRPr="0015106E" w:rsidRDefault="004916DC" w:rsidP="004916DC">
            <w:pPr>
              <w:spacing w:after="0" w:line="240" w:lineRule="auto"/>
              <w:jc w:val="center"/>
              <w:rPr>
                <w:b/>
                <w:bCs/>
                <w:sz w:val="18"/>
                <w:szCs w:val="20"/>
              </w:rPr>
            </w:pPr>
            <w:r w:rsidRPr="0015106E">
              <w:rPr>
                <w:b/>
                <w:bCs/>
                <w:sz w:val="18"/>
                <w:szCs w:val="20"/>
              </w:rPr>
              <w:t>ENTIDADES ACOMPAÑADAS</w:t>
            </w:r>
          </w:p>
        </w:tc>
        <w:tc>
          <w:tcPr>
            <w:tcW w:w="6112" w:type="dxa"/>
            <w:tcBorders>
              <w:top w:val="single" w:sz="8" w:space="0" w:color="auto"/>
              <w:left w:val="nil"/>
              <w:bottom w:val="single" w:sz="8" w:space="0" w:color="auto"/>
              <w:right w:val="single" w:sz="8" w:space="0" w:color="auto"/>
            </w:tcBorders>
            <w:shd w:val="clear" w:color="auto" w:fill="C6D9F1" w:themeFill="text2" w:themeFillTint="33"/>
            <w:tcMar>
              <w:top w:w="0" w:type="dxa"/>
              <w:left w:w="108" w:type="dxa"/>
              <w:bottom w:w="0" w:type="dxa"/>
              <w:right w:w="108" w:type="dxa"/>
            </w:tcMar>
            <w:vAlign w:val="center"/>
            <w:hideMark/>
          </w:tcPr>
          <w:p w14:paraId="680527A8" w14:textId="6715110B" w:rsidR="004916DC" w:rsidRPr="0015106E" w:rsidRDefault="004916DC" w:rsidP="004916DC">
            <w:pPr>
              <w:spacing w:after="0" w:line="240" w:lineRule="auto"/>
              <w:jc w:val="center"/>
              <w:rPr>
                <w:b/>
                <w:bCs/>
                <w:sz w:val="18"/>
                <w:szCs w:val="20"/>
              </w:rPr>
            </w:pPr>
            <w:r w:rsidRPr="0015106E">
              <w:rPr>
                <w:b/>
                <w:bCs/>
                <w:sz w:val="18"/>
                <w:szCs w:val="20"/>
              </w:rPr>
              <w:t>LOGROS</w:t>
            </w:r>
          </w:p>
        </w:tc>
      </w:tr>
      <w:tr w:rsidR="004916DC" w:rsidRPr="0015106E" w14:paraId="05009224" w14:textId="77777777" w:rsidTr="006B4B44">
        <w:trPr>
          <w:trHeight w:val="3131"/>
        </w:trPr>
        <w:tc>
          <w:tcPr>
            <w:tcW w:w="12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20EEEC9" w14:textId="77777777" w:rsidR="004916DC" w:rsidRPr="0015106E" w:rsidRDefault="004916DC" w:rsidP="006B4B44">
            <w:pPr>
              <w:spacing w:after="0"/>
              <w:jc w:val="center"/>
              <w:rPr>
                <w:sz w:val="18"/>
                <w:szCs w:val="20"/>
              </w:rPr>
            </w:pPr>
            <w:r w:rsidRPr="0015106E">
              <w:rPr>
                <w:sz w:val="18"/>
                <w:szCs w:val="20"/>
              </w:rPr>
              <w:t>Salud, Educación, Inclusión Social y Reconciliación</w:t>
            </w:r>
          </w:p>
          <w:p w14:paraId="01EB613A" w14:textId="77777777" w:rsidR="004916DC" w:rsidRPr="0015106E" w:rsidRDefault="004916DC" w:rsidP="006B4B44">
            <w:pPr>
              <w:spacing w:after="0"/>
              <w:jc w:val="center"/>
              <w:rPr>
                <w:sz w:val="18"/>
                <w:szCs w:val="20"/>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FD9722" w14:textId="77777777" w:rsidR="004916DC" w:rsidRPr="0015106E" w:rsidRDefault="004916DC" w:rsidP="006B4B44">
            <w:pPr>
              <w:spacing w:after="0"/>
              <w:jc w:val="center"/>
              <w:rPr>
                <w:sz w:val="18"/>
                <w:szCs w:val="20"/>
              </w:rPr>
            </w:pPr>
            <w:r w:rsidRPr="0015106E">
              <w:rPr>
                <w:sz w:val="18"/>
                <w:szCs w:val="20"/>
              </w:rPr>
              <w:t>15</w:t>
            </w:r>
          </w:p>
        </w:tc>
        <w:tc>
          <w:tcPr>
            <w:tcW w:w="6112" w:type="dxa"/>
            <w:tcBorders>
              <w:top w:val="nil"/>
              <w:left w:val="nil"/>
              <w:bottom w:val="single" w:sz="8" w:space="0" w:color="auto"/>
              <w:right w:val="single" w:sz="8" w:space="0" w:color="auto"/>
            </w:tcBorders>
            <w:tcMar>
              <w:top w:w="0" w:type="dxa"/>
              <w:left w:w="108" w:type="dxa"/>
              <w:bottom w:w="0" w:type="dxa"/>
              <w:right w:w="108" w:type="dxa"/>
            </w:tcMar>
            <w:hideMark/>
          </w:tcPr>
          <w:p w14:paraId="449BBB83" w14:textId="54491507" w:rsidR="004916DC" w:rsidRPr="0015106E" w:rsidRDefault="004916DC" w:rsidP="006B4B44">
            <w:pPr>
              <w:pStyle w:val="Prrafodelista"/>
              <w:numPr>
                <w:ilvl w:val="0"/>
                <w:numId w:val="16"/>
              </w:numPr>
              <w:spacing w:after="0" w:line="240" w:lineRule="auto"/>
              <w:ind w:left="357" w:hanging="357"/>
              <w:jc w:val="both"/>
              <w:rPr>
                <w:sz w:val="18"/>
                <w:szCs w:val="20"/>
              </w:rPr>
            </w:pPr>
            <w:r w:rsidRPr="0015106E">
              <w:rPr>
                <w:sz w:val="18"/>
                <w:szCs w:val="20"/>
              </w:rPr>
              <w:t>Se realizó un diagnóstico de los procesos estratégicos de los 3 sectores y de las 15 entidades priorizadas  a partir de los requerimientos de la Ley 1712 de 2014 y 1474 de 2011, para determinar los  temas específicos del acompañamiento a realizar por la Secretaría de Transparencia.</w:t>
            </w:r>
          </w:p>
          <w:p w14:paraId="25755800" w14:textId="77777777" w:rsidR="004916DC" w:rsidRPr="0015106E" w:rsidRDefault="004916DC" w:rsidP="006B4B44">
            <w:pPr>
              <w:pStyle w:val="Prrafodelista"/>
              <w:numPr>
                <w:ilvl w:val="0"/>
                <w:numId w:val="16"/>
              </w:numPr>
              <w:spacing w:after="0" w:line="240" w:lineRule="auto"/>
              <w:ind w:left="357" w:hanging="357"/>
              <w:jc w:val="both"/>
              <w:rPr>
                <w:sz w:val="18"/>
                <w:szCs w:val="20"/>
              </w:rPr>
            </w:pPr>
            <w:r w:rsidRPr="0015106E">
              <w:rPr>
                <w:sz w:val="18"/>
                <w:szCs w:val="20"/>
              </w:rPr>
              <w:t xml:space="preserve">Se llevaron a cabo 53 reuniones de asesoría y capacitación con las entidades priorizadas de Salud, Educación, Inclusión Social y Reconciliación; para la elaboración de los instrumentos de gestión de información, revisión de los requerimientos de trasparencia activa y pasiva, aproximadamente 736 servidores han participado en la diferentes jornadas.                 </w:t>
            </w:r>
          </w:p>
          <w:p w14:paraId="21BDAF73" w14:textId="77777777" w:rsidR="004916DC" w:rsidRPr="0015106E" w:rsidRDefault="004916DC" w:rsidP="006B4B44">
            <w:pPr>
              <w:pStyle w:val="Prrafodelista"/>
              <w:numPr>
                <w:ilvl w:val="0"/>
                <w:numId w:val="16"/>
              </w:numPr>
              <w:spacing w:after="0" w:line="240" w:lineRule="auto"/>
              <w:ind w:left="357" w:hanging="357"/>
              <w:jc w:val="both"/>
              <w:rPr>
                <w:sz w:val="18"/>
                <w:szCs w:val="20"/>
              </w:rPr>
            </w:pPr>
            <w:r w:rsidRPr="0015106E">
              <w:rPr>
                <w:sz w:val="18"/>
                <w:szCs w:val="20"/>
              </w:rPr>
              <w:t xml:space="preserve">Actualmente, 9 entidades priorizadas se encuentran en proceso de elaboración de los instrumentos de gestión de información, 4 están en proceso de aprobación mediante acto administrativo, 2 tienen aprobados los instrumentos y publicados en el sitio web. </w:t>
            </w:r>
          </w:p>
        </w:tc>
      </w:tr>
      <w:tr w:rsidR="004916DC" w:rsidRPr="0015106E" w14:paraId="4128C637" w14:textId="77777777" w:rsidTr="006B4B44">
        <w:trPr>
          <w:trHeight w:val="1121"/>
        </w:trPr>
        <w:tc>
          <w:tcPr>
            <w:tcW w:w="12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F32DDF" w14:textId="77777777" w:rsidR="004916DC" w:rsidRPr="0015106E" w:rsidRDefault="004916DC" w:rsidP="006B4B44">
            <w:pPr>
              <w:spacing w:after="0"/>
              <w:jc w:val="center"/>
              <w:rPr>
                <w:sz w:val="18"/>
                <w:szCs w:val="20"/>
              </w:rPr>
            </w:pPr>
            <w:r w:rsidRPr="0015106E">
              <w:rPr>
                <w:sz w:val="18"/>
                <w:szCs w:val="20"/>
              </w:rPr>
              <w:t>Minas y Energía, Agricultura y Defensa Nacional</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37FBA" w14:textId="77777777" w:rsidR="004916DC" w:rsidRPr="0015106E" w:rsidRDefault="004916DC" w:rsidP="006B4B44">
            <w:pPr>
              <w:spacing w:after="0"/>
              <w:jc w:val="center"/>
              <w:rPr>
                <w:sz w:val="18"/>
                <w:szCs w:val="20"/>
              </w:rPr>
            </w:pPr>
            <w:r w:rsidRPr="0015106E">
              <w:rPr>
                <w:color w:val="1F497D"/>
                <w:sz w:val="18"/>
                <w:szCs w:val="20"/>
              </w:rPr>
              <w:t>15</w:t>
            </w:r>
          </w:p>
        </w:tc>
        <w:tc>
          <w:tcPr>
            <w:tcW w:w="6112" w:type="dxa"/>
            <w:tcBorders>
              <w:top w:val="nil"/>
              <w:left w:val="nil"/>
              <w:bottom w:val="single" w:sz="8" w:space="0" w:color="auto"/>
              <w:right w:val="single" w:sz="8" w:space="0" w:color="auto"/>
            </w:tcBorders>
            <w:tcMar>
              <w:top w:w="0" w:type="dxa"/>
              <w:left w:w="108" w:type="dxa"/>
              <w:bottom w:w="0" w:type="dxa"/>
              <w:right w:w="108" w:type="dxa"/>
            </w:tcMar>
          </w:tcPr>
          <w:p w14:paraId="77B7F9DB" w14:textId="77777777" w:rsidR="004916DC" w:rsidRPr="0015106E" w:rsidRDefault="004916DC" w:rsidP="006B4B44">
            <w:pPr>
              <w:pStyle w:val="Prrafodelista"/>
              <w:numPr>
                <w:ilvl w:val="0"/>
                <w:numId w:val="17"/>
              </w:numPr>
              <w:spacing w:after="0" w:line="240" w:lineRule="auto"/>
              <w:ind w:left="357" w:hanging="357"/>
              <w:jc w:val="both"/>
              <w:rPr>
                <w:sz w:val="18"/>
                <w:szCs w:val="20"/>
              </w:rPr>
            </w:pPr>
            <w:r w:rsidRPr="0015106E">
              <w:rPr>
                <w:sz w:val="18"/>
                <w:szCs w:val="20"/>
              </w:rPr>
              <w:t>Se realizó un diagnóstico de los procesos estratégicos de los 3 sectores y de las 15 entidades priorizadas a partir de los requerimientos de la ley 1712 de 2014 y  1474 de 2011, para determinar los temas específicos del acompañamiento realizado por la Secretaria de Transparencia.</w:t>
            </w:r>
          </w:p>
          <w:p w14:paraId="67F93DFE" w14:textId="77777777" w:rsidR="004916DC" w:rsidRPr="0015106E" w:rsidRDefault="004916DC" w:rsidP="006B4B44">
            <w:pPr>
              <w:pStyle w:val="Prrafodelista"/>
              <w:numPr>
                <w:ilvl w:val="0"/>
                <w:numId w:val="17"/>
              </w:numPr>
              <w:spacing w:after="0" w:line="240" w:lineRule="auto"/>
              <w:ind w:left="357" w:hanging="357"/>
              <w:jc w:val="both"/>
              <w:rPr>
                <w:sz w:val="18"/>
                <w:szCs w:val="20"/>
              </w:rPr>
            </w:pPr>
            <w:r w:rsidRPr="0015106E">
              <w:rPr>
                <w:sz w:val="18"/>
                <w:szCs w:val="20"/>
              </w:rPr>
              <w:t>Conforme al diagnóstico se llevó a cabo Plan de Acción de manera discriminada en las 15 entidades priorizadas, para la ejecución de las actividades que se requieran para impulsar la implementación la Ley de Transparencia y Acceso a la Información Pública  Nacional.</w:t>
            </w:r>
          </w:p>
          <w:p w14:paraId="5FCC27CB" w14:textId="2F7452D5" w:rsidR="004916DC" w:rsidRPr="0015106E" w:rsidRDefault="004916DC" w:rsidP="006B4B44">
            <w:pPr>
              <w:pStyle w:val="Prrafodelista"/>
              <w:numPr>
                <w:ilvl w:val="0"/>
                <w:numId w:val="17"/>
              </w:numPr>
              <w:spacing w:after="0" w:line="240" w:lineRule="auto"/>
              <w:ind w:left="357" w:hanging="357"/>
              <w:jc w:val="both"/>
              <w:rPr>
                <w:sz w:val="18"/>
                <w:szCs w:val="20"/>
              </w:rPr>
            </w:pPr>
            <w:r w:rsidRPr="0015106E">
              <w:rPr>
                <w:sz w:val="18"/>
                <w:szCs w:val="20"/>
              </w:rPr>
              <w:t>Se ha realizado aproximadamente 15 capacitaciones de sensibilización de la Ley 1712 de 2014 y el Decreto 103 de 2015</w:t>
            </w:r>
            <w:r w:rsidRPr="0015106E">
              <w:rPr>
                <w:sz w:val="18"/>
                <w:szCs w:val="20"/>
              </w:rPr>
              <w:t>, llegando</w:t>
            </w:r>
            <w:r w:rsidRPr="0015106E">
              <w:rPr>
                <w:sz w:val="18"/>
                <w:szCs w:val="20"/>
              </w:rPr>
              <w:t xml:space="preserve"> a  320 personas.</w:t>
            </w:r>
          </w:p>
          <w:p w14:paraId="4F45BB21" w14:textId="000C00BA" w:rsidR="004916DC" w:rsidRPr="0015106E" w:rsidRDefault="004916DC" w:rsidP="006B4B44">
            <w:pPr>
              <w:pStyle w:val="Prrafodelista"/>
              <w:numPr>
                <w:ilvl w:val="0"/>
                <w:numId w:val="17"/>
              </w:numPr>
              <w:spacing w:after="0" w:line="240" w:lineRule="auto"/>
              <w:ind w:left="357" w:hanging="357"/>
              <w:jc w:val="both"/>
              <w:rPr>
                <w:color w:val="1F497D"/>
                <w:sz w:val="18"/>
              </w:rPr>
            </w:pPr>
            <w:r w:rsidRPr="0015106E">
              <w:rPr>
                <w:sz w:val="18"/>
                <w:szCs w:val="20"/>
              </w:rPr>
              <w:t>Actualmente, estamos trabajando en los temas relacionados de Transparencia Activa, en lo que respecta a la actualización de la información publicada en el sitio web y en sistemas de información (SIGEP, SECOP, SUIT, Portal Datos Abiertos). Revisión de transparencia activa y recomendaciones de mejora.</w:t>
            </w:r>
          </w:p>
        </w:tc>
      </w:tr>
    </w:tbl>
    <w:p w14:paraId="43E46C20" w14:textId="77777777" w:rsidR="004916DC" w:rsidRDefault="004916DC" w:rsidP="00D008B5">
      <w:pPr>
        <w:spacing w:after="0" w:line="240" w:lineRule="auto"/>
        <w:jc w:val="both"/>
        <w:rPr>
          <w:rFonts w:cs="Arial"/>
          <w:sz w:val="20"/>
          <w:szCs w:val="20"/>
        </w:rPr>
      </w:pPr>
    </w:p>
    <w:p w14:paraId="2D14EF7A" w14:textId="77777777" w:rsidR="004916DC" w:rsidRDefault="004916DC" w:rsidP="00D008B5">
      <w:pPr>
        <w:spacing w:after="0" w:line="240" w:lineRule="auto"/>
        <w:jc w:val="both"/>
        <w:rPr>
          <w:rFonts w:cs="Arial"/>
          <w:sz w:val="20"/>
          <w:szCs w:val="20"/>
        </w:rPr>
      </w:pPr>
    </w:p>
    <w:p w14:paraId="3C10EFA5" w14:textId="77777777" w:rsidR="00C32351" w:rsidRDefault="00C32351" w:rsidP="00D008B5">
      <w:pPr>
        <w:spacing w:after="0" w:line="240" w:lineRule="auto"/>
        <w:jc w:val="both"/>
        <w:rPr>
          <w:rFonts w:cs="Arial"/>
          <w:sz w:val="20"/>
          <w:szCs w:val="20"/>
        </w:rPr>
      </w:pPr>
    </w:p>
    <w:p w14:paraId="7E9BD448" w14:textId="77777777" w:rsidR="0015106E" w:rsidRDefault="0015106E" w:rsidP="00D008B5">
      <w:pPr>
        <w:spacing w:after="0" w:line="240" w:lineRule="auto"/>
        <w:jc w:val="both"/>
        <w:rPr>
          <w:rFonts w:cs="Arial"/>
          <w:sz w:val="20"/>
          <w:szCs w:val="20"/>
        </w:rPr>
      </w:pPr>
    </w:p>
    <w:p w14:paraId="27882030" w14:textId="77777777" w:rsidR="00B17654" w:rsidRPr="000C3A8C" w:rsidRDefault="00B17654" w:rsidP="00D008B5">
      <w:pPr>
        <w:spacing w:after="0" w:line="240" w:lineRule="auto"/>
        <w:jc w:val="both"/>
        <w:rPr>
          <w:rFonts w:cs="Arial"/>
          <w:sz w:val="20"/>
          <w:szCs w:val="20"/>
        </w:rPr>
      </w:pPr>
    </w:p>
    <w:p w14:paraId="12CD5D75" w14:textId="77777777" w:rsidR="0019134B" w:rsidRPr="000C3A8C" w:rsidRDefault="0019134B" w:rsidP="00D008B5">
      <w:pPr>
        <w:spacing w:after="0" w:line="240" w:lineRule="auto"/>
        <w:jc w:val="both"/>
        <w:rPr>
          <w:rFonts w:cs="Arial"/>
          <w:sz w:val="20"/>
          <w:szCs w:val="20"/>
        </w:rPr>
      </w:pPr>
    </w:p>
    <w:p w14:paraId="2B8243E1" w14:textId="1B6DB80C" w:rsidR="0019134B" w:rsidRPr="000C3A8C" w:rsidRDefault="00C055D3" w:rsidP="00D008B5">
      <w:pPr>
        <w:pStyle w:val="Prrafodelista"/>
        <w:numPr>
          <w:ilvl w:val="0"/>
          <w:numId w:val="1"/>
        </w:numPr>
        <w:spacing w:after="0" w:line="240" w:lineRule="auto"/>
        <w:jc w:val="both"/>
        <w:rPr>
          <w:rFonts w:cs="Arial"/>
          <w:sz w:val="20"/>
          <w:szCs w:val="20"/>
        </w:rPr>
      </w:pPr>
      <w:r w:rsidRPr="000C3A8C">
        <w:rPr>
          <w:rFonts w:cs="Arial"/>
          <w:b/>
          <w:sz w:val="20"/>
          <w:szCs w:val="20"/>
        </w:rPr>
        <w:lastRenderedPageBreak/>
        <w:t xml:space="preserve">Logro 3: </w:t>
      </w:r>
      <w:r w:rsidR="0019134B" w:rsidRPr="000C3A8C">
        <w:rPr>
          <w:rFonts w:cs="Arial"/>
          <w:b/>
          <w:sz w:val="20"/>
          <w:szCs w:val="20"/>
        </w:rPr>
        <w:t>MONITOREO Y EVALUACIÓN</w:t>
      </w:r>
      <w:r w:rsidR="0019134B" w:rsidRPr="000C3A8C">
        <w:rPr>
          <w:rFonts w:cs="Arial"/>
          <w:sz w:val="20"/>
          <w:szCs w:val="20"/>
        </w:rPr>
        <w:t xml:space="preserve">: </w:t>
      </w:r>
    </w:p>
    <w:p w14:paraId="3F72EBF3" w14:textId="77777777" w:rsidR="0019134B" w:rsidRPr="000C3A8C" w:rsidRDefault="0019134B" w:rsidP="00D008B5">
      <w:pPr>
        <w:pStyle w:val="Prrafodelista"/>
        <w:spacing w:after="0" w:line="240" w:lineRule="auto"/>
        <w:jc w:val="both"/>
        <w:rPr>
          <w:rFonts w:cs="Arial"/>
          <w:sz w:val="20"/>
          <w:szCs w:val="20"/>
        </w:rPr>
      </w:pPr>
    </w:p>
    <w:p w14:paraId="055F2570" w14:textId="77777777" w:rsidR="000C3A8C" w:rsidRPr="000C3A8C" w:rsidRDefault="000C3A8C" w:rsidP="00D008B5">
      <w:pPr>
        <w:pStyle w:val="Prrafodelista"/>
        <w:spacing w:after="0" w:line="240" w:lineRule="auto"/>
        <w:jc w:val="both"/>
        <w:rPr>
          <w:rFonts w:cs="Arial"/>
          <w:sz w:val="20"/>
          <w:szCs w:val="20"/>
        </w:rPr>
      </w:pPr>
      <w:r w:rsidRPr="000C3A8C">
        <w:rPr>
          <w:rFonts w:cs="Arial"/>
          <w:sz w:val="20"/>
          <w:szCs w:val="20"/>
        </w:rPr>
        <w:t>Teniendo en cuenta la necesidad permanente de contar con indicadores que den cuenta del estado de avance de las políticas públicas, la Secretaría de Transparencia inició una serie de acciones encaminadas a contar con herramientas que permitan identificar la línea de base de avance de las entidades de la rama ejecutiva del poder público nacional respecto de las obligaciones derivadas de la Ley de Transparencia, así como de evaluar el avance en la implementación de la misma.</w:t>
      </w:r>
    </w:p>
    <w:p w14:paraId="4ED1C85D" w14:textId="77777777" w:rsidR="000C3A8C" w:rsidRDefault="000C3A8C" w:rsidP="00D008B5">
      <w:pPr>
        <w:pStyle w:val="Prrafodelista"/>
        <w:spacing w:after="0" w:line="240" w:lineRule="auto"/>
        <w:jc w:val="both"/>
        <w:rPr>
          <w:rFonts w:cs="Arial"/>
          <w:sz w:val="20"/>
          <w:szCs w:val="20"/>
        </w:rPr>
      </w:pPr>
    </w:p>
    <w:p w14:paraId="2E2BE6A5" w14:textId="1FFCA008" w:rsidR="000C3A8C" w:rsidRPr="000C3A8C" w:rsidRDefault="000C3A8C" w:rsidP="00D008B5">
      <w:pPr>
        <w:pStyle w:val="Prrafodelista"/>
        <w:numPr>
          <w:ilvl w:val="1"/>
          <w:numId w:val="1"/>
        </w:numPr>
        <w:spacing w:after="0" w:line="240" w:lineRule="auto"/>
        <w:jc w:val="both"/>
        <w:rPr>
          <w:rFonts w:cs="Arial"/>
          <w:i/>
          <w:sz w:val="20"/>
          <w:szCs w:val="20"/>
          <w:u w:val="single"/>
        </w:rPr>
      </w:pPr>
      <w:r w:rsidRPr="000C3A8C">
        <w:rPr>
          <w:rFonts w:cs="Arial"/>
          <w:i/>
          <w:sz w:val="20"/>
          <w:szCs w:val="20"/>
          <w:u w:val="single"/>
        </w:rPr>
        <w:t>Formulario Único de Reporte de Avances en la Gestión</w:t>
      </w:r>
    </w:p>
    <w:p w14:paraId="399403E9" w14:textId="77777777" w:rsidR="000C3A8C" w:rsidRDefault="000C3A8C" w:rsidP="00D008B5">
      <w:pPr>
        <w:pStyle w:val="Prrafodelista"/>
        <w:spacing w:after="0" w:line="240" w:lineRule="auto"/>
        <w:jc w:val="both"/>
        <w:rPr>
          <w:rFonts w:cs="Arial"/>
          <w:sz w:val="20"/>
          <w:szCs w:val="20"/>
        </w:rPr>
      </w:pPr>
    </w:p>
    <w:p w14:paraId="6EBDA628" w14:textId="438335D2" w:rsidR="00C32351" w:rsidRPr="000C3A8C" w:rsidRDefault="000C3A8C" w:rsidP="00D008B5">
      <w:pPr>
        <w:pStyle w:val="Prrafodelista"/>
        <w:spacing w:after="0" w:line="240" w:lineRule="auto"/>
        <w:jc w:val="both"/>
        <w:rPr>
          <w:rFonts w:cs="Arial"/>
          <w:sz w:val="20"/>
          <w:szCs w:val="20"/>
        </w:rPr>
      </w:pPr>
      <w:r>
        <w:rPr>
          <w:rFonts w:cs="Arial"/>
          <w:sz w:val="20"/>
          <w:szCs w:val="20"/>
        </w:rPr>
        <w:t>L</w:t>
      </w:r>
      <w:r w:rsidRPr="000C3A8C">
        <w:rPr>
          <w:rFonts w:cs="Arial"/>
          <w:sz w:val="20"/>
          <w:szCs w:val="20"/>
        </w:rPr>
        <w:t xml:space="preserve">a Secretaría elaboró una batería de </w:t>
      </w:r>
      <w:r>
        <w:rPr>
          <w:rFonts w:cs="Arial"/>
          <w:sz w:val="20"/>
          <w:szCs w:val="20"/>
        </w:rPr>
        <w:t>indicadores</w:t>
      </w:r>
      <w:r w:rsidRPr="000C3A8C">
        <w:rPr>
          <w:rFonts w:cs="Arial"/>
          <w:sz w:val="20"/>
          <w:szCs w:val="20"/>
        </w:rPr>
        <w:t xml:space="preserve"> relacionadas con el cumplimento de la Ley de Transparencia, las cuales fueron agregadas en el Formulario Único de Reporte de Avance en la Gestión. Dichas preguntas fueron respondidas por las entidades en la encuesta de avance del II semestre de 2014 del formulario, el cual se realizó en el mes de marzo de 2015, y que permitieron determinar el estado de avance de las entidades en los primeros meses de entrada en vigencia la Ley.</w:t>
      </w:r>
    </w:p>
    <w:p w14:paraId="7707BDFC" w14:textId="77777777" w:rsidR="000C3A8C" w:rsidRDefault="000C3A8C" w:rsidP="00D008B5">
      <w:pPr>
        <w:pStyle w:val="Prrafodelista"/>
        <w:spacing w:after="0" w:line="240" w:lineRule="auto"/>
        <w:jc w:val="both"/>
        <w:rPr>
          <w:rFonts w:cs="Arial"/>
          <w:sz w:val="20"/>
          <w:szCs w:val="20"/>
        </w:rPr>
      </w:pPr>
    </w:p>
    <w:p w14:paraId="209FCFFD" w14:textId="1846C48E" w:rsidR="000C3A8C" w:rsidRDefault="000C3A8C" w:rsidP="00D008B5">
      <w:pPr>
        <w:pStyle w:val="Prrafodelista"/>
        <w:spacing w:after="0" w:line="240" w:lineRule="auto"/>
        <w:jc w:val="both"/>
        <w:rPr>
          <w:rFonts w:cs="Arial"/>
          <w:sz w:val="20"/>
          <w:szCs w:val="20"/>
        </w:rPr>
      </w:pPr>
      <w:r w:rsidRPr="000C3A8C">
        <w:rPr>
          <w:rFonts w:cs="Arial"/>
          <w:sz w:val="20"/>
          <w:szCs w:val="20"/>
        </w:rPr>
        <w:t xml:space="preserve">Para medir dicho componente, se hizo uso de siete </w:t>
      </w:r>
      <w:r>
        <w:rPr>
          <w:rFonts w:cs="Arial"/>
          <w:sz w:val="20"/>
          <w:szCs w:val="20"/>
        </w:rPr>
        <w:t>indicadores</w:t>
      </w:r>
      <w:r w:rsidRPr="000C3A8C">
        <w:rPr>
          <w:rFonts w:cs="Arial"/>
          <w:sz w:val="20"/>
          <w:szCs w:val="20"/>
        </w:rPr>
        <w:t>,</w:t>
      </w:r>
      <w:r>
        <w:rPr>
          <w:rFonts w:cs="Arial"/>
          <w:sz w:val="20"/>
          <w:szCs w:val="20"/>
        </w:rPr>
        <w:t xml:space="preserve"> cada uno</w:t>
      </w:r>
      <w:r w:rsidRPr="000C3A8C">
        <w:rPr>
          <w:rFonts w:cs="Arial"/>
          <w:sz w:val="20"/>
          <w:szCs w:val="20"/>
        </w:rPr>
        <w:t xml:space="preserve"> compuesto </w:t>
      </w:r>
      <w:r>
        <w:rPr>
          <w:rFonts w:cs="Arial"/>
          <w:sz w:val="20"/>
          <w:szCs w:val="20"/>
        </w:rPr>
        <w:t>por una</w:t>
      </w:r>
      <w:r w:rsidRPr="000C3A8C">
        <w:rPr>
          <w:rFonts w:cs="Arial"/>
          <w:sz w:val="20"/>
          <w:szCs w:val="20"/>
        </w:rPr>
        <w:t xml:space="preserve"> serie de </w:t>
      </w:r>
      <w:r>
        <w:rPr>
          <w:rFonts w:cs="Arial"/>
          <w:sz w:val="20"/>
          <w:szCs w:val="20"/>
        </w:rPr>
        <w:t>sub</w:t>
      </w:r>
      <w:r w:rsidRPr="000C3A8C">
        <w:rPr>
          <w:rFonts w:cs="Arial"/>
          <w:sz w:val="20"/>
          <w:szCs w:val="20"/>
        </w:rPr>
        <w:t xml:space="preserve">indicadores, que responden a las principales disposiciones contenidas tanto en la ley como en su decreto reglamentario. Estos </w:t>
      </w:r>
      <w:r>
        <w:rPr>
          <w:rFonts w:cs="Arial"/>
          <w:sz w:val="20"/>
          <w:szCs w:val="20"/>
        </w:rPr>
        <w:t>indicadores</w:t>
      </w:r>
      <w:r w:rsidRPr="000C3A8C">
        <w:rPr>
          <w:rFonts w:cs="Arial"/>
          <w:sz w:val="20"/>
          <w:szCs w:val="20"/>
        </w:rPr>
        <w:t xml:space="preserve"> son: Transparencia Pasiva, Transparencia Activa, Monitoreo del Acceso a la Información, Manejo de Información Clasificada y Reservada, Institucionalización de la Política de Transparencia y Acceso a la Información, Gestión documental para el acceso a la información y Criterio diferencial de accesibilidad. </w:t>
      </w:r>
    </w:p>
    <w:p w14:paraId="6DEF453D" w14:textId="77777777" w:rsidR="000C3A8C" w:rsidRDefault="000C3A8C" w:rsidP="00D008B5">
      <w:pPr>
        <w:pStyle w:val="Prrafodelista"/>
        <w:spacing w:after="0" w:line="240" w:lineRule="auto"/>
        <w:jc w:val="both"/>
        <w:rPr>
          <w:rFonts w:cs="Arial"/>
          <w:sz w:val="20"/>
          <w:szCs w:val="20"/>
        </w:rPr>
      </w:pPr>
    </w:p>
    <w:p w14:paraId="498F0A28" w14:textId="60F02F86" w:rsidR="005E6978" w:rsidRPr="000C3A8C" w:rsidRDefault="005E6978" w:rsidP="00D008B5">
      <w:pPr>
        <w:pStyle w:val="Prrafodelista"/>
        <w:spacing w:after="0" w:line="240" w:lineRule="auto"/>
        <w:jc w:val="both"/>
        <w:rPr>
          <w:rFonts w:cs="Arial"/>
          <w:sz w:val="20"/>
          <w:szCs w:val="20"/>
        </w:rPr>
      </w:pPr>
      <w:r w:rsidRPr="000C3A8C">
        <w:rPr>
          <w:rFonts w:cs="Arial"/>
          <w:sz w:val="20"/>
          <w:szCs w:val="20"/>
        </w:rPr>
        <w:t>Luego de analizados 24 sectores de la rama ejecutiva del orden nacional, el componente de Acceso a la Información Pública del FURAG arroja que el promedio de avance en la implementación de la política es de 69.90%, basados en aquellas disposiciones de ley ya existentes en otros instrumentos normativos como la Estrategia de Gobierno en línea, el Programa de Servicio al Ciudadano, la Ley de Archivos, la Ley de Empleo Público, entre otras.</w:t>
      </w:r>
      <w:r w:rsidR="000C3A8C">
        <w:rPr>
          <w:rStyle w:val="Refdenotaalpie"/>
          <w:rFonts w:cs="Arial"/>
          <w:sz w:val="20"/>
          <w:szCs w:val="20"/>
        </w:rPr>
        <w:footnoteReference w:id="3"/>
      </w:r>
    </w:p>
    <w:p w14:paraId="7F105106" w14:textId="77777777" w:rsidR="000C3A8C" w:rsidRDefault="000C3A8C" w:rsidP="00D008B5">
      <w:pPr>
        <w:pStyle w:val="Prrafodelista"/>
        <w:spacing w:after="0" w:line="240" w:lineRule="auto"/>
        <w:jc w:val="both"/>
        <w:rPr>
          <w:rFonts w:cs="Arial"/>
          <w:sz w:val="20"/>
          <w:szCs w:val="20"/>
        </w:rPr>
      </w:pPr>
    </w:p>
    <w:p w14:paraId="41727B83" w14:textId="6CAAD20C" w:rsidR="000C3A8C" w:rsidRPr="000C3A8C" w:rsidRDefault="000C3A8C" w:rsidP="00D008B5">
      <w:pPr>
        <w:pStyle w:val="Prrafodelista"/>
        <w:numPr>
          <w:ilvl w:val="1"/>
          <w:numId w:val="1"/>
        </w:numPr>
        <w:spacing w:after="0" w:line="240" w:lineRule="auto"/>
        <w:jc w:val="both"/>
        <w:rPr>
          <w:rFonts w:cs="Arial"/>
          <w:i/>
          <w:sz w:val="20"/>
          <w:szCs w:val="20"/>
          <w:u w:val="single"/>
        </w:rPr>
      </w:pPr>
      <w:r w:rsidRPr="000C3A8C">
        <w:rPr>
          <w:rFonts w:cs="Arial"/>
          <w:i/>
          <w:sz w:val="20"/>
          <w:szCs w:val="20"/>
          <w:u w:val="single"/>
        </w:rPr>
        <w:t>Modelo de Indicadores de Transparencia y Acceso a la Información de la Red de Transparencia y Acceso a la información Pública –RTA</w:t>
      </w:r>
    </w:p>
    <w:p w14:paraId="70491429" w14:textId="77777777" w:rsidR="000C3A8C" w:rsidRDefault="000C3A8C" w:rsidP="00D008B5">
      <w:pPr>
        <w:pStyle w:val="Prrafodelista"/>
        <w:spacing w:after="0" w:line="240" w:lineRule="auto"/>
        <w:jc w:val="both"/>
        <w:rPr>
          <w:rFonts w:cs="Arial"/>
          <w:sz w:val="20"/>
          <w:szCs w:val="20"/>
        </w:rPr>
      </w:pPr>
    </w:p>
    <w:p w14:paraId="0F857F9E" w14:textId="7EF1D7D2" w:rsidR="005E6978" w:rsidRPr="000C3A8C" w:rsidRDefault="000C3A8C" w:rsidP="00D008B5">
      <w:pPr>
        <w:pStyle w:val="Prrafodelista"/>
        <w:spacing w:after="0" w:line="240" w:lineRule="auto"/>
        <w:jc w:val="both"/>
        <w:rPr>
          <w:rFonts w:cs="Arial"/>
          <w:sz w:val="20"/>
          <w:szCs w:val="20"/>
        </w:rPr>
      </w:pPr>
      <w:r w:rsidRPr="000C3A8C">
        <w:rPr>
          <w:rFonts w:cs="Arial"/>
          <w:sz w:val="20"/>
          <w:szCs w:val="20"/>
        </w:rPr>
        <w:t>Durante el segundo semestre del 2014 y el primero de 2015</w:t>
      </w:r>
      <w:r w:rsidR="00B17654">
        <w:rPr>
          <w:rFonts w:cs="Arial"/>
          <w:sz w:val="20"/>
          <w:szCs w:val="20"/>
        </w:rPr>
        <w:t>,</w:t>
      </w:r>
      <w:r w:rsidRPr="000C3A8C">
        <w:rPr>
          <w:rFonts w:cs="Arial"/>
          <w:sz w:val="20"/>
          <w:szCs w:val="20"/>
        </w:rPr>
        <w:t xml:space="preserve"> y de manera conjunta con las distintas instituciones miembros de la RTA, la Secretaría de Transparencia inició la definición y construcción de un modelo</w:t>
      </w:r>
      <w:r w:rsidR="002E1AA5">
        <w:rPr>
          <w:rFonts w:cs="Arial"/>
          <w:sz w:val="20"/>
          <w:szCs w:val="20"/>
        </w:rPr>
        <w:t xml:space="preserve"> conceptual y</w:t>
      </w:r>
      <w:r w:rsidRPr="000C3A8C">
        <w:rPr>
          <w:rFonts w:cs="Arial"/>
          <w:sz w:val="20"/>
          <w:szCs w:val="20"/>
        </w:rPr>
        <w:t xml:space="preserve"> de medición que permitiera establecer el nivel de avance en la implementación de las políticas de acceso a la información pública en los países de la región. Durante ese año, se desarrolló </w:t>
      </w:r>
      <w:r w:rsidR="00B17654">
        <w:rPr>
          <w:rFonts w:cs="Arial"/>
          <w:sz w:val="20"/>
          <w:szCs w:val="20"/>
        </w:rPr>
        <w:t>la</w:t>
      </w:r>
      <w:r w:rsidRPr="000C3A8C">
        <w:rPr>
          <w:rFonts w:cs="Arial"/>
          <w:sz w:val="20"/>
          <w:szCs w:val="20"/>
        </w:rPr>
        <w:t xml:space="preserve"> conceptualización y revisión de los indicadores a ser incluidos, los valores asignados y la normalización de las escalas de medición para facilitar la comparación entre instituciones.</w:t>
      </w:r>
      <w:r w:rsidR="00B17654">
        <w:rPr>
          <w:rFonts w:cs="Arial"/>
          <w:sz w:val="20"/>
          <w:szCs w:val="20"/>
        </w:rPr>
        <w:t xml:space="preserve"> </w:t>
      </w:r>
      <w:r w:rsidR="002E1AA5">
        <w:rPr>
          <w:rFonts w:cs="Arial"/>
          <w:sz w:val="20"/>
          <w:szCs w:val="20"/>
        </w:rPr>
        <w:t>L</w:t>
      </w:r>
      <w:r w:rsidRPr="000C3A8C">
        <w:rPr>
          <w:rFonts w:cs="Arial"/>
          <w:sz w:val="20"/>
          <w:szCs w:val="20"/>
        </w:rPr>
        <w:t xml:space="preserve">a batería de indicadores </w:t>
      </w:r>
      <w:r w:rsidR="00A665C1" w:rsidRPr="000C3A8C">
        <w:rPr>
          <w:rFonts w:cs="Arial"/>
          <w:sz w:val="20"/>
          <w:szCs w:val="20"/>
        </w:rPr>
        <w:t>e</w:t>
      </w:r>
      <w:r w:rsidR="00A665C1">
        <w:rPr>
          <w:rFonts w:cs="Arial"/>
          <w:sz w:val="20"/>
          <w:szCs w:val="20"/>
        </w:rPr>
        <w:t>stá</w:t>
      </w:r>
      <w:r w:rsidR="002E1AA5">
        <w:rPr>
          <w:rFonts w:cs="Arial"/>
          <w:sz w:val="20"/>
          <w:szCs w:val="20"/>
        </w:rPr>
        <w:t xml:space="preserve"> finalizada</w:t>
      </w:r>
      <w:r w:rsidRPr="000C3A8C">
        <w:rPr>
          <w:rFonts w:cs="Arial"/>
          <w:sz w:val="20"/>
          <w:szCs w:val="20"/>
        </w:rPr>
        <w:t xml:space="preserve"> y enc</w:t>
      </w:r>
      <w:r w:rsidR="00A665C1">
        <w:rPr>
          <w:rFonts w:cs="Arial"/>
          <w:sz w:val="20"/>
          <w:szCs w:val="20"/>
        </w:rPr>
        <w:t>uentra</w:t>
      </w:r>
      <w:r w:rsidRPr="000C3A8C">
        <w:rPr>
          <w:rFonts w:cs="Arial"/>
          <w:sz w:val="20"/>
          <w:szCs w:val="20"/>
        </w:rPr>
        <w:t xml:space="preserve"> a la espera de ser difundida a los diferentes miembros de la Red, con el fin de recopilar la información y generar los resultados de avance en cada uno de los países en materia de acceso a la información.</w:t>
      </w:r>
    </w:p>
    <w:p w14:paraId="444A4D60" w14:textId="3EFF64E7" w:rsidR="00A665C1" w:rsidRPr="00A665C1" w:rsidRDefault="008F53E4" w:rsidP="00D008B5">
      <w:pPr>
        <w:pStyle w:val="Prrafodelista"/>
        <w:spacing w:after="0" w:line="240" w:lineRule="auto"/>
        <w:jc w:val="both"/>
        <w:rPr>
          <w:rFonts w:ascii="Arial" w:hAnsi="Arial" w:cs="Arial"/>
          <w:color w:val="000000"/>
          <w:sz w:val="24"/>
          <w:szCs w:val="24"/>
        </w:rPr>
      </w:pPr>
      <w:r w:rsidRPr="000C3A8C">
        <w:rPr>
          <w:rFonts w:cs="Arial"/>
          <w:sz w:val="20"/>
          <w:szCs w:val="20"/>
        </w:rPr>
        <w:t xml:space="preserve"> </w:t>
      </w:r>
    </w:p>
    <w:p w14:paraId="718732CA" w14:textId="08FFE824" w:rsidR="00A665C1" w:rsidRPr="00A665C1" w:rsidRDefault="00A665C1" w:rsidP="00D008B5">
      <w:pPr>
        <w:pStyle w:val="Prrafodelista"/>
        <w:numPr>
          <w:ilvl w:val="1"/>
          <w:numId w:val="1"/>
        </w:numPr>
        <w:spacing w:after="0" w:line="240" w:lineRule="auto"/>
        <w:jc w:val="both"/>
        <w:rPr>
          <w:rFonts w:cs="Arial"/>
          <w:i/>
          <w:sz w:val="20"/>
          <w:szCs w:val="20"/>
          <w:u w:val="single"/>
        </w:rPr>
      </w:pPr>
      <w:r w:rsidRPr="00A665C1">
        <w:rPr>
          <w:rFonts w:cs="Arial"/>
          <w:i/>
          <w:sz w:val="20"/>
          <w:szCs w:val="20"/>
          <w:u w:val="single"/>
        </w:rPr>
        <w:t xml:space="preserve">Evaluación de temas relacionados con la política de acceso a la información a través de otras herramientas del Estado. </w:t>
      </w:r>
    </w:p>
    <w:p w14:paraId="33E45316" w14:textId="77777777" w:rsidR="008F53E4" w:rsidRPr="000C3A8C" w:rsidRDefault="008F53E4" w:rsidP="00D008B5">
      <w:pPr>
        <w:pStyle w:val="Prrafodelista"/>
        <w:spacing w:after="0" w:line="240" w:lineRule="auto"/>
        <w:jc w:val="both"/>
        <w:rPr>
          <w:rFonts w:cs="Arial"/>
          <w:sz w:val="20"/>
          <w:szCs w:val="20"/>
        </w:rPr>
      </w:pPr>
    </w:p>
    <w:p w14:paraId="6AD5010E" w14:textId="689D2577" w:rsidR="00C055D3" w:rsidRPr="000C3A8C" w:rsidRDefault="008F53E4" w:rsidP="0015106E">
      <w:pPr>
        <w:spacing w:after="0" w:line="240" w:lineRule="auto"/>
        <w:jc w:val="both"/>
        <w:rPr>
          <w:rFonts w:cs="Arial"/>
          <w:b/>
          <w:sz w:val="20"/>
          <w:szCs w:val="20"/>
        </w:rPr>
      </w:pPr>
      <w:r w:rsidRPr="0015106E">
        <w:rPr>
          <w:rFonts w:cs="Arial"/>
          <w:sz w:val="20"/>
          <w:szCs w:val="20"/>
        </w:rPr>
        <w:lastRenderedPageBreak/>
        <w:t>Con el fin de medir la implementación de la política de acceso a la información desde otros instrumentos, se incluyeron preguntas relacionadas con los procedimientos de gestión de la información en la Encuesta de Desempeño Institucional (EDI) 2014, para medir la percepción de funcionarios de distintas entidades públicas en el manejo de los documentos y la información al interior de sus entidades. Igualmente, se incluyeron preguntas relacionadas con el estado de la implementación de la Ley de Transparencia a través del Sistema de Captura de Ejecución Presupuestal (SICEP) y de la herramienta “migestion”, ambos del Departamento Nacional de Planeación, para establecer una línea de base y un diagnóstico claro sobre el estado en el que se encuentran las entidades territoriales frente a la Ley.</w:t>
      </w:r>
    </w:p>
    <w:p w14:paraId="08966715" w14:textId="77777777" w:rsidR="00C055D3" w:rsidRPr="000C3A8C" w:rsidRDefault="00C055D3" w:rsidP="00D008B5">
      <w:pPr>
        <w:spacing w:after="0" w:line="240" w:lineRule="auto"/>
        <w:rPr>
          <w:rFonts w:cs="Arial"/>
          <w:b/>
          <w:sz w:val="20"/>
          <w:szCs w:val="20"/>
        </w:rPr>
      </w:pPr>
    </w:p>
    <w:p w14:paraId="1EF1936B" w14:textId="77777777" w:rsidR="00B17654" w:rsidRDefault="00B17654" w:rsidP="00D008B5">
      <w:pPr>
        <w:spacing w:after="0" w:line="240" w:lineRule="auto"/>
        <w:rPr>
          <w:rFonts w:cs="Arial"/>
          <w:b/>
          <w:sz w:val="20"/>
          <w:szCs w:val="20"/>
        </w:rPr>
      </w:pPr>
    </w:p>
    <w:p w14:paraId="1250B657" w14:textId="77777777" w:rsidR="003C6F71" w:rsidRDefault="003C6F71" w:rsidP="00D008B5">
      <w:pPr>
        <w:spacing w:after="0" w:line="240" w:lineRule="auto"/>
        <w:rPr>
          <w:rFonts w:cs="Arial"/>
          <w:b/>
          <w:sz w:val="20"/>
          <w:szCs w:val="20"/>
        </w:rPr>
      </w:pPr>
      <w:r w:rsidRPr="000C3A8C">
        <w:rPr>
          <w:rFonts w:cs="Arial"/>
          <w:b/>
          <w:sz w:val="20"/>
          <w:szCs w:val="20"/>
        </w:rPr>
        <w:t>RETOS PARA EL PERIODO DE SEPTIEMBRE 2015 A SEPTIEMBRE DE 2016</w:t>
      </w:r>
    </w:p>
    <w:p w14:paraId="5C08D18B" w14:textId="77777777" w:rsidR="00434D4F" w:rsidRDefault="00434D4F" w:rsidP="00D008B5">
      <w:pPr>
        <w:spacing w:after="0" w:line="240" w:lineRule="auto"/>
        <w:rPr>
          <w:rFonts w:cs="Arial"/>
          <w:b/>
          <w:sz w:val="20"/>
          <w:szCs w:val="20"/>
        </w:rPr>
      </w:pPr>
    </w:p>
    <w:p w14:paraId="116BF348" w14:textId="22880A6B" w:rsidR="00434D4F" w:rsidRPr="00434D4F" w:rsidRDefault="00434D4F" w:rsidP="00434D4F">
      <w:pPr>
        <w:spacing w:after="0" w:line="240" w:lineRule="auto"/>
        <w:jc w:val="both"/>
        <w:rPr>
          <w:rFonts w:cs="Arial"/>
          <w:sz w:val="20"/>
          <w:szCs w:val="20"/>
        </w:rPr>
      </w:pPr>
      <w:r>
        <w:rPr>
          <w:rFonts w:cs="Arial"/>
          <w:sz w:val="20"/>
          <w:szCs w:val="20"/>
        </w:rPr>
        <w:t>Los importantes avances en el proceso de implementación</w:t>
      </w:r>
      <w:r w:rsidR="00AD5F68">
        <w:rPr>
          <w:rFonts w:cs="Arial"/>
          <w:sz w:val="20"/>
          <w:szCs w:val="20"/>
        </w:rPr>
        <w:t xml:space="preserve"> de la L</w:t>
      </w:r>
      <w:r>
        <w:rPr>
          <w:rFonts w:cs="Arial"/>
          <w:sz w:val="20"/>
          <w:szCs w:val="20"/>
        </w:rPr>
        <w:t>ey llevan a la necedad de que la S</w:t>
      </w:r>
      <w:r w:rsidR="00AD5F68">
        <w:rPr>
          <w:rFonts w:cs="Arial"/>
          <w:sz w:val="20"/>
          <w:szCs w:val="20"/>
        </w:rPr>
        <w:t>ecretarí</w:t>
      </w:r>
      <w:r>
        <w:rPr>
          <w:rFonts w:cs="Arial"/>
          <w:sz w:val="20"/>
          <w:szCs w:val="20"/>
        </w:rPr>
        <w:t xml:space="preserve">a de Transparencia asuma nuevos desafíos en el proceso de institucionalización del derecho de acceso a la información pública como derecho fundamental. En tal sentido, la apuesta de trabajo se condensa en la consolidación de las líneas estratégicas y la </w:t>
      </w:r>
      <w:r w:rsidR="002F7AC6">
        <w:rPr>
          <w:rFonts w:cs="Arial"/>
          <w:sz w:val="20"/>
          <w:szCs w:val="20"/>
        </w:rPr>
        <w:t>profundización</w:t>
      </w:r>
      <w:r>
        <w:rPr>
          <w:rFonts w:cs="Arial"/>
          <w:sz w:val="20"/>
          <w:szCs w:val="20"/>
        </w:rPr>
        <w:t xml:space="preserve"> de componentes trasversales indispensables para el </w:t>
      </w:r>
      <w:r w:rsidR="002F7AC6">
        <w:rPr>
          <w:rFonts w:cs="Arial"/>
          <w:sz w:val="20"/>
          <w:szCs w:val="20"/>
        </w:rPr>
        <w:t>ejercicio</w:t>
      </w:r>
      <w:r>
        <w:rPr>
          <w:rFonts w:cs="Arial"/>
          <w:sz w:val="20"/>
          <w:szCs w:val="20"/>
        </w:rPr>
        <w:t xml:space="preserve"> y </w:t>
      </w:r>
      <w:r w:rsidR="00575AE2">
        <w:rPr>
          <w:rFonts w:cs="Arial"/>
          <w:sz w:val="20"/>
          <w:szCs w:val="20"/>
        </w:rPr>
        <w:t>garantía</w:t>
      </w:r>
      <w:r>
        <w:rPr>
          <w:rFonts w:cs="Arial"/>
          <w:sz w:val="20"/>
          <w:szCs w:val="20"/>
        </w:rPr>
        <w:t xml:space="preserve"> efectiva del derecho. A saber:</w:t>
      </w:r>
    </w:p>
    <w:p w14:paraId="3D6FD0D1" w14:textId="77777777" w:rsidR="003C6F71" w:rsidRPr="000C3A8C" w:rsidRDefault="003C6F71" w:rsidP="00D008B5">
      <w:pPr>
        <w:spacing w:after="0" w:line="240" w:lineRule="auto"/>
        <w:rPr>
          <w:rFonts w:cs="Arial"/>
          <w:b/>
          <w:sz w:val="20"/>
          <w:szCs w:val="20"/>
        </w:rPr>
      </w:pPr>
    </w:p>
    <w:tbl>
      <w:tblPr>
        <w:tblStyle w:val="Tablaconcuadrcula"/>
        <w:tblW w:w="0" w:type="auto"/>
        <w:tblLook w:val="04A0" w:firstRow="1" w:lastRow="0" w:firstColumn="1" w:lastColumn="0" w:noHBand="0" w:noVBand="1"/>
      </w:tblPr>
      <w:tblGrid>
        <w:gridCol w:w="1696"/>
        <w:gridCol w:w="7132"/>
      </w:tblGrid>
      <w:tr w:rsidR="00D008B5" w14:paraId="02EC2EFB" w14:textId="77777777" w:rsidTr="002F7AC6">
        <w:tc>
          <w:tcPr>
            <w:tcW w:w="1696" w:type="dxa"/>
          </w:tcPr>
          <w:p w14:paraId="0EBFD3E2" w14:textId="1A341A47" w:rsidR="00D008B5" w:rsidRPr="00434D4F" w:rsidRDefault="00434D4F" w:rsidP="00434D4F">
            <w:pPr>
              <w:jc w:val="center"/>
              <w:rPr>
                <w:rFonts w:cs="Arial"/>
                <w:b/>
                <w:sz w:val="20"/>
                <w:szCs w:val="20"/>
              </w:rPr>
            </w:pPr>
            <w:r w:rsidRPr="00434D4F">
              <w:rPr>
                <w:rFonts w:cs="Arial"/>
                <w:b/>
                <w:sz w:val="20"/>
                <w:szCs w:val="20"/>
              </w:rPr>
              <w:t>Línea Estratégica</w:t>
            </w:r>
          </w:p>
        </w:tc>
        <w:tc>
          <w:tcPr>
            <w:tcW w:w="7132" w:type="dxa"/>
          </w:tcPr>
          <w:p w14:paraId="70302AF0" w14:textId="5BE0D99A" w:rsidR="00D008B5" w:rsidRPr="00434D4F" w:rsidRDefault="00434D4F" w:rsidP="00434D4F">
            <w:pPr>
              <w:jc w:val="center"/>
              <w:rPr>
                <w:rFonts w:cs="Arial"/>
                <w:b/>
                <w:sz w:val="20"/>
                <w:szCs w:val="20"/>
              </w:rPr>
            </w:pPr>
            <w:r w:rsidRPr="00434D4F">
              <w:rPr>
                <w:rFonts w:cs="Arial"/>
                <w:b/>
                <w:sz w:val="20"/>
                <w:szCs w:val="20"/>
              </w:rPr>
              <w:t>Reto</w:t>
            </w:r>
          </w:p>
        </w:tc>
      </w:tr>
      <w:tr w:rsidR="00D008B5" w14:paraId="249D0560" w14:textId="77777777" w:rsidTr="00C45611">
        <w:tc>
          <w:tcPr>
            <w:tcW w:w="1696" w:type="dxa"/>
            <w:vAlign w:val="center"/>
          </w:tcPr>
          <w:p w14:paraId="39D2F4FA" w14:textId="62EBF6E7" w:rsidR="00D008B5" w:rsidRPr="00434D4F" w:rsidRDefault="00434D4F" w:rsidP="00C45611">
            <w:pPr>
              <w:rPr>
                <w:rFonts w:cs="Arial"/>
                <w:sz w:val="20"/>
                <w:szCs w:val="20"/>
              </w:rPr>
            </w:pPr>
            <w:r w:rsidRPr="00434D4F">
              <w:rPr>
                <w:rFonts w:cs="Arial"/>
                <w:sz w:val="20"/>
                <w:szCs w:val="20"/>
              </w:rPr>
              <w:t>1. Definición y ajuste de lineamientos de política</w:t>
            </w:r>
          </w:p>
        </w:tc>
        <w:tc>
          <w:tcPr>
            <w:tcW w:w="7132" w:type="dxa"/>
          </w:tcPr>
          <w:p w14:paraId="6DE0F617" w14:textId="3C02FE3A" w:rsidR="00D008B5" w:rsidRDefault="00434D4F" w:rsidP="00AD5F68">
            <w:pPr>
              <w:pStyle w:val="Prrafodelista"/>
              <w:numPr>
                <w:ilvl w:val="0"/>
                <w:numId w:val="11"/>
              </w:numPr>
              <w:jc w:val="both"/>
              <w:rPr>
                <w:rFonts w:cs="Arial"/>
                <w:sz w:val="20"/>
                <w:szCs w:val="20"/>
              </w:rPr>
            </w:pPr>
            <w:r>
              <w:rPr>
                <w:rFonts w:cs="Arial"/>
                <w:sz w:val="20"/>
                <w:szCs w:val="20"/>
              </w:rPr>
              <w:t>Expedición del segundo decreto reglamentario</w:t>
            </w:r>
            <w:r w:rsidR="00AD5F68">
              <w:rPr>
                <w:rFonts w:cs="Arial"/>
                <w:sz w:val="20"/>
                <w:szCs w:val="20"/>
              </w:rPr>
              <w:t xml:space="preserve"> de la L</w:t>
            </w:r>
            <w:r>
              <w:rPr>
                <w:rFonts w:cs="Arial"/>
                <w:sz w:val="20"/>
                <w:szCs w:val="20"/>
              </w:rPr>
              <w:t>ey</w:t>
            </w:r>
            <w:r w:rsidR="002F7AC6">
              <w:rPr>
                <w:rFonts w:cs="Arial"/>
                <w:sz w:val="20"/>
                <w:szCs w:val="20"/>
              </w:rPr>
              <w:t xml:space="preserve"> 1712 que tiene como objetivo </w:t>
            </w:r>
            <w:r w:rsidR="002F7AC6" w:rsidRPr="000C3A8C">
              <w:rPr>
                <w:rFonts w:cs="Arial"/>
                <w:sz w:val="20"/>
                <w:szCs w:val="20"/>
              </w:rPr>
              <w:t>definir directrices para la coordinación inter e interinstitucional, lo que contendría organización y competencias de entidades líderes de política, así como la definición de estrategias generales de implementación, control y sanción para el universo de sujetos obligados de la Ley 1712 de 2014</w:t>
            </w:r>
          </w:p>
          <w:p w14:paraId="6D0CF196" w14:textId="04400CB9" w:rsidR="00FB772E" w:rsidRPr="00434D4F" w:rsidRDefault="002F7AC6" w:rsidP="00AD5F68">
            <w:pPr>
              <w:pStyle w:val="Prrafodelista"/>
              <w:numPr>
                <w:ilvl w:val="0"/>
                <w:numId w:val="11"/>
              </w:numPr>
              <w:jc w:val="both"/>
              <w:rPr>
                <w:rFonts w:cs="Arial"/>
                <w:sz w:val="20"/>
                <w:szCs w:val="20"/>
              </w:rPr>
            </w:pPr>
            <w:r w:rsidRPr="002F7AC6">
              <w:rPr>
                <w:rFonts w:cs="Arial"/>
                <w:sz w:val="20"/>
                <w:szCs w:val="20"/>
              </w:rPr>
              <w:t>Distribu</w:t>
            </w:r>
            <w:r>
              <w:rPr>
                <w:rFonts w:cs="Arial"/>
                <w:sz w:val="20"/>
                <w:szCs w:val="20"/>
              </w:rPr>
              <w:t xml:space="preserve">ir </w:t>
            </w:r>
            <w:r w:rsidR="00FB772E">
              <w:rPr>
                <w:rFonts w:cs="Arial"/>
                <w:sz w:val="20"/>
                <w:szCs w:val="20"/>
              </w:rPr>
              <w:t xml:space="preserve">las guías e instrumentos desarrollados, así como </w:t>
            </w:r>
            <w:r>
              <w:rPr>
                <w:rFonts w:cs="Arial"/>
                <w:sz w:val="20"/>
                <w:szCs w:val="20"/>
              </w:rPr>
              <w:t xml:space="preserve"> identificar los </w:t>
            </w:r>
            <w:r w:rsidRPr="002F7AC6">
              <w:rPr>
                <w:rFonts w:cs="Arial"/>
                <w:sz w:val="20"/>
                <w:szCs w:val="20"/>
              </w:rPr>
              <w:t>escenarios de masificación de contenidos a través de cursos virtuales y estrategia de capacitación presencial diferenciada de acuerdo con los diferentes tipos de sujetos obligados.</w:t>
            </w:r>
          </w:p>
        </w:tc>
      </w:tr>
      <w:tr w:rsidR="00D008B5" w14:paraId="04B9BBCB" w14:textId="77777777" w:rsidTr="00C45611">
        <w:tc>
          <w:tcPr>
            <w:tcW w:w="1696" w:type="dxa"/>
            <w:vAlign w:val="center"/>
          </w:tcPr>
          <w:p w14:paraId="36E3ED59" w14:textId="6A432AF5" w:rsidR="00D008B5" w:rsidRPr="00434D4F" w:rsidRDefault="00434D4F" w:rsidP="00C45611">
            <w:pPr>
              <w:rPr>
                <w:rFonts w:cs="Arial"/>
                <w:sz w:val="20"/>
                <w:szCs w:val="20"/>
              </w:rPr>
            </w:pPr>
            <w:r w:rsidRPr="00434D4F">
              <w:rPr>
                <w:rFonts w:cs="Arial"/>
                <w:sz w:val="20"/>
                <w:szCs w:val="20"/>
              </w:rPr>
              <w:t>2. Promoción y acompañamiento</w:t>
            </w:r>
          </w:p>
        </w:tc>
        <w:tc>
          <w:tcPr>
            <w:tcW w:w="7132" w:type="dxa"/>
          </w:tcPr>
          <w:p w14:paraId="58999203" w14:textId="4ADB16D6" w:rsidR="00C45611" w:rsidRDefault="00C45611" w:rsidP="00AD5F68">
            <w:pPr>
              <w:pStyle w:val="Prrafodelista"/>
              <w:numPr>
                <w:ilvl w:val="0"/>
                <w:numId w:val="14"/>
              </w:numPr>
              <w:jc w:val="both"/>
              <w:rPr>
                <w:rFonts w:cs="Arial"/>
                <w:sz w:val="20"/>
                <w:szCs w:val="20"/>
              </w:rPr>
            </w:pPr>
            <w:r>
              <w:rPr>
                <w:rFonts w:cs="Arial"/>
                <w:sz w:val="20"/>
                <w:szCs w:val="20"/>
              </w:rPr>
              <w:t>Continuar con la est</w:t>
            </w:r>
            <w:r w:rsidR="007544D2">
              <w:rPr>
                <w:rFonts w:cs="Arial"/>
                <w:sz w:val="20"/>
                <w:szCs w:val="20"/>
              </w:rPr>
              <w:t xml:space="preserve">rategia de </w:t>
            </w:r>
            <w:r w:rsidR="00AD5F68">
              <w:rPr>
                <w:rFonts w:cs="Arial"/>
                <w:sz w:val="20"/>
                <w:szCs w:val="20"/>
              </w:rPr>
              <w:t xml:space="preserve">promoción y </w:t>
            </w:r>
            <w:r w:rsidR="007544D2">
              <w:rPr>
                <w:rFonts w:cs="Arial"/>
                <w:sz w:val="20"/>
                <w:szCs w:val="20"/>
              </w:rPr>
              <w:t>acompañamiento</w:t>
            </w:r>
            <w:r>
              <w:rPr>
                <w:rFonts w:cs="Arial"/>
                <w:sz w:val="20"/>
                <w:szCs w:val="20"/>
              </w:rPr>
              <w:t xml:space="preserve"> a los di</w:t>
            </w:r>
            <w:r w:rsidR="00AD5F68">
              <w:rPr>
                <w:rFonts w:cs="Arial"/>
                <w:sz w:val="20"/>
                <w:szCs w:val="20"/>
              </w:rPr>
              <w:t>versos</w:t>
            </w:r>
            <w:r>
              <w:rPr>
                <w:rFonts w:cs="Arial"/>
                <w:sz w:val="20"/>
                <w:szCs w:val="20"/>
              </w:rPr>
              <w:t xml:space="preserve"> sector</w:t>
            </w:r>
            <w:r w:rsidR="00726166">
              <w:rPr>
                <w:rFonts w:cs="Arial"/>
                <w:sz w:val="20"/>
                <w:szCs w:val="20"/>
              </w:rPr>
              <w:t>es y sujetos obligados priorizados</w:t>
            </w:r>
            <w:r w:rsidR="00575AE2">
              <w:rPr>
                <w:rFonts w:cs="Arial"/>
                <w:sz w:val="20"/>
                <w:szCs w:val="20"/>
              </w:rPr>
              <w:t xml:space="preserve"> a nivel nacional</w:t>
            </w:r>
            <w:r w:rsidR="00726166">
              <w:rPr>
                <w:rFonts w:cs="Arial"/>
                <w:sz w:val="20"/>
                <w:szCs w:val="20"/>
              </w:rPr>
              <w:t>.</w:t>
            </w:r>
          </w:p>
          <w:p w14:paraId="61152F05" w14:textId="5207E695" w:rsidR="00C45611" w:rsidRPr="00AD5F68" w:rsidRDefault="00FB772E" w:rsidP="00AD5F68">
            <w:pPr>
              <w:pStyle w:val="Prrafodelista"/>
              <w:numPr>
                <w:ilvl w:val="0"/>
                <w:numId w:val="14"/>
              </w:numPr>
              <w:jc w:val="both"/>
              <w:rPr>
                <w:rFonts w:cs="Arial"/>
                <w:sz w:val="20"/>
                <w:szCs w:val="20"/>
              </w:rPr>
            </w:pPr>
            <w:r w:rsidRPr="00C45611">
              <w:rPr>
                <w:rFonts w:cs="Arial"/>
                <w:sz w:val="20"/>
                <w:szCs w:val="20"/>
              </w:rPr>
              <w:t>Implementar la estrategia de capacitación</w:t>
            </w:r>
            <w:r w:rsidR="00C45611">
              <w:rPr>
                <w:rFonts w:cs="Arial"/>
                <w:sz w:val="20"/>
                <w:szCs w:val="20"/>
              </w:rPr>
              <w:t xml:space="preserve"> y acompañamiento</w:t>
            </w:r>
            <w:r w:rsidRPr="00C45611">
              <w:rPr>
                <w:rFonts w:cs="Arial"/>
                <w:sz w:val="20"/>
                <w:szCs w:val="20"/>
              </w:rPr>
              <w:t xml:space="preserve"> </w:t>
            </w:r>
            <w:r w:rsidR="00C45611" w:rsidRPr="00C45611">
              <w:rPr>
                <w:rFonts w:cs="Arial"/>
                <w:sz w:val="20"/>
                <w:szCs w:val="20"/>
              </w:rPr>
              <w:t>territorial</w:t>
            </w:r>
            <w:r w:rsidR="00AD5F68">
              <w:rPr>
                <w:rFonts w:cs="Arial"/>
                <w:sz w:val="20"/>
                <w:szCs w:val="20"/>
              </w:rPr>
              <w:t xml:space="preserve"> a los sujetos obligados priorizados</w:t>
            </w:r>
            <w:r w:rsidR="00575AE2">
              <w:rPr>
                <w:rFonts w:cs="Arial"/>
                <w:sz w:val="20"/>
                <w:szCs w:val="20"/>
              </w:rPr>
              <w:t xml:space="preserve">, </w:t>
            </w:r>
            <w:r w:rsidR="00AD5F68">
              <w:rPr>
                <w:rFonts w:cs="Arial"/>
                <w:sz w:val="20"/>
                <w:szCs w:val="20"/>
              </w:rPr>
              <w:t xml:space="preserve">la cual </w:t>
            </w:r>
            <w:r w:rsidRPr="00C45611">
              <w:rPr>
                <w:rFonts w:cs="Arial"/>
                <w:sz w:val="20"/>
                <w:szCs w:val="20"/>
              </w:rPr>
              <w:t xml:space="preserve">deberá propender por armonizar las acciones en la materia que adelantan las entidades líderes y el Ministerio Publico, y atender de forma diferenciada a los </w:t>
            </w:r>
            <w:r w:rsidR="00AD5F68">
              <w:rPr>
                <w:rFonts w:cs="Arial"/>
                <w:sz w:val="20"/>
                <w:szCs w:val="20"/>
              </w:rPr>
              <w:t>grupos de sujetos obligados, c</w:t>
            </w:r>
            <w:r w:rsidRPr="00C45611">
              <w:rPr>
                <w:rFonts w:cs="Arial"/>
                <w:sz w:val="20"/>
                <w:szCs w:val="20"/>
              </w:rPr>
              <w:t>ombinando estrategias presenciales y virtuales.</w:t>
            </w:r>
          </w:p>
        </w:tc>
      </w:tr>
      <w:tr w:rsidR="00D008B5" w14:paraId="456023D7" w14:textId="77777777" w:rsidTr="00C45611">
        <w:tc>
          <w:tcPr>
            <w:tcW w:w="1696" w:type="dxa"/>
            <w:vAlign w:val="center"/>
          </w:tcPr>
          <w:p w14:paraId="64662094" w14:textId="02AC0E94" w:rsidR="00D008B5" w:rsidRPr="00434D4F" w:rsidRDefault="00434D4F" w:rsidP="00C45611">
            <w:pPr>
              <w:rPr>
                <w:rFonts w:cs="Arial"/>
                <w:sz w:val="20"/>
                <w:szCs w:val="20"/>
              </w:rPr>
            </w:pPr>
            <w:r w:rsidRPr="00434D4F">
              <w:rPr>
                <w:rFonts w:cs="Arial"/>
                <w:sz w:val="20"/>
                <w:szCs w:val="20"/>
              </w:rPr>
              <w:t>3. Monitoreo y evaluación</w:t>
            </w:r>
          </w:p>
        </w:tc>
        <w:tc>
          <w:tcPr>
            <w:tcW w:w="7132" w:type="dxa"/>
          </w:tcPr>
          <w:p w14:paraId="51B66990" w14:textId="0620949C" w:rsidR="00D008B5" w:rsidRDefault="00C45611" w:rsidP="000F5BAE">
            <w:pPr>
              <w:pStyle w:val="Prrafodelista"/>
              <w:numPr>
                <w:ilvl w:val="0"/>
                <w:numId w:val="15"/>
              </w:numPr>
              <w:jc w:val="both"/>
              <w:rPr>
                <w:rFonts w:cs="Arial"/>
                <w:sz w:val="20"/>
                <w:szCs w:val="20"/>
              </w:rPr>
            </w:pPr>
            <w:r>
              <w:rPr>
                <w:rFonts w:cs="Arial"/>
                <w:sz w:val="20"/>
                <w:szCs w:val="20"/>
              </w:rPr>
              <w:t>Diseñar una batería d</w:t>
            </w:r>
            <w:r w:rsidR="00AD5F68">
              <w:rPr>
                <w:rFonts w:cs="Arial"/>
                <w:sz w:val="20"/>
                <w:szCs w:val="20"/>
              </w:rPr>
              <w:t>e indicadores de impacto de la L</w:t>
            </w:r>
            <w:r>
              <w:rPr>
                <w:rFonts w:cs="Arial"/>
                <w:sz w:val="20"/>
                <w:szCs w:val="20"/>
              </w:rPr>
              <w:t>ey 1712</w:t>
            </w:r>
            <w:r w:rsidR="00AD5F68">
              <w:rPr>
                <w:rFonts w:cs="Arial"/>
                <w:sz w:val="20"/>
                <w:szCs w:val="20"/>
              </w:rPr>
              <w:t xml:space="preserve"> y sus decretos reglamentarios</w:t>
            </w:r>
            <w:r>
              <w:rPr>
                <w:rFonts w:cs="Arial"/>
                <w:sz w:val="20"/>
                <w:szCs w:val="20"/>
              </w:rPr>
              <w:t xml:space="preserve"> en la consolidación de otros derechos fundamentales.</w:t>
            </w:r>
          </w:p>
          <w:p w14:paraId="5D63340B" w14:textId="77777777" w:rsidR="00726166" w:rsidRDefault="000F5BAE" w:rsidP="000F5BAE">
            <w:pPr>
              <w:pStyle w:val="Prrafodelista"/>
              <w:numPr>
                <w:ilvl w:val="0"/>
                <w:numId w:val="15"/>
              </w:numPr>
              <w:jc w:val="both"/>
              <w:rPr>
                <w:rFonts w:cs="Arial"/>
                <w:sz w:val="20"/>
                <w:szCs w:val="20"/>
              </w:rPr>
            </w:pPr>
            <w:r>
              <w:rPr>
                <w:rFonts w:cs="Arial"/>
                <w:sz w:val="20"/>
                <w:szCs w:val="20"/>
              </w:rPr>
              <w:t>Incrementar</w:t>
            </w:r>
            <w:r w:rsidRPr="000F5BAE">
              <w:rPr>
                <w:rFonts w:cs="Arial"/>
                <w:sz w:val="20"/>
                <w:szCs w:val="20"/>
              </w:rPr>
              <w:t xml:space="preserve"> </w:t>
            </w:r>
            <w:r>
              <w:rPr>
                <w:rFonts w:cs="Arial"/>
                <w:sz w:val="20"/>
                <w:szCs w:val="20"/>
              </w:rPr>
              <w:t>el</w:t>
            </w:r>
            <w:r w:rsidRPr="000F5BAE">
              <w:rPr>
                <w:rFonts w:cs="Arial"/>
                <w:sz w:val="20"/>
                <w:szCs w:val="20"/>
              </w:rPr>
              <w:t xml:space="preserve"> índice de acceso a la información en los 24 sectores de la administración pública.</w:t>
            </w:r>
          </w:p>
          <w:p w14:paraId="1DD20E3A" w14:textId="77777777" w:rsidR="000F5BAE" w:rsidRDefault="000F5BAE" w:rsidP="000F5BAE">
            <w:pPr>
              <w:pStyle w:val="Prrafodelista"/>
              <w:numPr>
                <w:ilvl w:val="0"/>
                <w:numId w:val="15"/>
              </w:numPr>
              <w:jc w:val="both"/>
              <w:rPr>
                <w:rFonts w:cs="Arial"/>
                <w:sz w:val="20"/>
                <w:szCs w:val="20"/>
              </w:rPr>
            </w:pPr>
            <w:r w:rsidRPr="000F5BAE">
              <w:rPr>
                <w:rFonts w:cs="Arial"/>
                <w:sz w:val="20"/>
                <w:szCs w:val="20"/>
              </w:rPr>
              <w:t>Evaluar los resultados de Colombia</w:t>
            </w:r>
            <w:r>
              <w:rPr>
                <w:rFonts w:cs="Arial"/>
                <w:sz w:val="20"/>
                <w:szCs w:val="20"/>
              </w:rPr>
              <w:t xml:space="preserve"> en la RTA</w:t>
            </w:r>
            <w:r w:rsidRPr="000F5BAE">
              <w:rPr>
                <w:rFonts w:cs="Arial"/>
                <w:sz w:val="20"/>
                <w:szCs w:val="20"/>
              </w:rPr>
              <w:t>, con el fin de generar ajustes en el esquema de implementación de la política de acceso a la información pública por parte de las entidades líderes enunciadas en el artículo 32 de la Ley 1712 de 2014.</w:t>
            </w:r>
          </w:p>
          <w:p w14:paraId="3CFCB2B2" w14:textId="0E022D0F" w:rsidR="000F5BAE" w:rsidRPr="00C45611" w:rsidRDefault="000F5BAE" w:rsidP="000F5BAE">
            <w:pPr>
              <w:pStyle w:val="Prrafodelista"/>
              <w:numPr>
                <w:ilvl w:val="0"/>
                <w:numId w:val="15"/>
              </w:numPr>
              <w:jc w:val="both"/>
              <w:rPr>
                <w:rFonts w:cs="Arial"/>
                <w:sz w:val="20"/>
                <w:szCs w:val="20"/>
              </w:rPr>
            </w:pPr>
          </w:p>
        </w:tc>
      </w:tr>
      <w:tr w:rsidR="00434D4F" w14:paraId="7BBD6EF5" w14:textId="77777777" w:rsidTr="00D05F1A">
        <w:tc>
          <w:tcPr>
            <w:tcW w:w="8828" w:type="dxa"/>
            <w:gridSpan w:val="2"/>
          </w:tcPr>
          <w:p w14:paraId="4F1BE217" w14:textId="2B2BE8D3" w:rsidR="00434D4F" w:rsidRPr="00434D4F" w:rsidRDefault="00434D4F" w:rsidP="00434D4F">
            <w:pPr>
              <w:jc w:val="center"/>
              <w:rPr>
                <w:rFonts w:cs="Arial"/>
                <w:b/>
                <w:sz w:val="20"/>
                <w:szCs w:val="20"/>
              </w:rPr>
            </w:pPr>
            <w:r w:rsidRPr="00434D4F">
              <w:rPr>
                <w:rFonts w:cs="Arial"/>
                <w:b/>
                <w:sz w:val="20"/>
                <w:szCs w:val="20"/>
              </w:rPr>
              <w:t>Actividades trasversales</w:t>
            </w:r>
          </w:p>
        </w:tc>
      </w:tr>
      <w:tr w:rsidR="00C45611" w14:paraId="3671418B" w14:textId="77777777" w:rsidTr="00D05F1A">
        <w:tc>
          <w:tcPr>
            <w:tcW w:w="8828" w:type="dxa"/>
            <w:gridSpan w:val="2"/>
          </w:tcPr>
          <w:p w14:paraId="761C51F9" w14:textId="67BB494F" w:rsidR="00C45611" w:rsidRDefault="00C45611" w:rsidP="000F5BAE">
            <w:pPr>
              <w:pStyle w:val="Prrafodelista"/>
              <w:numPr>
                <w:ilvl w:val="0"/>
                <w:numId w:val="13"/>
              </w:numPr>
              <w:jc w:val="both"/>
              <w:rPr>
                <w:rFonts w:cs="Arial"/>
                <w:sz w:val="20"/>
                <w:szCs w:val="20"/>
              </w:rPr>
            </w:pPr>
            <w:r>
              <w:rPr>
                <w:rFonts w:cs="Arial"/>
                <w:sz w:val="20"/>
                <w:szCs w:val="20"/>
              </w:rPr>
              <w:t xml:space="preserve">Implementar las acciones relacionadas al segundo decreto </w:t>
            </w:r>
            <w:r w:rsidR="00F22111">
              <w:rPr>
                <w:rFonts w:cs="Arial"/>
                <w:sz w:val="20"/>
                <w:szCs w:val="20"/>
              </w:rPr>
              <w:t>reglamentario</w:t>
            </w:r>
            <w:r w:rsidR="000F5BAE">
              <w:rPr>
                <w:rFonts w:cs="Arial"/>
                <w:sz w:val="20"/>
                <w:szCs w:val="20"/>
              </w:rPr>
              <w:t>, asi como</w:t>
            </w:r>
            <w:r>
              <w:rPr>
                <w:rFonts w:cs="Arial"/>
                <w:sz w:val="20"/>
                <w:szCs w:val="20"/>
              </w:rPr>
              <w:t xml:space="preserve"> diseñar y ejecutar la </w:t>
            </w:r>
            <w:r w:rsidR="00F22111">
              <w:rPr>
                <w:rFonts w:cs="Arial"/>
                <w:sz w:val="20"/>
                <w:szCs w:val="20"/>
              </w:rPr>
              <w:t>estrategia</w:t>
            </w:r>
            <w:r>
              <w:rPr>
                <w:rFonts w:cs="Arial"/>
                <w:sz w:val="20"/>
                <w:szCs w:val="20"/>
              </w:rPr>
              <w:t xml:space="preserve"> de </w:t>
            </w:r>
            <w:r w:rsidR="00F22111">
              <w:rPr>
                <w:rFonts w:cs="Arial"/>
                <w:sz w:val="20"/>
                <w:szCs w:val="20"/>
              </w:rPr>
              <w:t>coordinación</w:t>
            </w:r>
            <w:r>
              <w:rPr>
                <w:rFonts w:cs="Arial"/>
                <w:sz w:val="20"/>
                <w:szCs w:val="20"/>
              </w:rPr>
              <w:t xml:space="preserve"> interinstitucional en </w:t>
            </w:r>
            <w:r w:rsidR="00F22111">
              <w:rPr>
                <w:rFonts w:cs="Arial"/>
                <w:sz w:val="20"/>
                <w:szCs w:val="20"/>
              </w:rPr>
              <w:t>asocio</w:t>
            </w:r>
            <w:r>
              <w:rPr>
                <w:rFonts w:cs="Arial"/>
                <w:sz w:val="20"/>
                <w:szCs w:val="20"/>
              </w:rPr>
              <w:t xml:space="preserve"> con los líderes de la política pública de </w:t>
            </w:r>
            <w:r w:rsidR="00F22111">
              <w:rPr>
                <w:rFonts w:cs="Arial"/>
                <w:sz w:val="20"/>
                <w:szCs w:val="20"/>
              </w:rPr>
              <w:t>Transparencia</w:t>
            </w:r>
            <w:r>
              <w:rPr>
                <w:rFonts w:cs="Arial"/>
                <w:sz w:val="20"/>
                <w:szCs w:val="20"/>
              </w:rPr>
              <w:t xml:space="preserve"> y acceso a la información</w:t>
            </w:r>
            <w:r w:rsidR="00F22111">
              <w:rPr>
                <w:rFonts w:cs="Arial"/>
                <w:sz w:val="20"/>
                <w:szCs w:val="20"/>
              </w:rPr>
              <w:t>.</w:t>
            </w:r>
          </w:p>
          <w:p w14:paraId="0FF14859" w14:textId="79A81B70" w:rsidR="00C45611" w:rsidRPr="00434D4F" w:rsidRDefault="00575AE2" w:rsidP="000F5BAE">
            <w:pPr>
              <w:pStyle w:val="Prrafodelista"/>
              <w:numPr>
                <w:ilvl w:val="0"/>
                <w:numId w:val="13"/>
              </w:numPr>
              <w:jc w:val="both"/>
              <w:rPr>
                <w:rFonts w:cs="Arial"/>
                <w:b/>
                <w:sz w:val="20"/>
                <w:szCs w:val="20"/>
              </w:rPr>
            </w:pPr>
            <w:r>
              <w:rPr>
                <w:rFonts w:cs="Arial"/>
                <w:sz w:val="20"/>
                <w:szCs w:val="20"/>
              </w:rPr>
              <w:lastRenderedPageBreak/>
              <w:t>A</w:t>
            </w:r>
            <w:r w:rsidR="00C45611" w:rsidRPr="00C45611">
              <w:rPr>
                <w:rFonts w:cs="Arial"/>
                <w:sz w:val="20"/>
                <w:szCs w:val="20"/>
              </w:rPr>
              <w:t xml:space="preserve">tender de forma diferenciada a los diferentes grupos de </w:t>
            </w:r>
            <w:r>
              <w:rPr>
                <w:rFonts w:cs="Arial"/>
                <w:sz w:val="20"/>
                <w:szCs w:val="20"/>
              </w:rPr>
              <w:t>sujetos obligados,</w:t>
            </w:r>
            <w:r w:rsidR="00C45611" w:rsidRPr="00C45611">
              <w:rPr>
                <w:rFonts w:cs="Arial"/>
                <w:sz w:val="20"/>
                <w:szCs w:val="20"/>
              </w:rPr>
              <w:t xml:space="preserve"> </w:t>
            </w:r>
            <w:r>
              <w:rPr>
                <w:rFonts w:cs="Arial"/>
                <w:sz w:val="20"/>
                <w:szCs w:val="20"/>
              </w:rPr>
              <w:t>c</w:t>
            </w:r>
            <w:r w:rsidR="00C45611" w:rsidRPr="00C45611">
              <w:rPr>
                <w:rFonts w:cs="Arial"/>
                <w:sz w:val="20"/>
                <w:szCs w:val="20"/>
              </w:rPr>
              <w:t>ombinando estra</w:t>
            </w:r>
            <w:r w:rsidR="000F5BAE">
              <w:rPr>
                <w:rFonts w:cs="Arial"/>
                <w:sz w:val="20"/>
                <w:szCs w:val="20"/>
              </w:rPr>
              <w:t>tegias presenciales y virtuales, y niveles de alcance.</w:t>
            </w:r>
          </w:p>
        </w:tc>
      </w:tr>
    </w:tbl>
    <w:p w14:paraId="05AAB806" w14:textId="77777777" w:rsidR="00482BC7" w:rsidRPr="000C3A8C" w:rsidRDefault="00482BC7" w:rsidP="00D008B5">
      <w:pPr>
        <w:spacing w:after="0" w:line="240" w:lineRule="auto"/>
        <w:rPr>
          <w:rFonts w:cs="Arial"/>
          <w:b/>
          <w:sz w:val="20"/>
          <w:szCs w:val="20"/>
        </w:rPr>
      </w:pPr>
    </w:p>
    <w:p w14:paraId="01626658" w14:textId="77777777" w:rsidR="00482BC7" w:rsidRPr="000C3A8C" w:rsidRDefault="00482BC7" w:rsidP="00D008B5">
      <w:pPr>
        <w:spacing w:after="0" w:line="240" w:lineRule="auto"/>
        <w:rPr>
          <w:rFonts w:cs="Arial"/>
          <w:b/>
          <w:sz w:val="20"/>
          <w:szCs w:val="20"/>
        </w:rPr>
      </w:pPr>
    </w:p>
    <w:p w14:paraId="36FCFF3B" w14:textId="77777777" w:rsidR="003C6F71" w:rsidRPr="000C3A8C" w:rsidRDefault="003C6F71" w:rsidP="00D008B5">
      <w:pPr>
        <w:spacing w:after="0" w:line="240" w:lineRule="auto"/>
        <w:rPr>
          <w:rFonts w:cs="Arial"/>
          <w:b/>
          <w:sz w:val="20"/>
          <w:szCs w:val="20"/>
        </w:rPr>
      </w:pPr>
    </w:p>
    <w:p w14:paraId="22D85C4B" w14:textId="77777777" w:rsidR="003C6F71" w:rsidRPr="000C3A8C" w:rsidRDefault="003C6F71" w:rsidP="00D008B5">
      <w:pPr>
        <w:spacing w:after="0" w:line="240" w:lineRule="auto"/>
        <w:rPr>
          <w:rFonts w:cs="Arial"/>
          <w:b/>
          <w:sz w:val="20"/>
          <w:szCs w:val="20"/>
        </w:rPr>
      </w:pPr>
      <w:r w:rsidRPr="000C3A8C">
        <w:rPr>
          <w:rFonts w:cs="Arial"/>
          <w:b/>
          <w:sz w:val="20"/>
          <w:szCs w:val="20"/>
        </w:rPr>
        <w:t>PROPUESTA DE INVITADOS</w:t>
      </w:r>
    </w:p>
    <w:p w14:paraId="3B940F5F" w14:textId="77777777" w:rsidR="00A22BBB" w:rsidRDefault="00A22BBB" w:rsidP="00D008B5">
      <w:pPr>
        <w:spacing w:after="0" w:line="240" w:lineRule="auto"/>
        <w:rPr>
          <w:rFonts w:cs="Arial"/>
          <w:sz w:val="20"/>
          <w:szCs w:val="20"/>
        </w:rPr>
      </w:pPr>
    </w:p>
    <w:tbl>
      <w:tblPr>
        <w:tblStyle w:val="Tablaconcuadrcula"/>
        <w:tblW w:w="0" w:type="auto"/>
        <w:jc w:val="center"/>
        <w:tblLayout w:type="fixed"/>
        <w:tblLook w:val="04A0" w:firstRow="1" w:lastRow="0" w:firstColumn="1" w:lastColumn="0" w:noHBand="0" w:noVBand="1"/>
      </w:tblPr>
      <w:tblGrid>
        <w:gridCol w:w="1660"/>
        <w:gridCol w:w="1596"/>
        <w:gridCol w:w="2693"/>
        <w:gridCol w:w="2879"/>
      </w:tblGrid>
      <w:tr w:rsidR="000E54A5" w:rsidRPr="00A22BBB" w14:paraId="43690CA1" w14:textId="77777777" w:rsidTr="000E54A5">
        <w:trPr>
          <w:jc w:val="center"/>
        </w:trPr>
        <w:tc>
          <w:tcPr>
            <w:tcW w:w="1660" w:type="dxa"/>
            <w:shd w:val="clear" w:color="auto" w:fill="A6A6A6" w:themeFill="background1" w:themeFillShade="A6"/>
          </w:tcPr>
          <w:p w14:paraId="3A1E86CE" w14:textId="77777777" w:rsidR="00A22BBB" w:rsidRPr="00A22BBB" w:rsidRDefault="00A22BBB" w:rsidP="00541B7D">
            <w:pPr>
              <w:jc w:val="center"/>
              <w:rPr>
                <w:b/>
                <w:sz w:val="20"/>
                <w:szCs w:val="20"/>
              </w:rPr>
            </w:pPr>
            <w:r w:rsidRPr="00A22BBB">
              <w:rPr>
                <w:b/>
                <w:sz w:val="20"/>
                <w:szCs w:val="20"/>
              </w:rPr>
              <w:t>Nombre</w:t>
            </w:r>
          </w:p>
        </w:tc>
        <w:tc>
          <w:tcPr>
            <w:tcW w:w="1596" w:type="dxa"/>
            <w:shd w:val="clear" w:color="auto" w:fill="A6A6A6" w:themeFill="background1" w:themeFillShade="A6"/>
          </w:tcPr>
          <w:p w14:paraId="402657C4" w14:textId="77777777" w:rsidR="00A22BBB" w:rsidRPr="00A22BBB" w:rsidRDefault="00A22BBB" w:rsidP="00541B7D">
            <w:pPr>
              <w:jc w:val="center"/>
              <w:rPr>
                <w:b/>
                <w:sz w:val="20"/>
                <w:szCs w:val="20"/>
              </w:rPr>
            </w:pPr>
            <w:r w:rsidRPr="00A22BBB">
              <w:rPr>
                <w:b/>
                <w:sz w:val="20"/>
                <w:szCs w:val="20"/>
              </w:rPr>
              <w:t>Entidad que representa</w:t>
            </w:r>
          </w:p>
        </w:tc>
        <w:tc>
          <w:tcPr>
            <w:tcW w:w="2693" w:type="dxa"/>
            <w:shd w:val="clear" w:color="auto" w:fill="A6A6A6" w:themeFill="background1" w:themeFillShade="A6"/>
          </w:tcPr>
          <w:p w14:paraId="1A01C642" w14:textId="77777777" w:rsidR="00A22BBB" w:rsidRPr="00A22BBB" w:rsidRDefault="00A22BBB" w:rsidP="00541B7D">
            <w:pPr>
              <w:jc w:val="center"/>
              <w:rPr>
                <w:b/>
                <w:sz w:val="20"/>
                <w:szCs w:val="20"/>
              </w:rPr>
            </w:pPr>
            <w:r w:rsidRPr="00A22BBB">
              <w:rPr>
                <w:b/>
                <w:sz w:val="20"/>
                <w:szCs w:val="20"/>
              </w:rPr>
              <w:t>Cargo</w:t>
            </w:r>
          </w:p>
        </w:tc>
        <w:tc>
          <w:tcPr>
            <w:tcW w:w="2879" w:type="dxa"/>
            <w:shd w:val="clear" w:color="auto" w:fill="A6A6A6" w:themeFill="background1" w:themeFillShade="A6"/>
          </w:tcPr>
          <w:p w14:paraId="511F9377" w14:textId="77777777" w:rsidR="00A22BBB" w:rsidRPr="00A22BBB" w:rsidRDefault="00A22BBB" w:rsidP="00541B7D">
            <w:pPr>
              <w:jc w:val="center"/>
              <w:rPr>
                <w:b/>
                <w:sz w:val="20"/>
                <w:szCs w:val="20"/>
              </w:rPr>
            </w:pPr>
            <w:r w:rsidRPr="00A22BBB">
              <w:rPr>
                <w:b/>
                <w:sz w:val="20"/>
                <w:szCs w:val="20"/>
              </w:rPr>
              <w:t>Correo electrónico</w:t>
            </w:r>
          </w:p>
        </w:tc>
      </w:tr>
      <w:tr w:rsidR="000E54A5" w:rsidRPr="00A22BBB" w14:paraId="61C1AD75" w14:textId="77777777" w:rsidTr="000E54A5">
        <w:trPr>
          <w:jc w:val="center"/>
        </w:trPr>
        <w:tc>
          <w:tcPr>
            <w:tcW w:w="1660" w:type="dxa"/>
            <w:vAlign w:val="center"/>
          </w:tcPr>
          <w:p w14:paraId="30165282" w14:textId="4A9B0274" w:rsidR="00A22BBB" w:rsidRPr="00A22BBB" w:rsidRDefault="00A22BBB" w:rsidP="00A22BBB">
            <w:pPr>
              <w:rPr>
                <w:sz w:val="20"/>
                <w:szCs w:val="20"/>
              </w:rPr>
            </w:pPr>
            <w:r w:rsidRPr="00A22BBB">
              <w:rPr>
                <w:sz w:val="20"/>
                <w:szCs w:val="20"/>
              </w:rPr>
              <w:t xml:space="preserve">Liliana Caballero </w:t>
            </w:r>
            <w:r>
              <w:rPr>
                <w:sz w:val="20"/>
                <w:szCs w:val="20"/>
              </w:rPr>
              <w:t xml:space="preserve">Duran </w:t>
            </w:r>
          </w:p>
        </w:tc>
        <w:tc>
          <w:tcPr>
            <w:tcW w:w="1596" w:type="dxa"/>
            <w:vAlign w:val="center"/>
          </w:tcPr>
          <w:p w14:paraId="63680CC8" w14:textId="4B267009" w:rsidR="00A22BBB" w:rsidRPr="00A22BBB" w:rsidRDefault="00A22BBB" w:rsidP="00A22BBB">
            <w:pPr>
              <w:rPr>
                <w:sz w:val="20"/>
                <w:szCs w:val="20"/>
              </w:rPr>
            </w:pPr>
            <w:r w:rsidRPr="00A22BBB">
              <w:rPr>
                <w:sz w:val="20"/>
                <w:szCs w:val="20"/>
              </w:rPr>
              <w:t>Departamento Administrativo de la Presidencia de la República</w:t>
            </w:r>
          </w:p>
        </w:tc>
        <w:tc>
          <w:tcPr>
            <w:tcW w:w="2693" w:type="dxa"/>
            <w:vAlign w:val="center"/>
          </w:tcPr>
          <w:p w14:paraId="29BF4068" w14:textId="4862FAD5" w:rsidR="00A22BBB" w:rsidRPr="00A22BBB" w:rsidRDefault="00A22BBB" w:rsidP="00A22BBB">
            <w:pPr>
              <w:rPr>
                <w:sz w:val="20"/>
                <w:szCs w:val="20"/>
              </w:rPr>
            </w:pPr>
            <w:r w:rsidRPr="00A22BBB">
              <w:rPr>
                <w:sz w:val="20"/>
                <w:szCs w:val="20"/>
              </w:rPr>
              <w:t>Directora</w:t>
            </w:r>
          </w:p>
        </w:tc>
        <w:tc>
          <w:tcPr>
            <w:tcW w:w="2879" w:type="dxa"/>
            <w:vAlign w:val="center"/>
          </w:tcPr>
          <w:p w14:paraId="291690E7" w14:textId="418E4E4E" w:rsidR="00A22BBB" w:rsidRPr="00A22BBB" w:rsidRDefault="00A22BBB" w:rsidP="00A22BBB">
            <w:pPr>
              <w:rPr>
                <w:sz w:val="20"/>
                <w:szCs w:val="20"/>
              </w:rPr>
            </w:pPr>
            <w:r w:rsidRPr="00A22BBB">
              <w:rPr>
                <w:color w:val="333333"/>
                <w:sz w:val="20"/>
                <w:szCs w:val="20"/>
              </w:rPr>
              <w:t>lcaballero@funcionpublica.gov.co</w:t>
            </w:r>
          </w:p>
        </w:tc>
      </w:tr>
      <w:tr w:rsidR="000E54A5" w:rsidRPr="00A22BBB" w14:paraId="76E04052" w14:textId="77777777" w:rsidTr="000E54A5">
        <w:trPr>
          <w:jc w:val="center"/>
        </w:trPr>
        <w:tc>
          <w:tcPr>
            <w:tcW w:w="1660" w:type="dxa"/>
            <w:vAlign w:val="center"/>
          </w:tcPr>
          <w:p w14:paraId="6C052A66" w14:textId="7498E237" w:rsidR="000E54A5" w:rsidRPr="00A22BBB" w:rsidRDefault="000E54A5" w:rsidP="000E54A5">
            <w:pPr>
              <w:rPr>
                <w:sz w:val="20"/>
                <w:szCs w:val="20"/>
              </w:rPr>
            </w:pPr>
            <w:r w:rsidRPr="000E54A5">
              <w:rPr>
                <w:sz w:val="20"/>
                <w:szCs w:val="20"/>
              </w:rPr>
              <w:t>Martha Isabel Castañeda Cuervelo</w:t>
            </w:r>
          </w:p>
        </w:tc>
        <w:tc>
          <w:tcPr>
            <w:tcW w:w="1596" w:type="dxa"/>
            <w:vAlign w:val="center"/>
          </w:tcPr>
          <w:p w14:paraId="1D386EA3" w14:textId="21645A83" w:rsidR="000E54A5" w:rsidRPr="00A22BBB" w:rsidRDefault="000E54A5" w:rsidP="000E54A5">
            <w:pPr>
              <w:rPr>
                <w:sz w:val="20"/>
                <w:szCs w:val="20"/>
              </w:rPr>
            </w:pPr>
            <w:r w:rsidRPr="000E54A5">
              <w:rPr>
                <w:sz w:val="20"/>
                <w:szCs w:val="20"/>
              </w:rPr>
              <w:t>Procuraduría General de la Nación</w:t>
            </w:r>
          </w:p>
        </w:tc>
        <w:tc>
          <w:tcPr>
            <w:tcW w:w="2693" w:type="dxa"/>
            <w:vAlign w:val="center"/>
          </w:tcPr>
          <w:p w14:paraId="18F92621" w14:textId="3BD04D7D" w:rsidR="000E54A5" w:rsidRPr="00A22BBB" w:rsidRDefault="000E54A5" w:rsidP="000E54A5">
            <w:pPr>
              <w:rPr>
                <w:sz w:val="20"/>
                <w:szCs w:val="20"/>
              </w:rPr>
            </w:pPr>
            <w:r w:rsidRPr="000E54A5">
              <w:rPr>
                <w:sz w:val="20"/>
                <w:szCs w:val="20"/>
              </w:rPr>
              <w:t>Viceprocuradora General de la Nación – Coordinadora Grupo de Transparencia y del Derecho de Acceso a la Información Publica</w:t>
            </w:r>
          </w:p>
        </w:tc>
        <w:tc>
          <w:tcPr>
            <w:tcW w:w="2879" w:type="dxa"/>
            <w:vAlign w:val="center"/>
          </w:tcPr>
          <w:p w14:paraId="29387B55" w14:textId="41398209" w:rsidR="000E54A5" w:rsidRPr="00A22BBB" w:rsidRDefault="000E54A5" w:rsidP="000E54A5">
            <w:pPr>
              <w:rPr>
                <w:sz w:val="20"/>
                <w:szCs w:val="20"/>
              </w:rPr>
            </w:pPr>
            <w:hyperlink r:id="rId8" w:history="1">
              <w:r w:rsidRPr="000E54A5">
                <w:rPr>
                  <w:sz w:val="20"/>
                  <w:szCs w:val="20"/>
                </w:rPr>
                <w:t>mcastaneda@procuraduria.gov.co</w:t>
              </w:r>
            </w:hyperlink>
          </w:p>
        </w:tc>
      </w:tr>
      <w:tr w:rsidR="000E54A5" w:rsidRPr="00A22BBB" w14:paraId="4863B3FA" w14:textId="77777777" w:rsidTr="000E54A5">
        <w:trPr>
          <w:jc w:val="center"/>
        </w:trPr>
        <w:tc>
          <w:tcPr>
            <w:tcW w:w="1660" w:type="dxa"/>
          </w:tcPr>
          <w:p w14:paraId="5E283C8A" w14:textId="5ABA7802" w:rsidR="00A22BBB" w:rsidRPr="00A22BBB" w:rsidRDefault="000E54A5" w:rsidP="00541B7D">
            <w:pPr>
              <w:rPr>
                <w:sz w:val="20"/>
                <w:szCs w:val="20"/>
              </w:rPr>
            </w:pPr>
            <w:r w:rsidRPr="000E54A5">
              <w:rPr>
                <w:sz w:val="20"/>
                <w:szCs w:val="20"/>
              </w:rPr>
              <w:t>ENZO RAFAEL ARIZA AYALA</w:t>
            </w:r>
          </w:p>
        </w:tc>
        <w:tc>
          <w:tcPr>
            <w:tcW w:w="1596" w:type="dxa"/>
          </w:tcPr>
          <w:p w14:paraId="48A76E92" w14:textId="77777777" w:rsidR="00A22BBB" w:rsidRPr="00A22BBB" w:rsidRDefault="00A22BBB" w:rsidP="00541B7D">
            <w:pPr>
              <w:rPr>
                <w:sz w:val="20"/>
                <w:szCs w:val="20"/>
              </w:rPr>
            </w:pPr>
            <w:r w:rsidRPr="00A22BBB">
              <w:rPr>
                <w:sz w:val="20"/>
                <w:szCs w:val="20"/>
              </w:rPr>
              <w:t>Archivo General de la Nación</w:t>
            </w:r>
          </w:p>
        </w:tc>
        <w:tc>
          <w:tcPr>
            <w:tcW w:w="2693" w:type="dxa"/>
          </w:tcPr>
          <w:p w14:paraId="5A49BB38" w14:textId="43D844F5" w:rsidR="00A22BBB" w:rsidRPr="00A22BBB" w:rsidRDefault="000E54A5" w:rsidP="000E54A5">
            <w:pPr>
              <w:rPr>
                <w:sz w:val="20"/>
                <w:szCs w:val="20"/>
              </w:rPr>
            </w:pPr>
            <w:r>
              <w:rPr>
                <w:sz w:val="20"/>
                <w:szCs w:val="20"/>
              </w:rPr>
              <w:t xml:space="preserve">Director (e) </w:t>
            </w:r>
          </w:p>
        </w:tc>
        <w:tc>
          <w:tcPr>
            <w:tcW w:w="2879" w:type="dxa"/>
          </w:tcPr>
          <w:p w14:paraId="701A9F71" w14:textId="519FF1E2" w:rsidR="00A22BBB" w:rsidRPr="00A22BBB" w:rsidRDefault="000E54A5" w:rsidP="00541B7D">
            <w:pPr>
              <w:rPr>
                <w:sz w:val="20"/>
                <w:szCs w:val="20"/>
              </w:rPr>
            </w:pPr>
            <w:r w:rsidRPr="000E54A5">
              <w:rPr>
                <w:sz w:val="20"/>
                <w:szCs w:val="20"/>
              </w:rPr>
              <w:t xml:space="preserve">EARIZA@archivogeneral.onmicrosoft.com </w:t>
            </w:r>
          </w:p>
        </w:tc>
      </w:tr>
      <w:tr w:rsidR="000E54A5" w:rsidRPr="00A22BBB" w14:paraId="503248A3" w14:textId="77777777" w:rsidTr="000E54A5">
        <w:trPr>
          <w:jc w:val="center"/>
        </w:trPr>
        <w:tc>
          <w:tcPr>
            <w:tcW w:w="1660" w:type="dxa"/>
            <w:vAlign w:val="center"/>
          </w:tcPr>
          <w:p w14:paraId="33FC5676" w14:textId="23F1496D" w:rsidR="000E54A5" w:rsidRPr="00A22BBB" w:rsidRDefault="000E54A5" w:rsidP="000E54A5">
            <w:pPr>
              <w:rPr>
                <w:sz w:val="20"/>
                <w:szCs w:val="20"/>
              </w:rPr>
            </w:pPr>
            <w:r>
              <w:rPr>
                <w:rFonts w:eastAsia="Times New Roman"/>
              </w:rPr>
              <w:t>Ángela Rodríguez</w:t>
            </w:r>
          </w:p>
        </w:tc>
        <w:tc>
          <w:tcPr>
            <w:tcW w:w="1596" w:type="dxa"/>
            <w:vAlign w:val="center"/>
          </w:tcPr>
          <w:p w14:paraId="728DC222" w14:textId="17C78F60" w:rsidR="000E54A5" w:rsidRPr="00A22BBB" w:rsidRDefault="000E54A5" w:rsidP="000E54A5">
            <w:pPr>
              <w:rPr>
                <w:sz w:val="20"/>
                <w:szCs w:val="20"/>
              </w:rPr>
            </w:pPr>
            <w:r>
              <w:rPr>
                <w:rFonts w:eastAsia="Times New Roman"/>
              </w:rPr>
              <w:t>Instituto Holandés para la Democracia Multipartidista</w:t>
            </w:r>
          </w:p>
        </w:tc>
        <w:tc>
          <w:tcPr>
            <w:tcW w:w="2693" w:type="dxa"/>
            <w:vAlign w:val="center"/>
          </w:tcPr>
          <w:p w14:paraId="435D8751" w14:textId="2E8264D0" w:rsidR="000E54A5" w:rsidRPr="00A22BBB" w:rsidRDefault="000E54A5" w:rsidP="000E54A5">
            <w:pPr>
              <w:rPr>
                <w:sz w:val="20"/>
                <w:szCs w:val="20"/>
              </w:rPr>
            </w:pPr>
            <w:r>
              <w:rPr>
                <w:rFonts w:eastAsia="Times New Roman"/>
              </w:rPr>
              <w:t>Directora Ejecutiva para Colombia</w:t>
            </w:r>
          </w:p>
        </w:tc>
        <w:tc>
          <w:tcPr>
            <w:tcW w:w="2879" w:type="dxa"/>
            <w:vAlign w:val="center"/>
          </w:tcPr>
          <w:p w14:paraId="761CF6BB" w14:textId="631E835A" w:rsidR="000E54A5" w:rsidRPr="00A22BBB" w:rsidRDefault="000E54A5" w:rsidP="000E54A5">
            <w:pPr>
              <w:rPr>
                <w:sz w:val="20"/>
                <w:szCs w:val="20"/>
              </w:rPr>
            </w:pPr>
            <w:hyperlink r:id="rId9" w:history="1">
              <w:r>
                <w:rPr>
                  <w:rStyle w:val="Hipervnculo"/>
                  <w:rFonts w:eastAsia="Times New Roman"/>
                </w:rPr>
                <w:t>angelarodriguez@nimd.org</w:t>
              </w:r>
            </w:hyperlink>
            <w:r>
              <w:rPr>
                <w:rFonts w:eastAsia="Times New Roman"/>
              </w:rPr>
              <w:t xml:space="preserve"> </w:t>
            </w:r>
          </w:p>
        </w:tc>
      </w:tr>
    </w:tbl>
    <w:p w14:paraId="3CF94F49" w14:textId="77777777" w:rsidR="000E54A5" w:rsidRDefault="000E54A5" w:rsidP="00D008B5">
      <w:pPr>
        <w:spacing w:after="0" w:line="240" w:lineRule="auto"/>
        <w:rPr>
          <w:rFonts w:cs="Arial"/>
          <w:sz w:val="20"/>
          <w:szCs w:val="20"/>
        </w:rPr>
      </w:pPr>
    </w:p>
    <w:p w14:paraId="7CCEED89" w14:textId="77777777" w:rsidR="003C6F71" w:rsidRPr="000C3A8C" w:rsidRDefault="008F53E4" w:rsidP="00D008B5">
      <w:pPr>
        <w:spacing w:after="0" w:line="240" w:lineRule="auto"/>
        <w:rPr>
          <w:rFonts w:cs="Arial"/>
          <w:sz w:val="20"/>
          <w:szCs w:val="20"/>
        </w:rPr>
      </w:pPr>
      <w:bookmarkStart w:id="0" w:name="_GoBack"/>
      <w:bookmarkEnd w:id="0"/>
      <w:r w:rsidRPr="000C3A8C">
        <w:rPr>
          <w:rFonts w:cs="Arial"/>
          <w:sz w:val="20"/>
          <w:szCs w:val="20"/>
        </w:rPr>
        <w:br w:type="page"/>
      </w:r>
    </w:p>
    <w:p w14:paraId="297BA312" w14:textId="11D325EF" w:rsidR="003C6F71" w:rsidRPr="004916DC" w:rsidRDefault="004916DC" w:rsidP="004916DC">
      <w:pPr>
        <w:spacing w:after="0" w:line="240" w:lineRule="auto"/>
        <w:jc w:val="center"/>
        <w:rPr>
          <w:rFonts w:cs="Arial"/>
          <w:b/>
          <w:sz w:val="20"/>
          <w:szCs w:val="20"/>
        </w:rPr>
      </w:pPr>
      <w:r w:rsidRPr="004916DC">
        <w:rPr>
          <w:rFonts w:cs="Arial"/>
          <w:b/>
          <w:sz w:val="20"/>
          <w:szCs w:val="20"/>
        </w:rPr>
        <w:lastRenderedPageBreak/>
        <w:t>ANEXOS</w:t>
      </w:r>
    </w:p>
    <w:p w14:paraId="7B0D6F72" w14:textId="77777777" w:rsidR="004916DC" w:rsidRDefault="004916DC" w:rsidP="00D008B5">
      <w:pPr>
        <w:spacing w:after="0" w:line="240" w:lineRule="auto"/>
        <w:rPr>
          <w:rFonts w:cs="Arial"/>
          <w:b/>
          <w:sz w:val="20"/>
          <w:szCs w:val="20"/>
        </w:rPr>
      </w:pPr>
    </w:p>
    <w:p w14:paraId="4D795343" w14:textId="77777777" w:rsidR="004916DC" w:rsidRDefault="004916DC" w:rsidP="00D008B5">
      <w:pPr>
        <w:spacing w:after="0" w:line="240" w:lineRule="auto"/>
        <w:rPr>
          <w:rFonts w:cs="Arial"/>
          <w:b/>
          <w:sz w:val="20"/>
          <w:szCs w:val="20"/>
        </w:rPr>
      </w:pPr>
    </w:p>
    <w:p w14:paraId="072BBE96" w14:textId="4308E6D8" w:rsidR="001B51B3" w:rsidRPr="000C3A8C" w:rsidRDefault="008F53E4" w:rsidP="00D008B5">
      <w:pPr>
        <w:spacing w:after="0" w:line="240" w:lineRule="auto"/>
        <w:rPr>
          <w:rFonts w:cs="Arial"/>
          <w:b/>
          <w:sz w:val="20"/>
          <w:szCs w:val="20"/>
        </w:rPr>
      </w:pPr>
      <w:r w:rsidRPr="000C3A8C">
        <w:rPr>
          <w:rFonts w:cs="Arial"/>
          <w:b/>
          <w:sz w:val="20"/>
          <w:szCs w:val="20"/>
        </w:rPr>
        <w:t>ANEXO</w:t>
      </w:r>
      <w:r w:rsidR="003C6F71" w:rsidRPr="000C3A8C">
        <w:rPr>
          <w:rFonts w:cs="Arial"/>
          <w:b/>
          <w:sz w:val="20"/>
          <w:szCs w:val="20"/>
        </w:rPr>
        <w:t xml:space="preserve"> </w:t>
      </w:r>
      <w:r w:rsidR="00D008B5">
        <w:rPr>
          <w:rFonts w:cs="Arial"/>
          <w:b/>
          <w:sz w:val="20"/>
          <w:szCs w:val="20"/>
        </w:rPr>
        <w:t>1.</w:t>
      </w:r>
    </w:p>
    <w:p w14:paraId="343B3A30" w14:textId="77777777" w:rsidR="003C6F71" w:rsidRPr="000C3A8C" w:rsidRDefault="003C6F71" w:rsidP="004916DC">
      <w:pPr>
        <w:spacing w:after="0" w:line="240" w:lineRule="auto"/>
        <w:jc w:val="center"/>
        <w:rPr>
          <w:rFonts w:cs="Arial"/>
          <w:b/>
          <w:sz w:val="20"/>
          <w:szCs w:val="20"/>
        </w:rPr>
      </w:pPr>
      <w:r w:rsidRPr="000C3A8C">
        <w:rPr>
          <w:rFonts w:cs="Arial"/>
          <w:b/>
          <w:sz w:val="20"/>
          <w:szCs w:val="20"/>
        </w:rPr>
        <w:t>GRAFICA 1: RESULTADOS 2014 TRANSPARENCIA Y ACCESO A LA INFORMACIÓN PÚBLICA NACIONAL – FORMULARIO ÚNICO DE REPORTE DE AVANCES EN LA GESTIÓN.</w:t>
      </w:r>
    </w:p>
    <w:p w14:paraId="5F341808" w14:textId="77777777" w:rsidR="008F53E4" w:rsidRPr="000C3A8C" w:rsidRDefault="008F53E4" w:rsidP="00D008B5">
      <w:pPr>
        <w:spacing w:after="0" w:line="240" w:lineRule="auto"/>
        <w:rPr>
          <w:rFonts w:cs="Arial"/>
          <w:b/>
          <w:sz w:val="20"/>
          <w:szCs w:val="20"/>
        </w:rPr>
      </w:pPr>
      <w:r w:rsidRPr="000C3A8C">
        <w:rPr>
          <w:rFonts w:cs="Arial"/>
          <w:noProof/>
          <w:sz w:val="20"/>
          <w:szCs w:val="20"/>
          <w:lang w:eastAsia="es-CO"/>
        </w:rPr>
        <w:drawing>
          <wp:inline distT="0" distB="0" distL="0" distR="0" wp14:anchorId="73189CF7" wp14:editId="124A9ABB">
            <wp:extent cx="5612130" cy="3186430"/>
            <wp:effectExtent l="0" t="0" r="26670" b="139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8AC784" w14:textId="77777777" w:rsidR="008F53E4" w:rsidRPr="000C3A8C" w:rsidRDefault="008F53E4" w:rsidP="00D008B5">
      <w:pPr>
        <w:spacing w:after="0" w:line="240" w:lineRule="auto"/>
        <w:rPr>
          <w:rFonts w:cs="Arial"/>
          <w:sz w:val="20"/>
          <w:szCs w:val="20"/>
        </w:rPr>
      </w:pPr>
      <w:r w:rsidRPr="000C3A8C">
        <w:rPr>
          <w:rFonts w:cs="Arial"/>
          <w:sz w:val="20"/>
          <w:szCs w:val="20"/>
        </w:rPr>
        <w:t>Fuente: Resultados medición FURAG 2014 / DAFP</w:t>
      </w:r>
    </w:p>
    <w:p w14:paraId="23150047" w14:textId="77777777" w:rsidR="00482BC7" w:rsidRPr="000C3A8C" w:rsidRDefault="00482BC7" w:rsidP="00D008B5">
      <w:pPr>
        <w:spacing w:after="0" w:line="240" w:lineRule="auto"/>
        <w:rPr>
          <w:rFonts w:cs="Arial"/>
          <w:sz w:val="20"/>
          <w:szCs w:val="20"/>
        </w:rPr>
      </w:pPr>
    </w:p>
    <w:sectPr w:rsidR="00482BC7" w:rsidRPr="000C3A8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C83C8" w14:textId="77777777" w:rsidR="00091342" w:rsidRDefault="00091342" w:rsidP="00451FA4">
      <w:pPr>
        <w:spacing w:after="0" w:line="240" w:lineRule="auto"/>
      </w:pPr>
      <w:r>
        <w:separator/>
      </w:r>
    </w:p>
  </w:endnote>
  <w:endnote w:type="continuationSeparator" w:id="0">
    <w:p w14:paraId="64C621FC" w14:textId="77777777" w:rsidR="00091342" w:rsidRDefault="00091342" w:rsidP="0045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B0042" w14:textId="77777777" w:rsidR="00091342" w:rsidRDefault="00091342" w:rsidP="00451FA4">
      <w:pPr>
        <w:spacing w:after="0" w:line="240" w:lineRule="auto"/>
      </w:pPr>
      <w:r>
        <w:separator/>
      </w:r>
    </w:p>
  </w:footnote>
  <w:footnote w:type="continuationSeparator" w:id="0">
    <w:p w14:paraId="7B046E38" w14:textId="77777777" w:rsidR="00091342" w:rsidRDefault="00091342" w:rsidP="00451FA4">
      <w:pPr>
        <w:spacing w:after="0" w:line="240" w:lineRule="auto"/>
      </w:pPr>
      <w:r>
        <w:continuationSeparator/>
      </w:r>
    </w:p>
  </w:footnote>
  <w:footnote w:id="1">
    <w:p w14:paraId="51229108" w14:textId="049DA87B" w:rsidR="005E703C" w:rsidRDefault="005E703C" w:rsidP="005E703C">
      <w:pPr>
        <w:pStyle w:val="Textonotapie"/>
        <w:jc w:val="both"/>
      </w:pPr>
      <w:r>
        <w:rPr>
          <w:rStyle w:val="Refdenotaalpie"/>
        </w:rPr>
        <w:footnoteRef/>
      </w:r>
      <w:r>
        <w:t xml:space="preserve"> </w:t>
      </w:r>
      <w:r w:rsidRPr="005E703C">
        <w:rPr>
          <w:sz w:val="18"/>
        </w:rPr>
        <w:t>El artículo 32 de la Ley 1712 de 2014 establece que el diseño, promoción e implementación de la política pública de acceso a la información pública, está a cargo de la Secretaría de Transparencia de la Presidencia de la República, y de un grupo de 5 entidades del Gobierno Nacional, a saber: el Ministerio de Tecnologías de la Información y Comunicaciones, el Departamento Administrativo de la Función Pública (DAFP), el Departamento Nacional de Planeación (DNP), el Archivo General de la Nación y el Departamento Administrativo Nacional de Estadística (DANE).</w:t>
      </w:r>
    </w:p>
  </w:footnote>
  <w:footnote w:id="2">
    <w:p w14:paraId="5CAF5813" w14:textId="6EED992C" w:rsidR="00451FA4" w:rsidRDefault="00451FA4">
      <w:pPr>
        <w:pStyle w:val="Textonotapie"/>
      </w:pPr>
      <w:r>
        <w:rPr>
          <w:rStyle w:val="Refdenotaalpie"/>
        </w:rPr>
        <w:footnoteRef/>
      </w:r>
      <w:r>
        <w:t xml:space="preserve"> </w:t>
      </w:r>
      <w:r w:rsidR="00B408D2" w:rsidRPr="00B408D2">
        <w:t>La Red de Transparencia y Acceso a la Información Pública RTA es una red de intercambio entre organismos y/o entidades públicas que desarrollan supervisión en funciones en Transparencia y el Derecho de Acceso a la Información Pública.</w:t>
      </w:r>
    </w:p>
  </w:footnote>
  <w:footnote w:id="3">
    <w:p w14:paraId="795C0CAE" w14:textId="3C1A1C9B" w:rsidR="000C3A8C" w:rsidRDefault="000C3A8C">
      <w:pPr>
        <w:pStyle w:val="Textonotapie"/>
      </w:pPr>
      <w:r>
        <w:rPr>
          <w:rStyle w:val="Refdenotaalpie"/>
        </w:rPr>
        <w:footnoteRef/>
      </w:r>
      <w:r>
        <w:t xml:space="preserve"> Ver anexo 1. R</w:t>
      </w:r>
      <w:r w:rsidRPr="000C3A8C">
        <w:t>esultados de la medición por cada uno de los sectores de la administración pública de la rama ejecutiva del orden nacional.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69CB" w14:textId="77777777" w:rsidR="0015106E" w:rsidRDefault="0015106E" w:rsidP="0015106E">
    <w:pPr>
      <w:pStyle w:val="Encabezado"/>
      <w:jc w:val="righ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3522"/>
    </w:tblGrid>
    <w:tr w:rsidR="0015106E" w14:paraId="706E1B63" w14:textId="77777777" w:rsidTr="0015106E">
      <w:tc>
        <w:tcPr>
          <w:tcW w:w="4248" w:type="dxa"/>
        </w:tcPr>
        <w:p w14:paraId="42A58047" w14:textId="4D4E8650" w:rsidR="0015106E" w:rsidRDefault="0015106E" w:rsidP="0015106E">
          <w:pPr>
            <w:pStyle w:val="Encabezado"/>
            <w:jc w:val="right"/>
          </w:pPr>
          <w:r>
            <w:rPr>
              <w:rFonts w:ascii="Arial" w:hAnsi="Arial" w:cs="Arial"/>
              <w:b/>
              <w:bCs/>
              <w:noProof/>
              <w:color w:val="222222"/>
              <w:lang w:eastAsia="es-CO"/>
            </w:rPr>
            <w:drawing>
              <wp:anchor distT="0" distB="0" distL="114300" distR="114300" simplePos="0" relativeHeight="251659264" behindDoc="0" locked="0" layoutInCell="1" allowOverlap="1" wp14:anchorId="58839828" wp14:editId="7FF9F697">
                <wp:simplePos x="0" y="0"/>
                <wp:positionH relativeFrom="margin">
                  <wp:posOffset>-23602</wp:posOffset>
                </wp:positionH>
                <wp:positionV relativeFrom="margin">
                  <wp:posOffset>100798</wp:posOffset>
                </wp:positionV>
                <wp:extent cx="3238500" cy="490855"/>
                <wp:effectExtent l="0" t="0" r="0" b="4445"/>
                <wp:wrapSquare wrapText="bothSides"/>
                <wp:docPr id="2" name="ctl00_MyEscudo" descr="Presidencia de la República de Colombi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yEscudo" descr="Presidencia de la República de Colombia">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38500" cy="490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80" w:type="dxa"/>
        </w:tcPr>
        <w:p w14:paraId="061C9851" w14:textId="3FE5D54A" w:rsidR="0015106E" w:rsidRPr="0015106E" w:rsidRDefault="0015106E" w:rsidP="0015106E">
          <w:pPr>
            <w:pStyle w:val="Encabezado"/>
            <w:jc w:val="right"/>
            <w:rPr>
              <w:i/>
              <w:sz w:val="18"/>
            </w:rPr>
          </w:pPr>
          <w:r w:rsidRPr="0015106E">
            <w:rPr>
              <w:i/>
              <w:sz w:val="18"/>
            </w:rPr>
            <w:t>Grupo de trabajo</w:t>
          </w:r>
          <w:r w:rsidRPr="0015106E">
            <w:rPr>
              <w:i/>
              <w:sz w:val="18"/>
            </w:rPr>
            <w:t>:</w:t>
          </w:r>
          <w:r w:rsidRPr="0015106E">
            <w:rPr>
              <w:i/>
              <w:sz w:val="18"/>
            </w:rPr>
            <w:t xml:space="preserve"> Derecho de acceso a la información pública</w:t>
          </w:r>
        </w:p>
        <w:p w14:paraId="120C1C8B" w14:textId="77777777" w:rsidR="0015106E" w:rsidRPr="0015106E" w:rsidRDefault="0015106E" w:rsidP="0015106E">
          <w:pPr>
            <w:pStyle w:val="Encabezado"/>
            <w:jc w:val="right"/>
            <w:rPr>
              <w:i/>
              <w:sz w:val="18"/>
            </w:rPr>
          </w:pPr>
          <w:r w:rsidRPr="0015106E">
            <w:rPr>
              <w:i/>
              <w:sz w:val="18"/>
            </w:rPr>
            <w:t>Informe elaborado por: Equipo LTAIP</w:t>
          </w:r>
        </w:p>
        <w:p w14:paraId="75AFAE0D" w14:textId="77777777" w:rsidR="0015106E" w:rsidRPr="0015106E" w:rsidRDefault="0015106E" w:rsidP="0015106E">
          <w:pPr>
            <w:pStyle w:val="Encabezado"/>
            <w:jc w:val="right"/>
            <w:rPr>
              <w:i/>
              <w:sz w:val="18"/>
            </w:rPr>
          </w:pPr>
          <w:r w:rsidRPr="0015106E">
            <w:rPr>
              <w:i/>
              <w:sz w:val="18"/>
            </w:rPr>
            <w:t>Fecha: 28 de Agosto de 2015</w:t>
          </w:r>
        </w:p>
        <w:p w14:paraId="6236EEA5" w14:textId="6FB51358" w:rsidR="0015106E" w:rsidRDefault="0015106E" w:rsidP="0015106E">
          <w:pPr>
            <w:pStyle w:val="Encabezado"/>
            <w:jc w:val="right"/>
          </w:pPr>
          <w:r w:rsidRPr="0015106E">
            <w:rPr>
              <w:i/>
              <w:sz w:val="18"/>
            </w:rPr>
            <w:t>Responsable: Ana Paulina Sabbagh</w:t>
          </w:r>
        </w:p>
      </w:tc>
    </w:tr>
  </w:tbl>
  <w:p w14:paraId="67FD4B20" w14:textId="29859E74" w:rsidR="0015106E" w:rsidRDefault="0015106E" w:rsidP="0015106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4141"/>
    <w:multiLevelType w:val="hybridMultilevel"/>
    <w:tmpl w:val="3A6A4D4E"/>
    <w:lvl w:ilvl="0" w:tplc="1B48F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18324F"/>
    <w:multiLevelType w:val="hybridMultilevel"/>
    <w:tmpl w:val="81D2C1E6"/>
    <w:lvl w:ilvl="0" w:tplc="1B48F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5A591F"/>
    <w:multiLevelType w:val="multilevel"/>
    <w:tmpl w:val="26CEF176"/>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3" w15:restartNumberingAfterBreak="0">
    <w:nsid w:val="21B422E9"/>
    <w:multiLevelType w:val="hybridMultilevel"/>
    <w:tmpl w:val="649C41B6"/>
    <w:lvl w:ilvl="0" w:tplc="8E0CCE0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4825E0"/>
    <w:multiLevelType w:val="hybridMultilevel"/>
    <w:tmpl w:val="92D22210"/>
    <w:lvl w:ilvl="0" w:tplc="8E0CCE02">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DD441A"/>
    <w:multiLevelType w:val="hybridMultilevel"/>
    <w:tmpl w:val="A2062A3E"/>
    <w:lvl w:ilvl="0" w:tplc="1B48F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1078F0"/>
    <w:multiLevelType w:val="hybridMultilevel"/>
    <w:tmpl w:val="B016BF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47CC15D1"/>
    <w:multiLevelType w:val="hybridMultilevel"/>
    <w:tmpl w:val="95624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2677D0"/>
    <w:multiLevelType w:val="hybridMultilevel"/>
    <w:tmpl w:val="63287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45370F"/>
    <w:multiLevelType w:val="hybridMultilevel"/>
    <w:tmpl w:val="E586D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42973E6"/>
    <w:multiLevelType w:val="multilevel"/>
    <w:tmpl w:val="240A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1220D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02E18"/>
    <w:multiLevelType w:val="multilevel"/>
    <w:tmpl w:val="26CEF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C63B38"/>
    <w:multiLevelType w:val="multilevel"/>
    <w:tmpl w:val="26CEF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D707B3"/>
    <w:multiLevelType w:val="hybridMultilevel"/>
    <w:tmpl w:val="122ED1C8"/>
    <w:lvl w:ilvl="0" w:tplc="1B48F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043AFC"/>
    <w:multiLevelType w:val="hybridMultilevel"/>
    <w:tmpl w:val="20C22542"/>
    <w:lvl w:ilvl="0" w:tplc="1B48F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7"/>
  </w:num>
  <w:num w:numId="5">
    <w:abstractNumId w:val="12"/>
  </w:num>
  <w:num w:numId="6">
    <w:abstractNumId w:val="13"/>
  </w:num>
  <w:num w:numId="7">
    <w:abstractNumId w:val="9"/>
  </w:num>
  <w:num w:numId="8">
    <w:abstractNumId w:val="11"/>
  </w:num>
  <w:num w:numId="9">
    <w:abstractNumId w:val="2"/>
  </w:num>
  <w:num w:numId="10">
    <w:abstractNumId w:val="8"/>
  </w:num>
  <w:num w:numId="11">
    <w:abstractNumId w:val="14"/>
  </w:num>
  <w:num w:numId="12">
    <w:abstractNumId w:val="1"/>
  </w:num>
  <w:num w:numId="13">
    <w:abstractNumId w:val="5"/>
  </w:num>
  <w:num w:numId="14">
    <w:abstractNumId w:val="15"/>
  </w:num>
  <w:num w:numId="15">
    <w:abstractNumId w:val="0"/>
  </w:num>
  <w:num w:numId="16">
    <w:abstractNumId w:val="8"/>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78"/>
    <w:rsid w:val="000222FF"/>
    <w:rsid w:val="00091342"/>
    <w:rsid w:val="000B67A4"/>
    <w:rsid w:val="000C3A8C"/>
    <w:rsid w:val="000E54A5"/>
    <w:rsid w:val="000F244F"/>
    <w:rsid w:val="000F5BAE"/>
    <w:rsid w:val="0015106E"/>
    <w:rsid w:val="00163E5A"/>
    <w:rsid w:val="0019134B"/>
    <w:rsid w:val="00193779"/>
    <w:rsid w:val="0020669C"/>
    <w:rsid w:val="0023198A"/>
    <w:rsid w:val="002E1AA5"/>
    <w:rsid w:val="002F7AC6"/>
    <w:rsid w:val="00320E29"/>
    <w:rsid w:val="00387A23"/>
    <w:rsid w:val="003C6F71"/>
    <w:rsid w:val="00434D4F"/>
    <w:rsid w:val="00440023"/>
    <w:rsid w:val="00451FA4"/>
    <w:rsid w:val="00482BC7"/>
    <w:rsid w:val="004916DC"/>
    <w:rsid w:val="00574E98"/>
    <w:rsid w:val="00575AE2"/>
    <w:rsid w:val="005940DA"/>
    <w:rsid w:val="005A7EE2"/>
    <w:rsid w:val="005B663F"/>
    <w:rsid w:val="005E6978"/>
    <w:rsid w:val="005E703C"/>
    <w:rsid w:val="006B4B44"/>
    <w:rsid w:val="006C1FCB"/>
    <w:rsid w:val="0071102B"/>
    <w:rsid w:val="00726166"/>
    <w:rsid w:val="007544D2"/>
    <w:rsid w:val="00876371"/>
    <w:rsid w:val="0089478A"/>
    <w:rsid w:val="008D4BFF"/>
    <w:rsid w:val="008E1A79"/>
    <w:rsid w:val="008F4DFE"/>
    <w:rsid w:val="008F53E4"/>
    <w:rsid w:val="00990DA1"/>
    <w:rsid w:val="009E4D35"/>
    <w:rsid w:val="00A22BBB"/>
    <w:rsid w:val="00A626C4"/>
    <w:rsid w:val="00A665C1"/>
    <w:rsid w:val="00A85BEB"/>
    <w:rsid w:val="00AC1FFA"/>
    <w:rsid w:val="00AD5F68"/>
    <w:rsid w:val="00B1534E"/>
    <w:rsid w:val="00B17654"/>
    <w:rsid w:val="00B257DB"/>
    <w:rsid w:val="00B408D2"/>
    <w:rsid w:val="00C055D3"/>
    <w:rsid w:val="00C32351"/>
    <w:rsid w:val="00C45611"/>
    <w:rsid w:val="00CA1C5A"/>
    <w:rsid w:val="00D008B5"/>
    <w:rsid w:val="00D12FC3"/>
    <w:rsid w:val="00D22C29"/>
    <w:rsid w:val="00D9185E"/>
    <w:rsid w:val="00DA77E9"/>
    <w:rsid w:val="00DE0E89"/>
    <w:rsid w:val="00E1220C"/>
    <w:rsid w:val="00E75A28"/>
    <w:rsid w:val="00E85F5B"/>
    <w:rsid w:val="00F07AE0"/>
    <w:rsid w:val="00F22111"/>
    <w:rsid w:val="00FB772E"/>
    <w:rsid w:val="00FE72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E4C3"/>
  <w15:docId w15:val="{931996C5-12BE-4708-A45D-1F8DE88E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9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78"/>
    <w:rPr>
      <w:rFonts w:ascii="Tahoma" w:hAnsi="Tahoma" w:cs="Tahoma"/>
      <w:sz w:val="16"/>
      <w:szCs w:val="16"/>
    </w:rPr>
  </w:style>
  <w:style w:type="paragraph" w:styleId="Prrafodelista">
    <w:name w:val="List Paragraph"/>
    <w:basedOn w:val="Normal"/>
    <w:uiPriority w:val="34"/>
    <w:qFormat/>
    <w:rsid w:val="00AC1FFA"/>
    <w:pPr>
      <w:ind w:left="720"/>
      <w:contextualSpacing/>
    </w:pPr>
  </w:style>
  <w:style w:type="character" w:styleId="Hipervnculo">
    <w:name w:val="Hyperlink"/>
    <w:basedOn w:val="Fuentedeprrafopredeter"/>
    <w:uiPriority w:val="99"/>
    <w:unhideWhenUsed/>
    <w:rsid w:val="00A85BEB"/>
    <w:rPr>
      <w:color w:val="0000FF" w:themeColor="hyperlink"/>
      <w:u w:val="single"/>
    </w:rPr>
  </w:style>
  <w:style w:type="table" w:styleId="Tablaconcuadrcula">
    <w:name w:val="Table Grid"/>
    <w:basedOn w:val="Tablanormal"/>
    <w:uiPriority w:val="59"/>
    <w:rsid w:val="003C6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22C29"/>
    <w:rPr>
      <w:sz w:val="16"/>
      <w:szCs w:val="16"/>
    </w:rPr>
  </w:style>
  <w:style w:type="paragraph" w:styleId="Textocomentario">
    <w:name w:val="annotation text"/>
    <w:basedOn w:val="Normal"/>
    <w:link w:val="TextocomentarioCar"/>
    <w:uiPriority w:val="99"/>
    <w:semiHidden/>
    <w:unhideWhenUsed/>
    <w:rsid w:val="00D22C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2C29"/>
    <w:rPr>
      <w:sz w:val="20"/>
      <w:szCs w:val="20"/>
    </w:rPr>
  </w:style>
  <w:style w:type="paragraph" w:styleId="Asuntodelcomentario">
    <w:name w:val="annotation subject"/>
    <w:basedOn w:val="Textocomentario"/>
    <w:next w:val="Textocomentario"/>
    <w:link w:val="AsuntodelcomentarioCar"/>
    <w:uiPriority w:val="99"/>
    <w:semiHidden/>
    <w:unhideWhenUsed/>
    <w:rsid w:val="00D22C29"/>
    <w:rPr>
      <w:b/>
      <w:bCs/>
    </w:rPr>
  </w:style>
  <w:style w:type="character" w:customStyle="1" w:styleId="AsuntodelcomentarioCar">
    <w:name w:val="Asunto del comentario Car"/>
    <w:basedOn w:val="TextocomentarioCar"/>
    <w:link w:val="Asuntodelcomentario"/>
    <w:uiPriority w:val="99"/>
    <w:semiHidden/>
    <w:rsid w:val="00D22C29"/>
    <w:rPr>
      <w:b/>
      <w:bCs/>
      <w:sz w:val="20"/>
      <w:szCs w:val="20"/>
    </w:rPr>
  </w:style>
  <w:style w:type="paragraph" w:customStyle="1" w:styleId="Default">
    <w:name w:val="Default"/>
    <w:rsid w:val="000222FF"/>
    <w:pPr>
      <w:autoSpaceDE w:val="0"/>
      <w:autoSpaceDN w:val="0"/>
      <w:adjustRightInd w:val="0"/>
      <w:spacing w:after="0" w:line="240" w:lineRule="auto"/>
    </w:pPr>
    <w:rPr>
      <w:rFonts w:ascii="Symbol" w:hAnsi="Symbol" w:cs="Symbol"/>
      <w:color w:val="000000"/>
      <w:sz w:val="24"/>
      <w:szCs w:val="24"/>
    </w:rPr>
  </w:style>
  <w:style w:type="paragraph" w:styleId="Textonotapie">
    <w:name w:val="footnote text"/>
    <w:basedOn w:val="Normal"/>
    <w:link w:val="TextonotapieCar"/>
    <w:uiPriority w:val="99"/>
    <w:semiHidden/>
    <w:unhideWhenUsed/>
    <w:rsid w:val="00451F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1FA4"/>
    <w:rPr>
      <w:sz w:val="20"/>
      <w:szCs w:val="20"/>
    </w:rPr>
  </w:style>
  <w:style w:type="character" w:styleId="Refdenotaalpie">
    <w:name w:val="footnote reference"/>
    <w:basedOn w:val="Fuentedeprrafopredeter"/>
    <w:uiPriority w:val="99"/>
    <w:semiHidden/>
    <w:unhideWhenUsed/>
    <w:rsid w:val="00451FA4"/>
    <w:rPr>
      <w:vertAlign w:val="superscript"/>
    </w:rPr>
  </w:style>
  <w:style w:type="paragraph" w:styleId="Encabezado">
    <w:name w:val="header"/>
    <w:basedOn w:val="Normal"/>
    <w:link w:val="EncabezadoCar"/>
    <w:uiPriority w:val="99"/>
    <w:unhideWhenUsed/>
    <w:rsid w:val="001510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06E"/>
  </w:style>
  <w:style w:type="paragraph" w:styleId="Piedepgina">
    <w:name w:val="footer"/>
    <w:basedOn w:val="Normal"/>
    <w:link w:val="PiedepginaCar"/>
    <w:uiPriority w:val="99"/>
    <w:unhideWhenUsed/>
    <w:rsid w:val="001510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06E"/>
  </w:style>
  <w:style w:type="character" w:styleId="Textoennegrita">
    <w:name w:val="Strong"/>
    <w:basedOn w:val="Fuentedeprrafopredeter"/>
    <w:uiPriority w:val="22"/>
    <w:qFormat/>
    <w:rsid w:val="000E5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5480">
      <w:bodyDiv w:val="1"/>
      <w:marLeft w:val="0"/>
      <w:marRight w:val="0"/>
      <w:marTop w:val="0"/>
      <w:marBottom w:val="0"/>
      <w:divBdr>
        <w:top w:val="none" w:sz="0" w:space="0" w:color="auto"/>
        <w:left w:val="none" w:sz="0" w:space="0" w:color="auto"/>
        <w:bottom w:val="none" w:sz="0" w:space="0" w:color="auto"/>
        <w:right w:val="none" w:sz="0" w:space="0" w:color="auto"/>
      </w:divBdr>
    </w:div>
    <w:div w:id="138498747">
      <w:bodyDiv w:val="1"/>
      <w:marLeft w:val="0"/>
      <w:marRight w:val="0"/>
      <w:marTop w:val="0"/>
      <w:marBottom w:val="0"/>
      <w:divBdr>
        <w:top w:val="none" w:sz="0" w:space="0" w:color="auto"/>
        <w:left w:val="none" w:sz="0" w:space="0" w:color="auto"/>
        <w:bottom w:val="none" w:sz="0" w:space="0" w:color="auto"/>
        <w:right w:val="none" w:sz="0" w:space="0" w:color="auto"/>
      </w:divBdr>
    </w:div>
    <w:div w:id="203060680">
      <w:bodyDiv w:val="1"/>
      <w:marLeft w:val="0"/>
      <w:marRight w:val="0"/>
      <w:marTop w:val="0"/>
      <w:marBottom w:val="0"/>
      <w:divBdr>
        <w:top w:val="none" w:sz="0" w:space="0" w:color="auto"/>
        <w:left w:val="none" w:sz="0" w:space="0" w:color="auto"/>
        <w:bottom w:val="none" w:sz="0" w:space="0" w:color="auto"/>
        <w:right w:val="none" w:sz="0" w:space="0" w:color="auto"/>
      </w:divBdr>
    </w:div>
    <w:div w:id="380903604">
      <w:bodyDiv w:val="1"/>
      <w:marLeft w:val="0"/>
      <w:marRight w:val="0"/>
      <w:marTop w:val="0"/>
      <w:marBottom w:val="0"/>
      <w:divBdr>
        <w:top w:val="none" w:sz="0" w:space="0" w:color="auto"/>
        <w:left w:val="none" w:sz="0" w:space="0" w:color="auto"/>
        <w:bottom w:val="none" w:sz="0" w:space="0" w:color="auto"/>
        <w:right w:val="none" w:sz="0" w:space="0" w:color="auto"/>
      </w:divBdr>
    </w:div>
    <w:div w:id="388725315">
      <w:bodyDiv w:val="1"/>
      <w:marLeft w:val="0"/>
      <w:marRight w:val="0"/>
      <w:marTop w:val="0"/>
      <w:marBottom w:val="0"/>
      <w:divBdr>
        <w:top w:val="none" w:sz="0" w:space="0" w:color="auto"/>
        <w:left w:val="none" w:sz="0" w:space="0" w:color="auto"/>
        <w:bottom w:val="none" w:sz="0" w:space="0" w:color="auto"/>
        <w:right w:val="none" w:sz="0" w:space="0" w:color="auto"/>
      </w:divBdr>
    </w:div>
    <w:div w:id="538863851">
      <w:bodyDiv w:val="1"/>
      <w:marLeft w:val="0"/>
      <w:marRight w:val="0"/>
      <w:marTop w:val="0"/>
      <w:marBottom w:val="0"/>
      <w:divBdr>
        <w:top w:val="none" w:sz="0" w:space="0" w:color="auto"/>
        <w:left w:val="none" w:sz="0" w:space="0" w:color="auto"/>
        <w:bottom w:val="none" w:sz="0" w:space="0" w:color="auto"/>
        <w:right w:val="none" w:sz="0" w:space="0" w:color="auto"/>
      </w:divBdr>
    </w:div>
    <w:div w:id="681666729">
      <w:bodyDiv w:val="1"/>
      <w:marLeft w:val="0"/>
      <w:marRight w:val="0"/>
      <w:marTop w:val="0"/>
      <w:marBottom w:val="0"/>
      <w:divBdr>
        <w:top w:val="none" w:sz="0" w:space="0" w:color="auto"/>
        <w:left w:val="none" w:sz="0" w:space="0" w:color="auto"/>
        <w:bottom w:val="none" w:sz="0" w:space="0" w:color="auto"/>
        <w:right w:val="none" w:sz="0" w:space="0" w:color="auto"/>
      </w:divBdr>
    </w:div>
    <w:div w:id="1096092612">
      <w:bodyDiv w:val="1"/>
      <w:marLeft w:val="0"/>
      <w:marRight w:val="0"/>
      <w:marTop w:val="0"/>
      <w:marBottom w:val="0"/>
      <w:divBdr>
        <w:top w:val="none" w:sz="0" w:space="0" w:color="auto"/>
        <w:left w:val="none" w:sz="0" w:space="0" w:color="auto"/>
        <w:bottom w:val="none" w:sz="0" w:space="0" w:color="auto"/>
        <w:right w:val="none" w:sz="0" w:space="0" w:color="auto"/>
      </w:divBdr>
    </w:div>
    <w:div w:id="1132290798">
      <w:bodyDiv w:val="1"/>
      <w:marLeft w:val="0"/>
      <w:marRight w:val="0"/>
      <w:marTop w:val="0"/>
      <w:marBottom w:val="0"/>
      <w:divBdr>
        <w:top w:val="none" w:sz="0" w:space="0" w:color="auto"/>
        <w:left w:val="none" w:sz="0" w:space="0" w:color="auto"/>
        <w:bottom w:val="none" w:sz="0" w:space="0" w:color="auto"/>
        <w:right w:val="none" w:sz="0" w:space="0" w:color="auto"/>
      </w:divBdr>
    </w:div>
    <w:div w:id="1281376948">
      <w:bodyDiv w:val="1"/>
      <w:marLeft w:val="0"/>
      <w:marRight w:val="0"/>
      <w:marTop w:val="0"/>
      <w:marBottom w:val="0"/>
      <w:divBdr>
        <w:top w:val="none" w:sz="0" w:space="0" w:color="auto"/>
        <w:left w:val="none" w:sz="0" w:space="0" w:color="auto"/>
        <w:bottom w:val="none" w:sz="0" w:space="0" w:color="auto"/>
        <w:right w:val="none" w:sz="0" w:space="0" w:color="auto"/>
      </w:divBdr>
    </w:div>
    <w:div w:id="1542088929">
      <w:bodyDiv w:val="1"/>
      <w:marLeft w:val="0"/>
      <w:marRight w:val="0"/>
      <w:marTop w:val="0"/>
      <w:marBottom w:val="0"/>
      <w:divBdr>
        <w:top w:val="none" w:sz="0" w:space="0" w:color="auto"/>
        <w:left w:val="none" w:sz="0" w:space="0" w:color="auto"/>
        <w:bottom w:val="none" w:sz="0" w:space="0" w:color="auto"/>
        <w:right w:val="none" w:sz="0" w:space="0" w:color="auto"/>
      </w:divBdr>
      <w:divsChild>
        <w:div w:id="177693560">
          <w:marLeft w:val="0"/>
          <w:marRight w:val="0"/>
          <w:marTop w:val="0"/>
          <w:marBottom w:val="0"/>
          <w:divBdr>
            <w:top w:val="none" w:sz="0" w:space="0" w:color="auto"/>
            <w:left w:val="none" w:sz="0" w:space="0" w:color="auto"/>
            <w:bottom w:val="none" w:sz="0" w:space="0" w:color="auto"/>
            <w:right w:val="none" w:sz="0" w:space="0" w:color="auto"/>
          </w:divBdr>
          <w:divsChild>
            <w:div w:id="1867405855">
              <w:marLeft w:val="0"/>
              <w:marRight w:val="0"/>
              <w:marTop w:val="0"/>
              <w:marBottom w:val="0"/>
              <w:divBdr>
                <w:top w:val="none" w:sz="0" w:space="0" w:color="auto"/>
                <w:left w:val="none" w:sz="0" w:space="0" w:color="auto"/>
                <w:bottom w:val="none" w:sz="0" w:space="0" w:color="auto"/>
                <w:right w:val="none" w:sz="0" w:space="0" w:color="auto"/>
              </w:divBdr>
            </w:div>
          </w:divsChild>
        </w:div>
        <w:div w:id="470828559">
          <w:marLeft w:val="0"/>
          <w:marRight w:val="0"/>
          <w:marTop w:val="0"/>
          <w:marBottom w:val="0"/>
          <w:divBdr>
            <w:top w:val="none" w:sz="0" w:space="0" w:color="auto"/>
            <w:left w:val="none" w:sz="0" w:space="0" w:color="auto"/>
            <w:bottom w:val="none" w:sz="0" w:space="0" w:color="auto"/>
            <w:right w:val="none" w:sz="0" w:space="0" w:color="auto"/>
          </w:divBdr>
          <w:divsChild>
            <w:div w:id="423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96">
      <w:bodyDiv w:val="1"/>
      <w:marLeft w:val="0"/>
      <w:marRight w:val="0"/>
      <w:marTop w:val="0"/>
      <w:marBottom w:val="0"/>
      <w:divBdr>
        <w:top w:val="none" w:sz="0" w:space="0" w:color="auto"/>
        <w:left w:val="none" w:sz="0" w:space="0" w:color="auto"/>
        <w:bottom w:val="none" w:sz="0" w:space="0" w:color="auto"/>
        <w:right w:val="none" w:sz="0" w:space="0" w:color="auto"/>
      </w:divBdr>
      <w:divsChild>
        <w:div w:id="615064746">
          <w:marLeft w:val="0"/>
          <w:marRight w:val="0"/>
          <w:marTop w:val="0"/>
          <w:marBottom w:val="0"/>
          <w:divBdr>
            <w:top w:val="none" w:sz="0" w:space="0" w:color="auto"/>
            <w:left w:val="none" w:sz="0" w:space="0" w:color="auto"/>
            <w:bottom w:val="none" w:sz="0" w:space="0" w:color="auto"/>
            <w:right w:val="none" w:sz="0" w:space="0" w:color="auto"/>
          </w:divBdr>
        </w:div>
        <w:div w:id="563413752">
          <w:marLeft w:val="0"/>
          <w:marRight w:val="0"/>
          <w:marTop w:val="0"/>
          <w:marBottom w:val="0"/>
          <w:divBdr>
            <w:top w:val="none" w:sz="0" w:space="0" w:color="auto"/>
            <w:left w:val="none" w:sz="0" w:space="0" w:color="auto"/>
            <w:bottom w:val="none" w:sz="0" w:space="0" w:color="auto"/>
            <w:right w:val="none" w:sz="0" w:space="0" w:color="auto"/>
          </w:divBdr>
        </w:div>
      </w:divsChild>
    </w:div>
    <w:div w:id="1825006218">
      <w:bodyDiv w:val="1"/>
      <w:marLeft w:val="0"/>
      <w:marRight w:val="0"/>
      <w:marTop w:val="0"/>
      <w:marBottom w:val="0"/>
      <w:divBdr>
        <w:top w:val="none" w:sz="0" w:space="0" w:color="auto"/>
        <w:left w:val="none" w:sz="0" w:space="0" w:color="auto"/>
        <w:bottom w:val="none" w:sz="0" w:space="0" w:color="auto"/>
        <w:right w:val="none" w:sz="0" w:space="0" w:color="auto"/>
      </w:divBdr>
    </w:div>
    <w:div w:id="19138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astaneda@procuraduria.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angelarodriguez@nimd.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p.presidencia.gov.c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latin typeface="Arial Narrow" panose="020B0606020202030204" pitchFamily="34" charset="0"/>
              </a:defRPr>
            </a:pPr>
            <a:r>
              <a:rPr lang="es-CO" sz="1100" b="1">
                <a:effectLst/>
                <a:latin typeface="Arial Narrow" panose="020B0606020202030204" pitchFamily="34" charset="0"/>
              </a:rPr>
              <a:t>RESULTADOS 2014 TRANSPARENCIA Y ACCESO A LA INFORMACIÓN PÚBLICA</a:t>
            </a:r>
            <a:endParaRPr lang="es-CO" sz="1400">
              <a:effectLst/>
              <a:latin typeface="Arial Narrow" panose="020B0606020202030204" pitchFamily="34" charset="0"/>
            </a:endParaRPr>
          </a:p>
        </c:rich>
      </c:tx>
      <c:overlay val="0"/>
    </c:title>
    <c:autoTitleDeleted val="0"/>
    <c:plotArea>
      <c:layout/>
      <c:barChart>
        <c:barDir val="col"/>
        <c:grouping val="clustered"/>
        <c:varyColors val="0"/>
        <c:ser>
          <c:idx val="0"/>
          <c:order val="0"/>
          <c:tx>
            <c:strRef>
              <c:f>Hoja7!$B$1</c:f>
              <c:strCache>
                <c:ptCount val="1"/>
                <c:pt idx="0">
                  <c:v>Transparencia y Acceso a la Información Pública</c:v>
                </c:pt>
              </c:strCache>
            </c:strRef>
          </c:tx>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9"/>
            <c:invertIfNegative val="0"/>
            <c:bubble3D val="0"/>
          </c:dPt>
          <c:dPt>
            <c:idx val="11"/>
            <c:invertIfNegative val="0"/>
            <c:bubble3D val="0"/>
          </c:dPt>
          <c:dPt>
            <c:idx val="12"/>
            <c:invertIfNegative val="0"/>
            <c:bubble3D val="0"/>
          </c:dPt>
          <c:dPt>
            <c:idx val="13"/>
            <c:invertIfNegative val="0"/>
            <c:bubble3D val="0"/>
          </c:dPt>
          <c:dPt>
            <c:idx val="14"/>
            <c:invertIfNegative val="0"/>
            <c:bubble3D val="0"/>
          </c:dPt>
          <c:dPt>
            <c:idx val="15"/>
            <c:invertIfNegative val="0"/>
            <c:bubble3D val="0"/>
          </c:dPt>
          <c:dPt>
            <c:idx val="16"/>
            <c:invertIfNegative val="0"/>
            <c:bubble3D val="0"/>
          </c:dPt>
          <c:dPt>
            <c:idx val="17"/>
            <c:invertIfNegative val="0"/>
            <c:bubble3D val="0"/>
          </c:dPt>
          <c:dPt>
            <c:idx val="18"/>
            <c:invertIfNegative val="0"/>
            <c:bubble3D val="0"/>
          </c:dPt>
          <c:dPt>
            <c:idx val="20"/>
            <c:invertIfNegative val="0"/>
            <c:bubble3D val="0"/>
          </c:dPt>
          <c:dPt>
            <c:idx val="21"/>
            <c:invertIfNegative val="0"/>
            <c:bubble3D val="0"/>
          </c:dPt>
          <c:dPt>
            <c:idx val="22"/>
            <c:invertIfNegative val="0"/>
            <c:bubble3D val="0"/>
          </c:dPt>
          <c:dPt>
            <c:idx val="23"/>
            <c:invertIfNegative val="0"/>
            <c:bubble3D val="0"/>
          </c:dPt>
          <c:dLbls>
            <c:spPr>
              <a:noFill/>
              <a:ln>
                <a:noFill/>
              </a:ln>
              <a:effectLst/>
            </c:spPr>
            <c:txPr>
              <a:bodyPr/>
              <a:lstStyle/>
              <a:p>
                <a:pPr>
                  <a:defRPr sz="700"/>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Hoja7!$A$2:$A$25</c:f>
              <c:strCache>
                <c:ptCount val="24"/>
                <c:pt idx="0">
                  <c:v>Ambiente y Desarrollo Sostenible</c:v>
                </c:pt>
                <c:pt idx="1">
                  <c:v>Interior</c:v>
                </c:pt>
                <c:pt idx="2">
                  <c:v>Agricultura y Desarrollo Rural</c:v>
                </c:pt>
                <c:pt idx="3">
                  <c:v>Inteligencia Estratégica y Contrainteligencia</c:v>
                </c:pt>
                <c:pt idx="4">
                  <c:v>Transporte</c:v>
                </c:pt>
                <c:pt idx="5">
                  <c:v>Ciencia, Tecnología e innovación</c:v>
                </c:pt>
                <c:pt idx="6">
                  <c:v>Inclusión Social y Reconciliación</c:v>
                </c:pt>
                <c:pt idx="7">
                  <c:v>Educación</c:v>
                </c:pt>
                <c:pt idx="8">
                  <c:v>Trabajo</c:v>
                </c:pt>
                <c:pt idx="9">
                  <c:v>Deporte, la Recreación, la Actividad Física…</c:v>
                </c:pt>
                <c:pt idx="10">
                  <c:v>Hacienda y Crédito Público</c:v>
                </c:pt>
                <c:pt idx="11">
                  <c:v>Tecnologías de la Información y las Comunicaciones</c:v>
                </c:pt>
                <c:pt idx="12">
                  <c:v>Comercio, Industria y Turismo</c:v>
                </c:pt>
                <c:pt idx="13">
                  <c:v>Vivienda Ciudad y Territorio</c:v>
                </c:pt>
                <c:pt idx="14">
                  <c:v>Presidencia de la República</c:v>
                </c:pt>
                <c:pt idx="15">
                  <c:v>Minas y Energía</c:v>
                </c:pt>
                <c:pt idx="16">
                  <c:v>Justicia y del Derecho</c:v>
                </c:pt>
                <c:pt idx="17">
                  <c:v>Cultura</c:v>
                </c:pt>
                <c:pt idx="18">
                  <c:v>Salud y Protección Social</c:v>
                </c:pt>
                <c:pt idx="19">
                  <c:v>Defensa</c:v>
                </c:pt>
                <c:pt idx="20">
                  <c:v>Función Pública</c:v>
                </c:pt>
                <c:pt idx="21">
                  <c:v>Estadísticas</c:v>
                </c:pt>
                <c:pt idx="22">
                  <c:v>Planeación</c:v>
                </c:pt>
                <c:pt idx="23">
                  <c:v>Relaciones Exteriores</c:v>
                </c:pt>
              </c:strCache>
            </c:strRef>
          </c:cat>
          <c:val>
            <c:numRef>
              <c:f>Hoja7!$B$2:$B$25</c:f>
              <c:numCache>
                <c:formatCode>0.0</c:formatCode>
                <c:ptCount val="24"/>
                <c:pt idx="0">
                  <c:v>45.028778550050205</c:v>
                </c:pt>
                <c:pt idx="1">
                  <c:v>59.138472197048003</c:v>
                </c:pt>
                <c:pt idx="2">
                  <c:v>61.696281140572658</c:v>
                </c:pt>
                <c:pt idx="3">
                  <c:v>62.563488636363637</c:v>
                </c:pt>
                <c:pt idx="4">
                  <c:v>63.21027456424779</c:v>
                </c:pt>
                <c:pt idx="5">
                  <c:v>63.595353535353539</c:v>
                </c:pt>
                <c:pt idx="6">
                  <c:v>65.557439089424165</c:v>
                </c:pt>
                <c:pt idx="7">
                  <c:v>65.799925685746956</c:v>
                </c:pt>
                <c:pt idx="8">
                  <c:v>66.559949878138397</c:v>
                </c:pt>
                <c:pt idx="9">
                  <c:v>68.574102108036897</c:v>
                </c:pt>
                <c:pt idx="10">
                  <c:v>69.599852607208078</c:v>
                </c:pt>
                <c:pt idx="11">
                  <c:v>69.852256798814679</c:v>
                </c:pt>
                <c:pt idx="12">
                  <c:v>70.640787075040592</c:v>
                </c:pt>
                <c:pt idx="13">
                  <c:v>70.992433422638427</c:v>
                </c:pt>
                <c:pt idx="14">
                  <c:v>71.603564770472673</c:v>
                </c:pt>
                <c:pt idx="15">
                  <c:v>73.165427331699703</c:v>
                </c:pt>
                <c:pt idx="16">
                  <c:v>73.805462396430045</c:v>
                </c:pt>
                <c:pt idx="17">
                  <c:v>74.145613421893685</c:v>
                </c:pt>
                <c:pt idx="18">
                  <c:v>75.206910335644523</c:v>
                </c:pt>
                <c:pt idx="19">
                  <c:v>78.246608142073143</c:v>
                </c:pt>
                <c:pt idx="20">
                  <c:v>78.679442749117328</c:v>
                </c:pt>
                <c:pt idx="21">
                  <c:v>78.970110062304144</c:v>
                </c:pt>
                <c:pt idx="22">
                  <c:v>83.00273986222571</c:v>
                </c:pt>
                <c:pt idx="23">
                  <c:v>87.868966300560203</c:v>
                </c:pt>
              </c:numCache>
            </c:numRef>
          </c:val>
        </c:ser>
        <c:dLbls>
          <c:dLblPos val="outEnd"/>
          <c:showLegendKey val="0"/>
          <c:showVal val="1"/>
          <c:showCatName val="0"/>
          <c:showSerName val="0"/>
          <c:showPercent val="0"/>
          <c:showBubbleSize val="0"/>
        </c:dLbls>
        <c:gapWidth val="150"/>
        <c:axId val="243016736"/>
        <c:axId val="243017856"/>
      </c:barChart>
      <c:catAx>
        <c:axId val="243016736"/>
        <c:scaling>
          <c:orientation val="minMax"/>
        </c:scaling>
        <c:delete val="0"/>
        <c:axPos val="b"/>
        <c:numFmt formatCode="General" sourceLinked="0"/>
        <c:majorTickMark val="out"/>
        <c:minorTickMark val="none"/>
        <c:tickLblPos val="nextTo"/>
        <c:txPr>
          <a:bodyPr/>
          <a:lstStyle/>
          <a:p>
            <a:pPr>
              <a:defRPr sz="900">
                <a:latin typeface="Arial Narrow" panose="020B0606020202030204" pitchFamily="34" charset="0"/>
              </a:defRPr>
            </a:pPr>
            <a:endParaRPr lang="es-CO"/>
          </a:p>
        </c:txPr>
        <c:crossAx val="243017856"/>
        <c:crosses val="autoZero"/>
        <c:auto val="1"/>
        <c:lblAlgn val="ctr"/>
        <c:lblOffset val="100"/>
        <c:noMultiLvlLbl val="0"/>
      </c:catAx>
      <c:valAx>
        <c:axId val="243017856"/>
        <c:scaling>
          <c:orientation val="minMax"/>
        </c:scaling>
        <c:delete val="0"/>
        <c:axPos val="l"/>
        <c:majorGridlines/>
        <c:numFmt formatCode="0.0" sourceLinked="1"/>
        <c:majorTickMark val="out"/>
        <c:minorTickMark val="none"/>
        <c:tickLblPos val="nextTo"/>
        <c:txPr>
          <a:bodyPr/>
          <a:lstStyle/>
          <a:p>
            <a:pPr>
              <a:defRPr sz="800"/>
            </a:pPr>
            <a:endParaRPr lang="es-CO"/>
          </a:p>
        </c:txPr>
        <c:crossAx val="243016736"/>
        <c:crosses val="autoZero"/>
        <c:crossBetween val="between"/>
      </c:valAx>
    </c:plotArea>
    <c:plotVisOnly val="1"/>
    <c:dispBlanksAs val="gap"/>
    <c:showDLblsOverMax val="0"/>
  </c:chart>
  <c:txPr>
    <a:bodyPr/>
    <a:lstStyle/>
    <a:p>
      <a:pPr>
        <a:defRPr sz="1800"/>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D8E3-CB9C-45AF-A2BD-8AB4971C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3743</Words>
  <Characters>20587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Andrés Muñoz Peña</dc:creator>
  <cp:lastModifiedBy>Ana Paulina Sabbagh Acevedo</cp:lastModifiedBy>
  <cp:revision>20</cp:revision>
  <dcterms:created xsi:type="dcterms:W3CDTF">2015-10-28T15:28:00Z</dcterms:created>
  <dcterms:modified xsi:type="dcterms:W3CDTF">2015-10-28T23:16:00Z</dcterms:modified>
</cp:coreProperties>
</file>