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Georgia" w:hAnsi="Georgia"/>
          <w:b/>
          <w:color w:val="1B365D"/>
          <w:sz w:val="48"/>
        </w:rPr>
        <w:t>Pairwise Sequence Alignment: Algorithmic Implementation, Validation, and Biological Application</w:t>
      </w:r>
    </w:p>
    <w:p>
      <w:pPr>
        <w:spacing w:after="480"/>
      </w:pPr>
      <w:r>
        <w:rPr>
          <w:rFonts w:ascii="Calibri" w:hAnsi="Calibri"/>
          <w:i/>
          <w:color w:val="555555"/>
          <w:sz w:val="21"/>
        </w:rPr>
        <w:t>A Bioinformatics Technical Report  |  Prepared by AI Coding Assistant  |  Date: June 3, 2026</w:t>
        <w:br/>
        <w:t>GitHub Repository: https://github.com/somulapranavi-web/pairwise_aligner.git</w:t>
      </w:r>
    </w:p>
    <w:p>
      <w:pPr>
        <w:spacing w:after="480"/>
        <w:pBdr>
          <w:bottom w:val="single" w:sz="12" w:space="1" w:color="1B365D"/>
        </w:pBdr>
      </w:pPr>
    </w:p>
    <w:p>
      <w:pPr>
        <w:keepNext/>
        <w:spacing w:before="360" w:after="120"/>
      </w:pPr>
      <w:r>
        <w:rPr>
          <w:rFonts w:ascii="Georgia" w:hAnsi="Georgia"/>
          <w:b/>
          <w:color w:val="1B365D"/>
          <w:sz w:val="32"/>
        </w:rPr>
        <w:t>1. Introduction</w:t>
      </w:r>
    </w:p>
    <w:p>
      <w:pPr>
        <w:spacing w:after="120" w:line="276" w:lineRule="auto"/>
      </w:pPr>
      <w:r>
        <w:rPr>
          <w:i w:val="0"/>
        </w:rPr>
        <w:t>Pairwise sequence alignment is one of the most fundamental operations in computational molecular biology. It provides the basis for database search tools (e.g., BLAST), genomic mapping, phylogenetic reconstruction, and functional prediction of newly sequenced genes and proteins. The primary objective is to align two nucleotide (DNA/RNA) or amino acid (protein) sequences to identify regions of similarity that may indicate functional, structural, or evolutionary relationships.</w:t>
      </w:r>
    </w:p>
    <w:p>
      <w:pPr>
        <w:spacing w:after="120" w:line="276" w:lineRule="auto"/>
      </w:pPr>
      <w:r>
        <w:rPr>
          <w:i w:val="0"/>
        </w:rPr>
        <w:t>This project implements the two classic paradigms of pairwise sequence alignment using dynamic programming:</w:t>
      </w:r>
    </w:p>
    <w:p>
      <w:pPr>
        <w:pStyle w:val="ListBullet"/>
        <w:spacing w:after="60" w:line="276" w:lineRule="auto"/>
      </w:pPr>
      <w:r>
        <w:rPr>
          <w:b/>
        </w:rPr>
        <w:t xml:space="preserve">Needleman-Wunsch Algorithm: </w:t>
      </w:r>
      <w:r>
        <w:t>Global Alignment (Needleman-Wunsch): Designed to align two sequences across their entire length. It is most suitable when the sequences are relatively similar in length and are suspected of sharing overall homology.</w:t>
      </w:r>
    </w:p>
    <w:p>
      <w:pPr>
        <w:pStyle w:val="ListBullet"/>
        <w:spacing w:after="60" w:line="276" w:lineRule="auto"/>
      </w:pPr>
      <w:r>
        <w:rPr>
          <w:b/>
        </w:rPr>
        <w:t xml:space="preserve">Smith-Waterman Algorithm: </w:t>
      </w:r>
      <w:r>
        <w:t>Local Alignment (Smith-Waterman): Designed to find the most similar local regions (sub-sequences) within two sequences, ignoring highly divergent flanking regions. It is highly sensitive and ideal for finding conserved domains, motifs, or aligning sequences of highly unequal lengths.</w:t>
      </w:r>
    </w:p>
    <w:p>
      <w:pPr>
        <w:keepNext/>
        <w:spacing w:before="360" w:after="120"/>
      </w:pPr>
      <w:r>
        <w:rPr>
          <w:rFonts w:ascii="Georgia" w:hAnsi="Georgia"/>
          <w:b/>
          <w:color w:val="1B365D"/>
          <w:sz w:val="32"/>
        </w:rPr>
        <w:t>2. Methodology</w:t>
      </w:r>
    </w:p>
    <w:p>
      <w:pPr>
        <w:spacing w:after="120" w:line="276" w:lineRule="auto"/>
      </w:pPr>
      <w:r>
        <w:rPr>
          <w:i w:val="0"/>
        </w:rPr>
        <w:t>Both algorithms solve the alignment problem by representing the scoring optimization as a dynamic programming matrix of size (M+1) x (N+1), where M and N are the lengths of the two sequences.</w:t>
      </w:r>
    </w:p>
    <w:p>
      <w:pPr>
        <w:keepNext/>
        <w:spacing w:before="240" w:after="80"/>
      </w:pPr>
      <w:r>
        <w:rPr>
          <w:rFonts w:ascii="Georgia" w:hAnsi="Georgia"/>
          <w:b/>
          <w:color w:val="5C768D"/>
          <w:sz w:val="26"/>
        </w:rPr>
        <w:t>2.1 Needleman-Wunsch (Global Alignment) Recurrence</w:t>
      </w:r>
    </w:p>
    <w:p>
      <w:pPr>
        <w:spacing w:after="120" w:line="276" w:lineRule="auto"/>
      </w:pPr>
      <w:r>
        <w:rPr>
          <w:i w:val="0"/>
        </w:rPr>
        <w:t>The dynamic programming cell S(i, j) represents the optimal alignment score between the prefix of sequence 1 of length i and the prefix of sequence 2 of length j. The matrix is initialized and filled as follows:</w:t>
      </w:r>
    </w:p>
    <w:p>
      <w:pPr>
        <w:pStyle w:val="ListBullet"/>
        <w:spacing w:after="60" w:line="276" w:lineRule="auto"/>
      </w:pPr>
      <w:r>
        <w:rPr>
          <w:b/>
        </w:rPr>
        <w:t xml:space="preserve">Initialization (First Row/Col): </w:t>
      </w:r>
      <w:r>
        <w:t>S(i, 0) = i * d (where d is the gap penalty)</w:t>
      </w:r>
    </w:p>
    <w:p>
      <w:pPr>
        <w:pStyle w:val="ListBullet"/>
        <w:spacing w:after="60" w:line="276" w:lineRule="auto"/>
      </w:pPr>
      <w:r>
        <w:t>S(0, j) = j * d</w:t>
      </w:r>
    </w:p>
    <w:p>
      <w:pPr>
        <w:pStyle w:val="ListBullet"/>
        <w:spacing w:after="60" w:line="276" w:lineRule="auto"/>
      </w:pPr>
      <w:r>
        <w:rPr>
          <w:b/>
        </w:rPr>
        <w:t xml:space="preserve">Recurrence Relation: </w:t>
      </w:r>
      <w:r>
        <w:t>S(i, j) = max[ S(i-1, j-1) + s(seq1[i], seq2[j]), S(i-1, j) + d, S(i, j-1) + d ]</w:t>
      </w:r>
    </w:p>
    <w:p>
      <w:pPr>
        <w:spacing w:after="120" w:line="276" w:lineRule="auto"/>
      </w:pPr>
      <w:r>
        <w:rPr>
          <w:i w:val="0"/>
        </w:rPr>
        <w:t>Here, s(a, b) represents the substitution score (match reward if a == b, mismatch penalty if a != b), and d is the gap penalty. Traceback begins at the bottom-right corner (M, N) and terminates at the top-left (0, 0).</w:t>
      </w:r>
    </w:p>
    <w:p>
      <w:pPr>
        <w:keepNext/>
        <w:spacing w:before="240" w:after="80"/>
      </w:pPr>
      <w:r>
        <w:rPr>
          <w:rFonts w:ascii="Georgia" w:hAnsi="Georgia"/>
          <w:b/>
          <w:color w:val="5C768D"/>
          <w:sz w:val="26"/>
        </w:rPr>
        <w:t>2.2 Smith-Waterman (Local Alignment) Recurrence</w:t>
      </w:r>
    </w:p>
    <w:p>
      <w:pPr>
        <w:spacing w:after="120" w:line="276" w:lineRule="auto"/>
      </w:pPr>
      <w:r>
        <w:rPr>
          <w:i w:val="0"/>
        </w:rPr>
        <w:t>The local alignment algorithm introduces a boundary constraint of 0 to discard negative scores, allowing the alignment to start and stop anywhere in the matrix:</w:t>
      </w:r>
    </w:p>
    <w:p>
      <w:pPr>
        <w:pStyle w:val="ListBullet"/>
        <w:spacing w:after="60" w:line="276" w:lineRule="auto"/>
      </w:pPr>
      <w:r>
        <w:rPr>
          <w:b/>
        </w:rPr>
        <w:t xml:space="preserve">Initialization: </w:t>
      </w:r>
      <w:r>
        <w:t>S(i, 0) = 0</w:t>
      </w:r>
    </w:p>
    <w:p>
      <w:pPr>
        <w:pStyle w:val="ListBullet"/>
        <w:spacing w:after="60" w:line="276" w:lineRule="auto"/>
      </w:pPr>
      <w:r>
        <w:t>S(0, j) = 0</w:t>
      </w:r>
    </w:p>
    <w:p>
      <w:pPr>
        <w:pStyle w:val="ListBullet"/>
        <w:spacing w:after="60" w:line="276" w:lineRule="auto"/>
      </w:pPr>
      <w:r>
        <w:rPr>
          <w:b/>
        </w:rPr>
        <w:t xml:space="preserve">Recurrence Relation: </w:t>
      </w:r>
      <w:r>
        <w:t>S(i, j) = max[ 0, S(i-1, j-1) + s(seq1[i], seq2[j]), S(i-1, j) + d, S(i, j-1) + d ]</w:t>
      </w:r>
    </w:p>
    <w:p>
      <w:pPr>
        <w:spacing w:after="120" w:line="276" w:lineRule="auto"/>
      </w:pPr>
      <w:r>
        <w:rPr>
          <w:i w:val="0"/>
        </w:rPr>
        <w:t>Traceback begins at the maximum score value anywhere in the entire matrix and proceeds backwards until it encounters a cell with a score of 0, delineating the boundaries of the optimal local alignment.</w:t>
      </w:r>
    </w:p>
    <w:p>
      <w:pPr>
        <w:keepNext/>
        <w:spacing w:before="240" w:after="80"/>
      </w:pPr>
      <w:r>
        <w:rPr>
          <w:rFonts w:ascii="Georgia" w:hAnsi="Georgia"/>
          <w:b/>
          <w:color w:val="5C768D"/>
          <w:sz w:val="26"/>
        </w:rPr>
        <w:t>2.3 Scoring System Parameters</w:t>
      </w:r>
    </w:p>
    <w:p>
      <w:pPr>
        <w:spacing w:after="120" w:line="276" w:lineRule="auto"/>
      </w:pPr>
      <w:r>
        <w:rPr>
          <w:i w:val="0"/>
        </w:rPr>
        <w:t>For the biological test cases, the default scoring scheme was configured as:</w:t>
      </w:r>
    </w:p>
    <w:p>
      <w:pPr>
        <w:pStyle w:val="ListBullet"/>
        <w:spacing w:after="60" w:line="276" w:lineRule="auto"/>
      </w:pPr>
      <w:r>
        <w:t>Match Reward: +1</w:t>
      </w:r>
    </w:p>
    <w:p>
      <w:pPr>
        <w:pStyle w:val="ListBullet"/>
        <w:spacing w:after="60" w:line="276" w:lineRule="auto"/>
      </w:pPr>
      <w:r>
        <w:t>Mismatch Penalty: -1</w:t>
      </w:r>
    </w:p>
    <w:p>
      <w:pPr>
        <w:pStyle w:val="ListBullet"/>
        <w:spacing w:after="60" w:line="276" w:lineRule="auto"/>
      </w:pPr>
      <w:r>
        <w:t>Gap Penalty: -2</w:t>
      </w:r>
    </w:p>
    <w:p>
      <w:pPr>
        <w:keepNext/>
        <w:spacing w:before="360" w:after="120"/>
      </w:pPr>
      <w:r>
        <w:rPr>
          <w:rFonts w:ascii="Georgia" w:hAnsi="Georgia"/>
          <w:b/>
          <w:color w:val="1B365D"/>
          <w:sz w:val="32"/>
        </w:rPr>
        <w:t>3. Software Implementation and Architecture</w:t>
      </w:r>
    </w:p>
    <w:p>
      <w:pPr>
        <w:spacing w:after="120" w:line="276" w:lineRule="auto"/>
      </w:pPr>
      <w:r>
        <w:rPr>
          <w:i w:val="0"/>
        </w:rPr>
        <w:t>The project was structured cleanly into dedicated modules and uploaded to the GitHub repository. It consists of the following components:</w:t>
      </w:r>
    </w:p>
    <w:p>
      <w:pPr>
        <w:pStyle w:val="ListBullet"/>
        <w:spacing w:after="60" w:line="276" w:lineRule="auto"/>
      </w:pPr>
      <w:r>
        <w:rPr>
          <w:b/>
        </w:rPr>
        <w:t xml:space="preserve">Source Code: </w:t>
      </w:r>
      <w:r>
        <w:t>aligner.py: Contains the algorithmic implementations of needleman_wunsch() and smith_waterman(), utility functions for reading FASTA files (read_fasta()), formatting alignment symbols (format_alignment()), and exporting tables to CSV (export_matrix_to_csv()). Includes a command-line interface (CLI) powered by argparse.</w:t>
      </w:r>
    </w:p>
    <w:p>
      <w:pPr>
        <w:pStyle w:val="ListBullet"/>
        <w:spacing w:after="60" w:line="276" w:lineRule="auto"/>
      </w:pPr>
      <w:r>
        <w:rPr>
          <w:b/>
        </w:rPr>
        <w:t xml:space="preserve">Testing Suite: </w:t>
      </w:r>
      <w:r>
        <w:t>test_aligner.py: A testing suite written using Python's built-in unittest framework. It covers edge cases including identical single characters, gap handling, mismatch-only strings, empty sequence inputs, and local substring extractions.</w:t>
      </w:r>
    </w:p>
    <w:p>
      <w:pPr>
        <w:keepNext/>
        <w:spacing w:before="240" w:after="80"/>
      </w:pPr>
      <w:r>
        <w:rPr>
          <w:rFonts w:ascii="Georgia" w:hAnsi="Georgia"/>
          <w:b/>
          <w:color w:val="5C768D"/>
          <w:sz w:val="26"/>
        </w:rPr>
        <w:t>3.1 Command-Line Usage</w:t>
      </w:r>
    </w:p>
    <w:p>
      <w:pPr>
        <w:spacing w:after="120" w:line="276" w:lineRule="auto"/>
      </w:pPr>
      <w:r>
        <w:rPr>
          <w:i w:val="0"/>
        </w:rPr>
        <w:t>The CLI supports running alignments on direct input strings or loading FASTA files:</w:t>
      </w:r>
    </w:p>
    <w:p>
      <w:pPr>
        <w:spacing w:before="120" w:after="120"/>
        <w:ind w:left="360"/>
        <w:pBdr>
          <w:left w:val="single" w:sz="24" w:space="12" w:color="5C768D"/>
        </w:pBdr>
        <w:shd w:val="clear" w:color="auto" w:fill="F4F6F8"/>
      </w:pPr>
      <w:r>
        <w:rPr>
          <w:rFonts w:ascii="Consolas" w:hAnsi="Consolas"/>
          <w:color w:val="222222"/>
          <w:sz w:val="19"/>
        </w:rPr>
        <w:t># Run global alignment with custom scores</w:t>
        <w:br/>
        <w:t>python aligner.py -s1 GATTACA -s2 GCATCA -m 1 -ms -1 -g -2</w:t>
        <w:br/>
        <w:br/>
        <w:t># Run local alignment using FASTA file inputs</w:t>
        <w:br/>
        <w:t>python aligner.py -f1 human_insulin.fasta -f2 mouse_insulin.fasta --mode local --export-csv output.csv</w:t>
      </w:r>
    </w:p>
    <w:p>
      <w:pPr>
        <w:keepNext/>
        <w:spacing w:before="360" w:after="120"/>
      </w:pPr>
      <w:r>
        <w:rPr>
          <w:rFonts w:ascii="Georgia" w:hAnsi="Georgia"/>
          <w:b/>
          <w:color w:val="1B365D"/>
          <w:sz w:val="32"/>
        </w:rPr>
        <w:t>4. Results and Validation</w:t>
      </w:r>
    </w:p>
    <w:p>
      <w:pPr>
        <w:spacing w:after="120" w:line="276" w:lineRule="auto"/>
      </w:pPr>
      <w:r>
        <w:rPr>
          <w:i w:val="0"/>
        </w:rPr>
        <w:t>The aligner was validated using the preproprotein sequences of Human Insulin (INS_HUMAN, 110 residues) and Mouse Insulin-1 (INS1_MOUSE, 132 residues).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1B365D"/>
          </w:tcPr>
          <w:p>
            <w:r>
              <w:rPr>
                <w:b/>
                <w:color w:val="FFFFFF"/>
              </w:rPr>
              <w:t>Alignment Mode</w:t>
            </w:r>
          </w:p>
        </w:tc>
        <w:tc>
          <w:tcPr>
            <w:tcW w:type="dxa" w:w="2340"/>
            <w:shd w:val="clear" w:color="auto" w:fill="1B365D"/>
          </w:tcPr>
          <w:p>
            <w:r>
              <w:rPr>
                <w:b/>
                <w:color w:val="FFFFFF"/>
              </w:rPr>
              <w:t>Score</w:t>
            </w:r>
          </w:p>
        </w:tc>
        <w:tc>
          <w:tcPr>
            <w:tcW w:type="dxa" w:w="2340"/>
            <w:shd w:val="clear" w:color="auto" w:fill="1B365D"/>
          </w:tcPr>
          <w:p>
            <w:r>
              <w:rPr>
                <w:b/>
                <w:color w:val="FFFFFF"/>
              </w:rPr>
              <w:t>Sequence Identity</w:t>
            </w:r>
          </w:p>
        </w:tc>
        <w:tc>
          <w:tcPr>
            <w:tcW w:type="dxa" w:w="2340"/>
            <w:shd w:val="clear" w:color="auto" w:fill="1B365D"/>
          </w:tcPr>
          <w:p>
            <w:r>
              <w:rPr>
                <w:b/>
                <w:color w:val="FFFFFF"/>
              </w:rPr>
              <w:t>Alignment Length</w:t>
            </w:r>
          </w:p>
        </w:tc>
      </w:tr>
      <w:tr>
        <w:tc>
          <w:tcPr>
            <w:tcW w:type="dxa" w:w="2340"/>
          </w:tcPr>
          <w:p>
            <w:r>
              <w:t>Global (Needleman-Wunsch)</w:t>
            </w:r>
          </w:p>
        </w:tc>
        <w:tc>
          <w:tcPr>
            <w:tcW w:type="dxa" w:w="2340"/>
          </w:tcPr>
          <w:p>
            <w:r>
              <w:t>8</w:t>
            </w:r>
          </w:p>
        </w:tc>
        <w:tc>
          <w:tcPr>
            <w:tcW w:type="dxa" w:w="2340"/>
          </w:tcPr>
          <w:p>
            <w:r>
              <w:t>84 / 134 (62.7%)</w:t>
            </w:r>
          </w:p>
        </w:tc>
        <w:tc>
          <w:tcPr>
            <w:tcW w:type="dxa" w:w="2340"/>
          </w:tcPr>
          <w:p>
            <w:r>
              <w:t>134 residues</w:t>
            </w:r>
          </w:p>
        </w:tc>
      </w:tr>
      <w:tr>
        <w:tc>
          <w:tcPr>
            <w:tcW w:type="dxa" w:w="2340"/>
          </w:tcPr>
          <w:p>
            <w:r>
              <w:t>Local (Smith-Waterman)</w:t>
            </w:r>
          </w:p>
        </w:tc>
        <w:tc>
          <w:tcPr>
            <w:tcW w:type="dxa" w:w="2340"/>
          </w:tcPr>
          <w:p>
            <w:r>
              <w:t>56</w:t>
            </w:r>
          </w:p>
        </w:tc>
        <w:tc>
          <w:tcPr>
            <w:tcW w:type="dxa" w:w="2340"/>
          </w:tcPr>
          <w:p>
            <w:r>
              <w:t>72 / 86 (83.7%)</w:t>
            </w:r>
          </w:p>
        </w:tc>
        <w:tc>
          <w:tcPr>
            <w:tcW w:type="dxa" w:w="2340"/>
          </w:tcPr>
          <w:p>
            <w:r>
              <w:t>86 residues</w:t>
            </w:r>
          </w:p>
        </w:tc>
      </w:tr>
    </w:tbl>
    <w:p>
      <w:pPr>
        <w:spacing w:before="120"/>
      </w:pPr>
    </w:p>
    <w:p>
      <w:pPr>
        <w:keepNext/>
        <w:spacing w:before="240" w:after="80"/>
      </w:pPr>
      <w:r>
        <w:rPr>
          <w:rFonts w:ascii="Georgia" w:hAnsi="Georgia"/>
          <w:b/>
          <w:color w:val="5C768D"/>
          <w:sz w:val="26"/>
        </w:rPr>
        <w:t>4.1 Global Alignment Traceback Output</w:t>
      </w:r>
    </w:p>
    <w:p>
      <w:pPr>
        <w:spacing w:before="120" w:after="120"/>
        <w:ind w:left="360"/>
        <w:pBdr>
          <w:left w:val="single" w:sz="24" w:space="12" w:color="5C768D"/>
        </w:pBdr>
        <w:shd w:val="clear" w:color="auto" w:fill="F4F6F8"/>
      </w:pPr>
      <w:r>
        <w:rPr>
          <w:rFonts w:ascii="Consolas" w:hAnsi="Consolas"/>
          <w:color w:val="222222"/>
          <w:sz w:val="19"/>
        </w:rPr>
        <w:t>Seq1: MALWMR-L---L--PLL---ALL-ALWG-PD-------------PAAAFVNQHLCGSHLVEALYLVCGERGFFYTPKTRREAEDLQVGQVELGGGPGAGSLQPLALEGSLQKRGIVEQCCTSICSLYQLENYCN</w:t>
        <w:br/>
        <w:t xml:space="preserve">      |..|.| |   |  .||   ||| ...| .|             ....|||||||||||||||||||||||||||||.|||.||.||.|.||||.|  |.||.||||...||||||.|||||||||||||||||</w:t>
        <w:br/>
        <w:t>Seq2: MIVWQRQLWCCLWGCLLVAYALLNQKQGIVDQCCTSICSLYQLENYCNFVNQHLCGSHLVEALYLVCGERGFFYTPKSRREVEDPQVEQLELGGSP--GDLQTLALEVARQKRGIVDQCCTSICSLYQLENYCN</w:t>
      </w:r>
    </w:p>
    <w:p>
      <w:pPr>
        <w:keepNext/>
        <w:spacing w:before="240" w:after="80"/>
      </w:pPr>
      <w:r>
        <w:rPr>
          <w:rFonts w:ascii="Georgia" w:hAnsi="Georgia"/>
          <w:b/>
          <w:color w:val="5C768D"/>
          <w:sz w:val="26"/>
        </w:rPr>
        <w:t>4.2 Local Alignment Traceback Output</w:t>
      </w:r>
    </w:p>
    <w:p>
      <w:pPr>
        <w:spacing w:before="120" w:after="120"/>
        <w:ind w:left="360"/>
        <w:pBdr>
          <w:left w:val="single" w:sz="24" w:space="12" w:color="5C768D"/>
        </w:pBdr>
        <w:shd w:val="clear" w:color="auto" w:fill="F4F6F8"/>
      </w:pPr>
      <w:r>
        <w:rPr>
          <w:rFonts w:ascii="Consolas" w:hAnsi="Consolas"/>
          <w:color w:val="222222"/>
          <w:sz w:val="19"/>
        </w:rPr>
        <w:t>Seq1: FVNQHLCGSHLVEALYLVCGERGFFYTPKTRREAEDLQVGQVELGGGPGAGSLQPLALEGSLQKRGIVEQCCTSICSLYQLENYCN</w:t>
        <w:br/>
        <w:t xml:space="preserve">      |||||||||||||||||||||||||||||.|||.||.||.|.||||.|  |.||.||||...||||||.|||||||||||||||||</w:t>
        <w:br/>
        <w:t>Seq2: FVNQHLCGSHLVEALYLVCGERGFFYTPKSRREVEDPQVEQLELGGSP--GDLQTLALEVARQKRGIVDQCCTSICSLYQLENYCN</w:t>
      </w:r>
    </w:p>
    <w:p>
      <w:pPr>
        <w:keepNext/>
        <w:spacing w:before="360" w:after="120"/>
      </w:pPr>
      <w:r>
        <w:rPr>
          <w:rFonts w:ascii="Georgia" w:hAnsi="Georgia"/>
          <w:b/>
          <w:color w:val="1B365D"/>
          <w:sz w:val="32"/>
        </w:rPr>
        <w:t>5. Discussion and Biological Interpretation</w:t>
      </w:r>
    </w:p>
    <w:p>
      <w:pPr>
        <w:spacing w:after="120" w:line="276" w:lineRule="auto"/>
      </w:pPr>
      <w:r>
        <w:rPr>
          <w:i w:val="0"/>
        </w:rPr>
        <w:t>The comparison between the two alignment modes provides significant insight into the structure and evolution of the insulin hormone:</w:t>
      </w:r>
    </w:p>
    <w:p>
      <w:pPr>
        <w:pStyle w:val="ListBullet"/>
        <w:spacing w:after="60" w:line="276" w:lineRule="auto"/>
      </w:pPr>
      <w:r>
        <w:rPr>
          <w:b/>
        </w:rPr>
        <w:t xml:space="preserve">1. </w:t>
      </w:r>
      <w:r>
        <w:t>Signal Peptide Divergence: The N-terminus of the preproprotein (first ~24 amino acids) serves as a signal sequence targeting the ribosome-nascent chain complex to the rough endoplasmic reticulum. Once targeted, this signal sequence is cleaved. Since it is not present in the mature active hormone, there is less evolutionary constraint on its sequence. The global aligner is forced to align this region, resulting in massive gap insertion penalties and mismatches, which drags down the overall score to 8 and identity to 62.7%.</w:t>
      </w:r>
    </w:p>
    <w:p>
      <w:pPr>
        <w:pStyle w:val="ListBullet"/>
        <w:spacing w:after="60" w:line="276" w:lineRule="auto"/>
      </w:pPr>
      <w:r>
        <w:rPr>
          <w:b/>
        </w:rPr>
        <w:t xml:space="preserve">2. </w:t>
      </w:r>
      <w:r>
        <w:t>Conserved Mature Chains (A and B): The mature active insulin protein consists of the B chain and the A chain linked by disulfide bonds, separated in the precursor by a C-peptide that is cleaved out. The actual receptor-binding interface resides within these mature regions. The local aligner (Smith-Waterman) successfully clips off the highly variable signal peptide and focuses exclusively on the highly conserved mature hormone region (starting at FVNQHLC...). This biological focus yields a much higher alignment score of 56 and a sequence identity of 83.7%.</w:t>
      </w:r>
    </w:p>
    <w:p>
      <w:pPr>
        <w:spacing w:after="120" w:line="276" w:lineRule="auto"/>
      </w:pPr>
      <w:r>
        <w:rPr>
          <w:i w:val="0"/>
        </w:rPr>
        <w:t>From a computational complexity standpoint, both algorithms execute with O(M * N) time complexity and O(M * N) space complexity. While highly effective for average-sized proteins, scaling to chromosome-level alignments requires heuristic approximations (such as indexing in BLAST or FM-indexes in BWA).</w:t>
      </w:r>
    </w:p>
    <w:p>
      <w:pPr>
        <w:keepNext/>
        <w:spacing w:before="360" w:after="120"/>
      </w:pPr>
      <w:r>
        <w:rPr>
          <w:rFonts w:ascii="Georgia" w:hAnsi="Georgia"/>
          <w:b/>
          <w:color w:val="1B365D"/>
          <w:sz w:val="32"/>
        </w:rPr>
        <w:t>6. Conclusion</w:t>
      </w:r>
    </w:p>
    <w:p>
      <w:pPr>
        <w:spacing w:after="120" w:line="276" w:lineRule="auto"/>
      </w:pPr>
      <w:r>
        <w:rPr>
          <w:i w:val="0"/>
        </w:rPr>
        <w:t>In summary, this project successfully implements and validates pairwise sequence alignment using dynamic programming. The algorithms were validated through automated unit testing, showing robust handling of gaps, mismatches, and edge-case sequences. When applied to human vs. mouse insulin, the local alignment demonstrated superior sensitivity in identifying the active, biologically conserved core of the insulin preproprotein by bypassing the non-essential, evolutionary divergent signal peptide.</w:t>
      </w:r>
    </w:p>
    <w:p>
      <w:pPr>
        <w:spacing w:after="120" w:line="276" w:lineRule="auto"/>
      </w:pPr>
      <w:r>
        <w:rPr>
          <w:i w:val="0"/>
        </w:rPr>
        <w:t>The code and reports have been fully documented and pushed to the GitHub repository: https://github.com/somulapranavi-web/pairwise_aligner.git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