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BFD" w14:textId="77777777" w:rsidR="005A2250" w:rsidRPr="005A2250" w:rsidRDefault="005A2250" w:rsidP="005A2250">
      <w:pPr>
        <w:rPr>
          <w:b/>
          <w:bCs/>
        </w:rPr>
      </w:pPr>
      <w:r w:rsidRPr="005A2250">
        <w:rPr>
          <w:b/>
          <w:bCs/>
        </w:rPr>
        <w:t>Page 2 — Funnel &amp; Pricing</w:t>
      </w:r>
    </w:p>
    <w:p w14:paraId="5909C42D" w14:textId="77777777" w:rsidR="005A2250" w:rsidRPr="005A2250" w:rsidRDefault="005A2250" w:rsidP="005A2250">
      <w:r w:rsidRPr="005A2250">
        <w:rPr>
          <w:b/>
          <w:bCs/>
        </w:rPr>
        <w:t>Insights:</w:t>
      </w:r>
    </w:p>
    <w:p w14:paraId="66B7E62F" w14:textId="77777777" w:rsidR="005A2250" w:rsidRPr="005A2250" w:rsidRDefault="005A2250" w:rsidP="005A2250">
      <w:pPr>
        <w:numPr>
          <w:ilvl w:val="0"/>
          <w:numId w:val="1"/>
        </w:numPr>
      </w:pPr>
      <w:r w:rsidRPr="005A2250">
        <w:t>High-price items ($65+) have the highest view-to-cart rate (1.81%) and highest view-to-purchase rate (2.02%) — counterintuitively, expensive product browsers are more intentional buyers than low-price browsers</w:t>
      </w:r>
    </w:p>
    <w:p w14:paraId="3806923C" w14:textId="77777777" w:rsidR="005A2250" w:rsidRPr="005A2250" w:rsidRDefault="005A2250" w:rsidP="005A2250">
      <w:pPr>
        <w:numPr>
          <w:ilvl w:val="0"/>
          <w:numId w:val="1"/>
        </w:numPr>
      </w:pPr>
      <w:r w:rsidRPr="005A2250">
        <w:t>Low-price items ($0-15) have the worst view-to-cart rate (0.24%) despite being the cheapest — suggesting the low-price category has a product quality or trust perception problem, not a price barrier</w:t>
      </w:r>
    </w:p>
    <w:p w14:paraId="6F24D69E" w14:textId="77777777" w:rsidR="005A2250" w:rsidRPr="005A2250" w:rsidRDefault="005A2250" w:rsidP="005A2250">
      <w:pPr>
        <w:numPr>
          <w:ilvl w:val="0"/>
          <w:numId w:val="1"/>
        </w:numPr>
      </w:pPr>
      <w:r w:rsidRPr="005A2250">
        <w:t>The smartphone category sits in the Opportunity quadrant with 50,854 views but sub-2% CVR — the largest single recoverable revenue opportunity on the platform</w:t>
      </w:r>
    </w:p>
    <w:p w14:paraId="734A6EE5" w14:textId="77777777" w:rsidR="005A2250" w:rsidRPr="005A2250" w:rsidRDefault="005A2250" w:rsidP="005A2250">
      <w:pPr>
        <w:numPr>
          <w:ilvl w:val="0"/>
          <w:numId w:val="1"/>
        </w:numPr>
      </w:pPr>
      <w:r w:rsidRPr="005A2250">
        <w:t>Revenue concentrates exponentially in price deciles D9-D10 ($459-$2,558 range) — the top 20% of price points generate over 50% of total revenue despite equal transaction volume across deciles</w:t>
      </w:r>
    </w:p>
    <w:p w14:paraId="098D3F01" w14:textId="77777777" w:rsidR="005A2250" w:rsidRPr="005A2250" w:rsidRDefault="005A2250" w:rsidP="005A2250">
      <w:pPr>
        <w:numPr>
          <w:ilvl w:val="0"/>
          <w:numId w:val="1"/>
        </w:numPr>
      </w:pPr>
      <w:r w:rsidRPr="005A2250">
        <w:t>Peak conversion occurs at 06:00 UTC (11:30 PM IST) at 2.19% — users converting late at night are likely high-intent, distraction-free browsers making deliberate purchase decisions</w:t>
      </w:r>
    </w:p>
    <w:p w14:paraId="0AB6CDED" w14:textId="77777777" w:rsidR="005A2250" w:rsidRPr="005A2250" w:rsidRDefault="005A2250" w:rsidP="005A2250">
      <w:r w:rsidRPr="005A2250">
        <w:rPr>
          <w:b/>
          <w:bCs/>
        </w:rPr>
        <w:t>Recommendations:</w:t>
      </w:r>
    </w:p>
    <w:p w14:paraId="2206B84B" w14:textId="77777777" w:rsidR="005A2250" w:rsidRPr="005A2250" w:rsidRDefault="005A2250" w:rsidP="005A2250">
      <w:pPr>
        <w:numPr>
          <w:ilvl w:val="0"/>
          <w:numId w:val="2"/>
        </w:numPr>
      </w:pPr>
      <w:r w:rsidRPr="005A2250">
        <w:t>For the smartphone category specifically — add EMI/affordability options, comparison tools, and expert review badges on product pages. This category has proven demand (50K+ views) but users are not crossing the consideration threshold</w:t>
      </w:r>
    </w:p>
    <w:p w14:paraId="76D8DBC0" w14:textId="77777777" w:rsidR="005A2250" w:rsidRPr="005A2250" w:rsidRDefault="005A2250" w:rsidP="005A2250">
      <w:pPr>
        <w:numPr>
          <w:ilvl w:val="0"/>
          <w:numId w:val="2"/>
        </w:numPr>
      </w:pPr>
      <w:r w:rsidRPr="005A2250">
        <w:t>Schedule flash sales, push notifications, and limited-time offers at 06:00 UTC to capture the peak conversion window when intent is highest</w:t>
      </w:r>
    </w:p>
    <w:p w14:paraId="78735207" w14:textId="77777777" w:rsidR="005A2250" w:rsidRPr="005A2250" w:rsidRDefault="005A2250" w:rsidP="005A2250">
      <w:pPr>
        <w:numPr>
          <w:ilvl w:val="0"/>
          <w:numId w:val="2"/>
        </w:numPr>
      </w:pPr>
      <w:r w:rsidRPr="005A2250">
        <w:t>Investigate the low-price category underperformance — run a qualitative review of product pages in the $0-15 range to identify trust and quality perception issues</w:t>
      </w:r>
    </w:p>
    <w:p w14:paraId="7B1ECB5A" w14:textId="77777777" w:rsidR="005A2250" w:rsidRPr="005A2250" w:rsidRDefault="005A2250" w:rsidP="005A2250">
      <w:pPr>
        <w:numPr>
          <w:ilvl w:val="0"/>
          <w:numId w:val="2"/>
        </w:numPr>
      </w:pPr>
      <w:r w:rsidRPr="005A2250">
        <w:t>For D9-D10 price range products — invest in premium product photography, detailed specifications, and return policy prominence since these high-value purchases require more reassurance</w:t>
      </w:r>
    </w:p>
    <w:p w14:paraId="676C42CA" w14:textId="77777777" w:rsidR="005A2250" w:rsidRPr="005A2250" w:rsidRDefault="005A2250" w:rsidP="005A2250">
      <w:r w:rsidRPr="005A2250">
        <w:rPr>
          <w:b/>
          <w:bCs/>
        </w:rPr>
        <w:t>Limitations:</w:t>
      </w:r>
    </w:p>
    <w:p w14:paraId="3F4B2C67" w14:textId="77777777" w:rsidR="005A2250" w:rsidRPr="005A2250" w:rsidRDefault="005A2250" w:rsidP="005A2250">
      <w:pPr>
        <w:numPr>
          <w:ilvl w:val="0"/>
          <w:numId w:val="3"/>
        </w:numPr>
      </w:pPr>
      <w:r w:rsidRPr="005A2250">
        <w:t>Hourly analysis covers UTC hours 00:00-07:00 only due to sampling distribution. Peak conversion at 06:00 UTC corresponds to 11:30 PM IST — consistent with late-night browsing behaviour in the Indian market</w:t>
      </w:r>
    </w:p>
    <w:p w14:paraId="41F35046" w14:textId="77777777" w:rsidR="005A2250" w:rsidRPr="005A2250" w:rsidRDefault="005A2250" w:rsidP="005A2250">
      <w:pPr>
        <w:numPr>
          <w:ilvl w:val="0"/>
          <w:numId w:val="3"/>
        </w:numPr>
      </w:pPr>
      <w:proofErr w:type="spellStart"/>
      <w:r w:rsidRPr="005A2250">
        <w:t>cart_to_purchase_pct</w:t>
      </w:r>
      <w:proofErr w:type="spellEnd"/>
      <w:r w:rsidRPr="005A2250">
        <w:t xml:space="preserve"> excluded from price band analysis — sampling artifact caused purchase events to outnumber cart events producing values above 100%, which is statistically impossible</w:t>
      </w:r>
    </w:p>
    <w:p w14:paraId="2E5B53A4" w14:textId="77777777" w:rsidR="005A2250" w:rsidRPr="005A2250" w:rsidRDefault="005A2250" w:rsidP="005A2250">
      <w:pPr>
        <w:numPr>
          <w:ilvl w:val="0"/>
          <w:numId w:val="3"/>
        </w:numPr>
      </w:pPr>
      <w:r w:rsidRPr="005A2250">
        <w:t>Category quadrant crosshair lines represent dataset averages — a larger dataset would shift these thresholds and may reclassify some categories between quadrants</w:t>
      </w:r>
    </w:p>
    <w:p w14:paraId="40259C07" w14:textId="5F2B853F" w:rsidR="00EF7A76" w:rsidRPr="005A2250" w:rsidRDefault="00EF7A76" w:rsidP="005A2250"/>
    <w:sectPr w:rsidR="00EF7A76" w:rsidRPr="005A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A5D"/>
    <w:multiLevelType w:val="multilevel"/>
    <w:tmpl w:val="229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6DA8"/>
    <w:multiLevelType w:val="multilevel"/>
    <w:tmpl w:val="16C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D5BC4"/>
    <w:multiLevelType w:val="multilevel"/>
    <w:tmpl w:val="4DE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3607">
    <w:abstractNumId w:val="0"/>
  </w:num>
  <w:num w:numId="2" w16cid:durableId="1562866779">
    <w:abstractNumId w:val="2"/>
  </w:num>
  <w:num w:numId="3" w16cid:durableId="190351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50"/>
    <w:rsid w:val="001F15D5"/>
    <w:rsid w:val="00373D38"/>
    <w:rsid w:val="005A2250"/>
    <w:rsid w:val="00B64582"/>
    <w:rsid w:val="00E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81A7"/>
  <w15:chartTrackingRefBased/>
  <w15:docId w15:val="{45B1B3CF-F83F-4E8B-8C08-F4D59DF5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PowerBi</dc:creator>
  <cp:keywords/>
  <dc:description/>
  <cp:lastModifiedBy>ExcelR PowerBi</cp:lastModifiedBy>
  <cp:revision>1</cp:revision>
  <dcterms:created xsi:type="dcterms:W3CDTF">2026-04-26T11:45:00Z</dcterms:created>
  <dcterms:modified xsi:type="dcterms:W3CDTF">2026-04-26T11:46:00Z</dcterms:modified>
</cp:coreProperties>
</file>