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i/>
          <w:color w:val="7F8C8D"/>
        </w:rPr>
        <w:t>Classification: Internal</w:t>
      </w:r>
    </w:p>
    <w:p>
      <w:pPr>
        <w:spacing w:after="120"/>
      </w:pPr>
      <w:r>
        <w:rPr>
          <w:b/>
          <w:sz w:val="24"/>
        </w:rPr>
        <w:t>Rules:</w:t>
      </w:r>
    </w:p>
    <w:p>
      <w:pPr>
        <w:pStyle w:val="ListBullet"/>
        <w:spacing w:after="60"/>
      </w:pPr>
      <w:r>
        <w:t xml:space="preserve">Create a Private repository on GitHub named </w:t>
      </w:r>
      <w:r>
        <w:rPr>
          <w:rFonts w:ascii="Consolas" w:hAnsi="Consolas"/>
          <w:color w:val="C0392B"/>
          <w:sz w:val="20"/>
        </w:rPr>
        <w:t>duco-agent-ai-assessment</w:t>
      </w:r>
      <w:r>
        <w:t>.</w:t>
      </w:r>
    </w:p>
    <w:p>
      <w:pPr>
        <w:pStyle w:val="ListBullet"/>
        <w:spacing w:after="60"/>
      </w:pPr>
      <w:r>
        <w:t>Do not make the repository public at any stage.</w:t>
      </w:r>
    </w:p>
    <w:p>
      <w:pPr>
        <w:pStyle w:val="ListBullet"/>
        <w:spacing w:after="60"/>
      </w:pPr>
      <w:r>
        <w:t xml:space="preserve">Grant me and </w:t>
      </w:r>
      <w:r>
        <w:rPr>
          <w:rFonts w:ascii="Consolas" w:hAnsi="Consolas"/>
          <w:color w:val="C0392B"/>
          <w:sz w:val="20"/>
        </w:rPr>
        <w:t>@Vinay</w:t>
      </w:r>
      <w:r>
        <w:t xml:space="preserve"> access to the Repo.</w:t>
      </w:r>
    </w:p>
    <w:p>
      <w:pPr>
        <w:pStyle w:val="ListBullet"/>
        <w:spacing w:after="60"/>
      </w:pPr>
      <w:r>
        <w:t xml:space="preserve">No Direct Commits to </w:t>
      </w:r>
      <w:r>
        <w:rPr>
          <w:rFonts w:ascii="Consolas" w:hAnsi="Consolas"/>
          <w:color w:val="C0392B"/>
          <w:sz w:val="20"/>
        </w:rPr>
        <w:t>main</w:t>
      </w:r>
      <w:r>
        <w:t>: You must block or avoid direct pushing to the main branch. All development must happen on feature branches (e.g., feature/intake-agent, feature/cob-logic, feature/multi-modal-outputs).</w:t>
      </w:r>
    </w:p>
    <w:p>
      <w:pPr>
        <w:pStyle w:val="ListBullet"/>
        <w:spacing w:after="60"/>
      </w:pPr>
      <w:r>
        <w:t>Pull Request (PR) Workflow</w:t>
      </w:r>
    </w:p>
    <w:p>
      <w:pPr>
        <w:pStyle w:val="ListBullet"/>
        <w:spacing w:after="60"/>
      </w:pPr>
      <w:r>
        <w:t>Semantic Commits: We evaluate the commit hygiene.</w:t>
      </w:r>
    </w:p>
    <w:p>
      <w:pPr>
        <w:keepNext/>
        <w:spacing w:before="360" w:after="120"/>
      </w:pPr>
      <w:r>
        <w:rPr>
          <w:rFonts w:ascii="Arial" w:hAnsi="Arial"/>
          <w:b/>
          <w:color w:val="1B365D"/>
          <w:sz w:val="32"/>
        </w:rPr>
        <w:t>1. Problem Statement &amp; Scenario</w:t>
      </w:r>
    </w:p>
    <w:p>
      <w:pPr>
        <w:spacing w:after="160" w:line="276" w:lineRule="auto"/>
      </w:pPr>
      <w:r>
        <w:rPr>
          <w:b/>
        </w:rPr>
        <w:t>Priya and Aarav Sen</w:t>
      </w:r>
      <w:r>
        <w:t xml:space="preserve"> are a married couple residing in Mumbai. Both are working professionals with primary corporate health insurance policies through their respective employers. They have also cross-enrolled each other as dependents on their respective policies, creating a </w:t>
      </w:r>
      <w:r>
        <w:rPr>
          <w:b/>
        </w:rPr>
        <w:t>Dual Coverage</w:t>
      </w:r>
      <w:r>
        <w:t xml:space="preserve"> scenario.</w:t>
      </w:r>
    </w:p>
    <w:p>
      <w:pPr>
        <w:pStyle w:val="ListBullet"/>
        <w:spacing w:after="40"/>
      </w:pPr>
      <w:r>
        <w:rPr>
          <w:b/>
        </w:rPr>
        <w:t xml:space="preserve">Plan A (Insurer1): </w:t>
      </w:r>
      <w:r>
        <w:t>Priya is the Primary Policyholder; Aarav is the Dependent.</w:t>
      </w:r>
    </w:p>
    <w:p>
      <w:pPr>
        <w:pStyle w:val="ListBullet"/>
        <w:spacing w:after="160"/>
      </w:pPr>
      <w:r>
        <w:rPr>
          <w:b/>
        </w:rPr>
        <w:t xml:space="preserve">Plan B (Insurer2): </w:t>
      </w:r>
      <w:r>
        <w:t>Aarav is the Primary Policyholder; Priya is the Dependent.</w:t>
      </w:r>
    </w:p>
    <w:p>
      <w:pPr>
        <w:spacing w:after="160" w:line="276" w:lineRule="auto"/>
      </w:pPr>
      <w:r>
        <w:t xml:space="preserve">Aarav recently suffered a sports injury and requires an upcoming </w:t>
      </w:r>
      <w:r>
        <w:rPr>
          <w:b/>
        </w:rPr>
        <w:t>ACL Reconstruction Surgery</w:t>
      </w:r>
      <w:r>
        <w:t xml:space="preserve"> (estimated cost: ₹4,500,000). At the same time, Priya has just completed a series of </w:t>
      </w:r>
      <w:r>
        <w:rPr>
          <w:b/>
        </w:rPr>
        <w:t>Physical Therapy (PT) sessions</w:t>
      </w:r>
      <w:r>
        <w:t xml:space="preserve"> for chronic back pain and received an unpaid bill of ₹30,000 from her clinic.</w:t>
      </w:r>
    </w:p>
    <w:p>
      <w:pPr>
        <w:spacing w:after="160" w:line="276" w:lineRule="auto"/>
      </w:pPr>
      <w:r>
        <w:t xml:space="preserve">Because they have dual coverage, they are eligible for </w:t>
      </w:r>
      <w:r>
        <w:rPr>
          <w:b/>
        </w:rPr>
        <w:t>Coordination of Benefits (COB)</w:t>
      </w:r>
      <w:r>
        <w:t xml:space="preserve"> to minimize their out-of-pocket expenses. However, navigating which insurance is primary vs. secondary, applying cross-plan deductibles, verifying if the surgeon's clinical codes require pre-authorization, and generating the necessary clinical letters is incredibly complex.</w:t>
      </w:r>
    </w:p>
    <w:p>
      <w:pPr>
        <w:spacing w:after="240" w:line="276" w:lineRule="auto"/>
      </w:pPr>
      <w:r>
        <w:t xml:space="preserve">Your task is to build </w:t>
      </w:r>
      <w:r>
        <w:rPr>
          <w:b/>
        </w:rPr>
        <w:t>DuCO-Agent</w:t>
      </w:r>
      <w:r>
        <w:t xml:space="preserve">, an </w:t>
      </w:r>
      <w:r>
        <w:rPr>
          <w:b/>
        </w:rPr>
        <w:t>Agentic, Multi-Modal AI System</w:t>
      </w:r>
      <w:r>
        <w:t xml:space="preserve"> that will ingest their multi-modal inputs, coordinate with mock insurance APIs, reason through complex coordination rules, optimize their out-of-pocket expenses, and output actionable financial breakdowns, pre-authorization letters, and visual cost flows.</w:t>
      </w:r>
    </w:p>
    <w:p>
      <w:pPr>
        <w:keepNext/>
        <w:spacing w:before="360" w:after="120"/>
      </w:pPr>
      <w:r>
        <w:rPr>
          <w:rFonts w:ascii="Arial" w:hAnsi="Arial"/>
          <w:b/>
          <w:color w:val="1B365D"/>
          <w:sz w:val="32"/>
        </w:rPr>
        <w:t>2. Multi-Modal Inputs Provided to the System</w:t>
      </w:r>
    </w:p>
    <w:p>
      <w:pPr>
        <w:spacing w:after="120"/>
      </w:pPr>
      <w:r>
        <w:t>Your system must ingest and process the following 4 mock files (you should write code to parse/simulate them as inputs):</w:t>
      </w:r>
    </w:p>
    <w:p>
      <w:pPr>
        <w:spacing w:after="80"/>
        <w:ind w:left="360"/>
      </w:pPr>
      <w:r>
        <w:rPr>
          <w:rFonts w:ascii="Consolas" w:hAnsi="Consolas"/>
          <w:sz w:val="20"/>
        </w:rPr>
        <w:t>1. priya_pt_invoice.png</w:t>
      </w:r>
      <w:r>
        <w:t xml:space="preserve"> (Image): A scanned, slightly crumpled invoice of Priya's Physical Therapy sessions. It contains hand-written notes by the clinic's billing administrator, dates of service, and total charges (₹30,000), but does </w:t>
      </w:r>
      <w:r>
        <w:rPr>
          <w:i/>
        </w:rPr>
        <w:t>not</w:t>
      </w:r>
      <w:r>
        <w:t xml:space="preserve"> explicitly state the ICD-10 or CPT codes (the agent must infer or look these up, e.g., mapping "Physical Therapy Evaluation and Therapeutic Exercise" to CPT 97161 and 97110).</w:t>
      </w:r>
    </w:p>
    <w:p>
      <w:pPr>
        <w:spacing w:after="80"/>
        <w:ind w:left="360"/>
      </w:pPr>
      <w:r>
        <w:rPr>
          <w:rFonts w:ascii="Consolas" w:hAnsi="Consolas"/>
          <w:sz w:val="20"/>
        </w:rPr>
        <w:t>2. aarav_mri_report.pdf</w:t>
      </w:r>
      <w:r>
        <w:t xml:space="preserve"> (Document/PDF): Aarav's knee MRI radiology report (clinical text) confirming a "complete tear of the anterior cruciate ligament (ACL)" and "medial meniscus tear."</w:t>
      </w:r>
    </w:p>
    <w:p>
      <w:pPr>
        <w:spacing w:after="40"/>
        <w:ind w:left="360"/>
      </w:pPr>
      <w:r>
        <w:rPr>
          <w:rFonts w:ascii="Consolas" w:hAnsi="Consolas"/>
          <w:sz w:val="20"/>
        </w:rPr>
        <w:t>3. surgeon_estimate.jpg</w:t>
      </w:r>
      <w:r>
        <w:t xml:space="preserve"> (Image): A snapshot of the surgeon's billing sheet for Aarav's upcoming surgery. It lists codes and descriptions:</w:t>
      </w:r>
    </w:p>
    <w:p>
      <w:pPr>
        <w:pStyle w:val="ListBullet2"/>
        <w:spacing w:after="20"/>
        <w:ind w:left="720"/>
      </w:pPr>
      <w:r>
        <w:rPr>
          <w:rFonts w:ascii="Consolas" w:hAnsi="Consolas"/>
          <w:sz w:val="20"/>
        </w:rPr>
        <w:t>CPT 29888</w:t>
      </w:r>
      <w:r>
        <w:t xml:space="preserve"> (Arthroscopically aided ACL reconstruction) - ₹3,50,000</w:t>
      </w:r>
    </w:p>
    <w:p>
      <w:pPr>
        <w:pStyle w:val="ListBullet2"/>
        <w:spacing w:after="80"/>
        <w:ind w:left="720"/>
      </w:pPr>
      <w:r>
        <w:rPr>
          <w:rFonts w:ascii="Consolas" w:hAnsi="Consolas"/>
          <w:sz w:val="20"/>
        </w:rPr>
        <w:t>CPT 29881</w:t>
      </w:r>
      <w:r>
        <w:t xml:space="preserve"> (Arthroscopy, knee, surgical; with meniscectomy) - ₹1,00,000</w:t>
      </w:r>
    </w:p>
    <w:p>
      <w:pPr>
        <w:spacing w:after="120"/>
        <w:ind w:left="360"/>
      </w:pPr>
      <w:r>
        <w:rPr>
          <w:rFonts w:ascii="Consolas" w:hAnsi="Consolas"/>
          <w:sz w:val="20"/>
        </w:rPr>
        <w:t>4. user_query.txt</w:t>
      </w:r>
      <w:r>
        <w:t xml:space="preserve"> (Text): A raw voice-to-text transcript from Aarav:</w:t>
      </w:r>
    </w:p>
    <w:p>
      <w:pPr>
        <w:spacing w:after="240"/>
        <w:ind w:left="720" w:right="720"/>
      </w:pPr>
      <w:r>
        <w:rPr>
          <w:i/>
          <w:color w:val="555555"/>
        </w:rPr>
        <w:t>"Hi DuCO-Agent, I need to get my knee operated on soon, and Priya has some physical therapy bills lying around. We have Insurer1 (Plan A) and Insurer2 (Plan B). Can you help us figure out which plan pays first for my surgery and her bills? How much will we actually have to pay out of our own pocket? Also, we need the pre-auth letters generated for both insurers so we don't end up with a claim rejection. Please help!"</w:t>
      </w:r>
    </w:p>
    <w:p>
      <w:pPr>
        <w:keepNext/>
        <w:spacing w:before="360" w:after="120"/>
      </w:pPr>
      <w:r>
        <w:rPr>
          <w:rFonts w:ascii="Arial" w:hAnsi="Arial"/>
          <w:b/>
          <w:color w:val="1B365D"/>
          <w:sz w:val="32"/>
        </w:rPr>
        <w:t>Assessment Rubric (How you will be graded)</w:t>
      </w:r>
    </w:p>
    <w:p>
      <w:pPr>
        <w:spacing w:after="80"/>
        <w:ind w:left="360"/>
      </w:pPr>
      <w:r>
        <w:rPr>
          <w:b/>
        </w:rPr>
        <w:t xml:space="preserve">1. Agentic Autonomy &amp; Control Flow (40%): </w:t>
      </w:r>
      <w:r>
        <w:t>Does the system utilize true agentic behavior (reflection, tool-use, state transitions, validation loops) or is it a hardcoded linear chain? How robust is the COB logic?</w:t>
      </w:r>
    </w:p>
    <w:p>
      <w:pPr>
        <w:spacing w:after="80"/>
        <w:ind w:left="360"/>
      </w:pPr>
      <w:r>
        <w:rPr>
          <w:b/>
        </w:rPr>
        <w:t xml:space="preserve">2. Multi-Modal Integration (20%): </w:t>
      </w:r>
      <w:r>
        <w:t>How well does the system extract information from unstructured medical documents (MRI reports) and scanned images (PT bills, estimation sheets)?</w:t>
      </w:r>
    </w:p>
    <w:p>
      <w:pPr>
        <w:spacing w:after="80"/>
        <w:ind w:left="360"/>
      </w:pPr>
      <w:r>
        <w:rPr>
          <w:b/>
        </w:rPr>
        <w:t xml:space="preserve">3. Mathematical and Compliance Accuracy (20%): </w:t>
      </w:r>
      <w:r>
        <w:t>Are the claims payments, deductible rollovers, and coinsurance amounts calculated perfectly in INR according to insurance guidelines?</w:t>
      </w:r>
    </w:p>
    <w:p>
      <w:pPr>
        <w:spacing w:after="80"/>
        <w:ind w:left="360"/>
      </w:pPr>
      <w:r>
        <w:rPr>
          <w:b/>
        </w:rPr>
        <w:t xml:space="preserve">4. Output Aesthetics &amp; Usability (20%): </w:t>
      </w:r>
      <w:r>
        <w:t>Is the generated cost flow visual clear? Are the pre-auth letters clinically sound, professional, and compliant? Is the audio briefing easy for a regular patient to understand?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