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F75B5"/>
          <w:sz w:val="58"/>
        </w:rPr>
        <w:t>WEEK 4</w:t>
      </w:r>
    </w:p>
    <w:p>
      <w:pPr>
        <w:jc w:val="center"/>
      </w:pPr>
      <w:r>
        <w:rPr>
          <w:b/>
          <w:color w:val="17365D"/>
          <w:sz w:val="54"/>
        </w:rPr>
        <w:t>INTERNSHIP DOCUMENTATION</w:t>
      </w:r>
    </w:p>
    <w:p>
      <w:pPr>
        <w:jc w:val="center"/>
      </w:pPr>
      <w:r>
        <w:rPr>
          <w:b/>
          <w:color w:val="222222"/>
          <w:sz w:val="30"/>
        </w:rPr>
        <w:t>Supervised Learning Model Implementation</w:t>
      </w:r>
    </w:p>
    <w:p>
      <w:pPr>
        <w:jc w:val="center"/>
      </w:pPr>
      <w:r>
        <w:rPr>
          <w:color w:val="2F75B5"/>
          <w:sz w:val="23"/>
        </w:rPr>
        <w:t>Regression-Based Property Price Prediction</w:t>
      </w:r>
    </w:p>
    <w:p/>
    <w:tbl>
      <w:tblPr>
        <w:tblStyle w:val="TableGrid"/>
        <w:tblW w:type="auto" w:w="0"/>
        <w:jc w:val="center"/>
        <w:tblLook w:firstColumn="1" w:firstRow="1" w:lastColumn="0" w:lastRow="0" w:noHBand="0" w:noVBand="1" w:val="04A0"/>
      </w:tblPr>
      <w:tblGrid>
        <w:gridCol w:w="5141"/>
        <w:gridCol w:w="5141"/>
      </w:tblGrid>
      <w:tr>
        <w:tc>
          <w:tcPr>
            <w:tcW w:type="dxa" w:w="5141"/>
            <w:shd w:fill="17365D"/>
            <w:vAlign w:val="center"/>
          </w:tcPr>
          <w:p>
            <w:pPr>
              <w:spacing w:after="0"/>
            </w:pPr>
            <w:r/>
            <w:r>
              <w:rPr>
                <w:rFonts w:ascii="Aptos" w:hAnsi="Aptos"/>
                <w:b/>
                <w:color w:val="FFFFFF"/>
                <w:sz w:val="16"/>
              </w:rPr>
              <w:t>Project Detail</w:t>
            </w:r>
          </w:p>
        </w:tc>
        <w:tc>
          <w:tcPr>
            <w:tcW w:type="dxa" w:w="5141"/>
            <w:shd w:fill="17365D"/>
            <w:vAlign w:val="center"/>
          </w:tcPr>
          <w:p>
            <w:pPr>
              <w:spacing w:after="0"/>
            </w:pPr>
            <w:r/>
            <w:r>
              <w:rPr>
                <w:rFonts w:ascii="Aptos" w:hAnsi="Aptos"/>
                <w:b/>
                <w:color w:val="FFFFFF"/>
                <w:sz w:val="16"/>
              </w:rPr>
              <w:t>Verified Value</w:t>
            </w:r>
          </w:p>
        </w:tc>
      </w:tr>
      <w:tr>
        <w:tc>
          <w:tcPr>
            <w:tcW w:type="dxa" w:w="5141"/>
            <w:shd w:fill="F4F7FA"/>
            <w:vAlign w:val="center"/>
          </w:tcPr>
          <w:p>
            <w:pPr>
              <w:spacing w:after="0"/>
            </w:pPr>
            <w:r/>
            <w:r>
              <w:rPr>
                <w:rFonts w:ascii="Aptos" w:hAnsi="Aptos"/>
                <w:b w:val="0"/>
                <w:color w:val="222222"/>
                <w:sz w:val="16"/>
              </w:rPr>
              <w:t>INTERNSHIP TRACK</w:t>
            </w:r>
          </w:p>
        </w:tc>
        <w:tc>
          <w:tcPr>
            <w:tcW w:type="dxa" w:w="5141"/>
            <w:shd w:fill="F4F7FA"/>
            <w:vAlign w:val="center"/>
          </w:tcPr>
          <w:p>
            <w:pPr>
              <w:spacing w:after="0"/>
            </w:pPr>
            <w:r/>
            <w:r>
              <w:rPr>
                <w:rFonts w:ascii="Aptos" w:hAnsi="Aptos"/>
                <w:b w:val="0"/>
                <w:color w:val="222222"/>
                <w:sz w:val="16"/>
              </w:rPr>
              <w:t>Virtual Internship in Data Science using Python</w:t>
            </w:r>
          </w:p>
        </w:tc>
      </w:tr>
      <w:tr>
        <w:tc>
          <w:tcPr>
            <w:tcW w:type="dxa" w:w="5141"/>
            <w:vAlign w:val="center"/>
          </w:tcPr>
          <w:p>
            <w:pPr>
              <w:spacing w:after="0"/>
            </w:pPr>
            <w:r/>
            <w:r>
              <w:rPr>
                <w:rFonts w:ascii="Aptos" w:hAnsi="Aptos"/>
                <w:b w:val="0"/>
                <w:color w:val="222222"/>
                <w:sz w:val="16"/>
              </w:rPr>
              <w:t>TECHNICAL DOMAIN</w:t>
            </w:r>
          </w:p>
        </w:tc>
        <w:tc>
          <w:tcPr>
            <w:tcW w:type="dxa" w:w="5141"/>
            <w:vAlign w:val="center"/>
          </w:tcPr>
          <w:p>
            <w:pPr>
              <w:spacing w:after="0"/>
            </w:pPr>
            <w:r/>
            <w:r>
              <w:rPr>
                <w:rFonts w:ascii="Aptos" w:hAnsi="Aptos"/>
                <w:b w:val="0"/>
                <w:color w:val="222222"/>
                <w:sz w:val="16"/>
              </w:rPr>
              <w:t>Data Science with Python</w:t>
            </w:r>
          </w:p>
        </w:tc>
      </w:tr>
      <w:tr>
        <w:tc>
          <w:tcPr>
            <w:tcW w:type="dxa" w:w="5141"/>
            <w:shd w:fill="F4F7FA"/>
            <w:vAlign w:val="center"/>
          </w:tcPr>
          <w:p>
            <w:pPr>
              <w:spacing w:after="0"/>
            </w:pPr>
            <w:r/>
            <w:r>
              <w:rPr>
                <w:rFonts w:ascii="Aptos" w:hAnsi="Aptos"/>
                <w:b w:val="0"/>
                <w:color w:val="222222"/>
                <w:sz w:val="16"/>
              </w:rPr>
              <w:t>PROJECT FOCUS</w:t>
            </w:r>
          </w:p>
        </w:tc>
        <w:tc>
          <w:tcPr>
            <w:tcW w:type="dxa" w:w="5141"/>
            <w:shd w:fill="F4F7FA"/>
            <w:vAlign w:val="center"/>
          </w:tcPr>
          <w:p>
            <w:pPr>
              <w:spacing w:after="0"/>
            </w:pPr>
            <w:r/>
            <w:r>
              <w:rPr>
                <w:rFonts w:ascii="Aptos" w:hAnsi="Aptos"/>
                <w:b w:val="0"/>
                <w:color w:val="222222"/>
                <w:sz w:val="16"/>
              </w:rPr>
              <w:t>Gurugram Real-Estate Property Price Prediction</w:t>
            </w:r>
          </w:p>
        </w:tc>
      </w:tr>
      <w:tr>
        <w:tc>
          <w:tcPr>
            <w:tcW w:type="dxa" w:w="5141"/>
            <w:vAlign w:val="center"/>
          </w:tcPr>
          <w:p>
            <w:pPr>
              <w:spacing w:after="0"/>
            </w:pPr>
            <w:r/>
            <w:r>
              <w:rPr>
                <w:rFonts w:ascii="Aptos" w:hAnsi="Aptos"/>
                <w:b w:val="0"/>
                <w:color w:val="222222"/>
                <w:sz w:val="16"/>
              </w:rPr>
              <w:t>PRIMARY TOOLS</w:t>
            </w:r>
          </w:p>
        </w:tc>
        <w:tc>
          <w:tcPr>
            <w:tcW w:type="dxa" w:w="5141"/>
            <w:vAlign w:val="center"/>
          </w:tcPr>
          <w:p>
            <w:pPr>
              <w:spacing w:after="0"/>
            </w:pPr>
            <w:r/>
            <w:r>
              <w:rPr>
                <w:rFonts w:ascii="Aptos" w:hAnsi="Aptos"/>
                <w:b w:val="0"/>
                <w:color w:val="222222"/>
                <w:sz w:val="16"/>
              </w:rPr>
              <w:t>Python 3, Pandas, NumPy, Scikit-learn, Matplotlib, Seaborn</w:t>
            </w:r>
          </w:p>
        </w:tc>
      </w:tr>
      <w:tr>
        <w:tc>
          <w:tcPr>
            <w:tcW w:type="dxa" w:w="5141"/>
            <w:shd w:fill="F4F7FA"/>
            <w:vAlign w:val="center"/>
          </w:tcPr>
          <w:p>
            <w:pPr>
              <w:spacing w:after="0"/>
            </w:pPr>
            <w:r/>
            <w:r>
              <w:rPr>
                <w:rFonts w:ascii="Aptos" w:hAnsi="Aptos"/>
                <w:b w:val="0"/>
                <w:color w:val="222222"/>
                <w:sz w:val="16"/>
              </w:rPr>
              <w:t>LEARNING TASK</w:t>
            </w:r>
          </w:p>
        </w:tc>
        <w:tc>
          <w:tcPr>
            <w:tcW w:type="dxa" w:w="5141"/>
            <w:shd w:fill="F4F7FA"/>
            <w:vAlign w:val="center"/>
          </w:tcPr>
          <w:p>
            <w:pPr>
              <w:spacing w:after="0"/>
            </w:pPr>
            <w:r/>
            <w:r>
              <w:rPr>
                <w:rFonts w:ascii="Aptos" w:hAnsi="Aptos"/>
                <w:b w:val="0"/>
                <w:color w:val="222222"/>
                <w:sz w:val="16"/>
              </w:rPr>
              <w:t>Supervised Learning — Regression</w:t>
            </w:r>
          </w:p>
        </w:tc>
      </w:tr>
      <w:tr>
        <w:tc>
          <w:tcPr>
            <w:tcW w:type="dxa" w:w="5141"/>
            <w:vAlign w:val="center"/>
          </w:tcPr>
          <w:p>
            <w:pPr>
              <w:spacing w:after="0"/>
            </w:pPr>
            <w:r/>
            <w:r>
              <w:rPr>
                <w:rFonts w:ascii="Aptos" w:hAnsi="Aptos"/>
                <w:b w:val="0"/>
                <w:color w:val="222222"/>
                <w:sz w:val="16"/>
              </w:rPr>
              <w:t>MODELS EVALUATED</w:t>
            </w:r>
          </w:p>
        </w:tc>
        <w:tc>
          <w:tcPr>
            <w:tcW w:type="dxa" w:w="5141"/>
            <w:vAlign w:val="center"/>
          </w:tcPr>
          <w:p>
            <w:pPr>
              <w:spacing w:after="0"/>
            </w:pPr>
            <w:r/>
            <w:r>
              <w:rPr>
                <w:rFonts w:ascii="Aptos" w:hAnsi="Aptos"/>
                <w:b w:val="0"/>
                <w:color w:val="222222"/>
                <w:sz w:val="16"/>
              </w:rPr>
              <w:t>Linear Regression, Random Forest, Gradient Boosting</w:t>
            </w:r>
          </w:p>
        </w:tc>
      </w:tr>
      <w:tr>
        <w:tc>
          <w:tcPr>
            <w:tcW w:type="dxa" w:w="5141"/>
            <w:shd w:fill="F4F7FA"/>
            <w:vAlign w:val="center"/>
          </w:tcPr>
          <w:p>
            <w:pPr>
              <w:spacing w:after="0"/>
            </w:pPr>
            <w:r/>
            <w:r>
              <w:rPr>
                <w:rFonts w:ascii="Aptos" w:hAnsi="Aptos"/>
                <w:b w:val="0"/>
                <w:color w:val="222222"/>
                <w:sz w:val="16"/>
              </w:rPr>
              <w:t>FINAL MODEL</w:t>
            </w:r>
          </w:p>
        </w:tc>
        <w:tc>
          <w:tcPr>
            <w:tcW w:type="dxa" w:w="5141"/>
            <w:shd w:fill="F4F7FA"/>
            <w:vAlign w:val="center"/>
          </w:tcPr>
          <w:p>
            <w:pPr>
              <w:spacing w:after="0"/>
            </w:pPr>
            <w:r/>
            <w:r>
              <w:rPr>
                <w:rFonts w:ascii="Aptos" w:hAnsi="Aptos"/>
                <w:b w:val="0"/>
                <w:color w:val="222222"/>
                <w:sz w:val="16"/>
              </w:rPr>
              <w:t>Random Forest Regressor</w:t>
            </w:r>
          </w:p>
        </w:tc>
      </w:tr>
      <w:tr>
        <w:tc>
          <w:tcPr>
            <w:tcW w:type="dxa" w:w="5141"/>
            <w:vAlign w:val="center"/>
          </w:tcPr>
          <w:p>
            <w:pPr>
              <w:spacing w:after="0"/>
            </w:pPr>
            <w:r/>
            <w:r>
              <w:rPr>
                <w:rFonts w:ascii="Aptos" w:hAnsi="Aptos"/>
                <w:b w:val="0"/>
                <w:color w:val="222222"/>
                <w:sz w:val="16"/>
              </w:rPr>
              <w:t>DATASET SIZE</w:t>
            </w:r>
          </w:p>
        </w:tc>
        <w:tc>
          <w:tcPr>
            <w:tcW w:type="dxa" w:w="5141"/>
            <w:vAlign w:val="center"/>
          </w:tcPr>
          <w:p>
            <w:pPr>
              <w:spacing w:after="0"/>
            </w:pPr>
            <w:r/>
            <w:r>
              <w:rPr>
                <w:rFonts w:ascii="Aptos" w:hAnsi="Aptos"/>
                <w:b w:val="0"/>
                <w:color w:val="222222"/>
                <w:sz w:val="16"/>
              </w:rPr>
              <w:t>14,223 cleaned property records; 12 original columns</w:t>
            </w:r>
          </w:p>
        </w:tc>
      </w:tr>
      <w:tr>
        <w:tc>
          <w:tcPr>
            <w:tcW w:type="dxa" w:w="5141"/>
            <w:shd w:fill="F4F7FA"/>
            <w:vAlign w:val="center"/>
          </w:tcPr>
          <w:p>
            <w:pPr>
              <w:spacing w:after="0"/>
            </w:pPr>
            <w:r/>
            <w:r>
              <w:rPr>
                <w:rFonts w:ascii="Aptos" w:hAnsi="Aptos"/>
                <w:b w:val="0"/>
                <w:color w:val="222222"/>
                <w:sz w:val="16"/>
              </w:rPr>
              <w:t>TRAIN / TEST</w:t>
            </w:r>
          </w:p>
        </w:tc>
        <w:tc>
          <w:tcPr>
            <w:tcW w:type="dxa" w:w="5141"/>
            <w:shd w:fill="F4F7FA"/>
            <w:vAlign w:val="center"/>
          </w:tcPr>
          <w:p>
            <w:pPr>
              <w:spacing w:after="0"/>
            </w:pPr>
            <w:r/>
            <w:r>
              <w:rPr>
                <w:rFonts w:ascii="Aptos" w:hAnsi="Aptos"/>
                <w:b w:val="0"/>
                <w:color w:val="222222"/>
                <w:sz w:val="16"/>
              </w:rPr>
              <w:t>11,378 training / 2,845 test observations</w:t>
            </w:r>
          </w:p>
        </w:tc>
      </w:tr>
      <w:tr>
        <w:tc>
          <w:tcPr>
            <w:tcW w:type="dxa" w:w="5141"/>
            <w:vAlign w:val="center"/>
          </w:tcPr>
          <w:p>
            <w:pPr>
              <w:spacing w:after="0"/>
            </w:pPr>
            <w:r/>
            <w:r>
              <w:rPr>
                <w:rFonts w:ascii="Aptos" w:hAnsi="Aptos"/>
                <w:b w:val="0"/>
                <w:color w:val="222222"/>
                <w:sz w:val="16"/>
              </w:rPr>
              <w:t>TARGET VARIABLE</w:t>
            </w:r>
          </w:p>
        </w:tc>
        <w:tc>
          <w:tcPr>
            <w:tcW w:type="dxa" w:w="5141"/>
            <w:vAlign w:val="center"/>
          </w:tcPr>
          <w:p>
            <w:pPr>
              <w:spacing w:after="0"/>
            </w:pPr>
            <w:r/>
            <w:r>
              <w:rPr>
                <w:rFonts w:ascii="Aptos" w:hAnsi="Aptos"/>
                <w:b w:val="0"/>
                <w:color w:val="222222"/>
                <w:sz w:val="16"/>
              </w:rPr>
              <w:t>price</w:t>
            </w:r>
          </w:p>
        </w:tc>
      </w:tr>
      <w:tr>
        <w:tc>
          <w:tcPr>
            <w:tcW w:type="dxa" w:w="5141"/>
            <w:shd w:fill="F4F7FA"/>
            <w:vAlign w:val="center"/>
          </w:tcPr>
          <w:p>
            <w:pPr>
              <w:spacing w:after="0"/>
            </w:pPr>
            <w:r/>
            <w:r>
              <w:rPr>
                <w:rFonts w:ascii="Aptos" w:hAnsi="Aptos"/>
                <w:b w:val="0"/>
                <w:color w:val="222222"/>
                <w:sz w:val="16"/>
              </w:rPr>
              <w:t>TEST R²</w:t>
            </w:r>
          </w:p>
        </w:tc>
        <w:tc>
          <w:tcPr>
            <w:tcW w:type="dxa" w:w="5141"/>
            <w:shd w:fill="F4F7FA"/>
            <w:vAlign w:val="center"/>
          </w:tcPr>
          <w:p>
            <w:pPr>
              <w:spacing w:after="0"/>
            </w:pPr>
            <w:r/>
            <w:r>
              <w:rPr>
                <w:rFonts w:ascii="Aptos" w:hAnsi="Aptos"/>
                <w:b w:val="0"/>
                <w:color w:val="222222"/>
                <w:sz w:val="16"/>
              </w:rPr>
              <w:t>69.86%</w:t>
            </w:r>
          </w:p>
        </w:tc>
      </w:tr>
      <w:tr>
        <w:tc>
          <w:tcPr>
            <w:tcW w:type="dxa" w:w="5141"/>
            <w:vAlign w:val="center"/>
          </w:tcPr>
          <w:p>
            <w:pPr>
              <w:spacing w:after="0"/>
            </w:pPr>
            <w:r/>
            <w:r>
              <w:rPr>
                <w:rFonts w:ascii="Aptos" w:hAnsi="Aptos"/>
                <w:b w:val="0"/>
                <w:color w:val="222222"/>
                <w:sz w:val="16"/>
              </w:rPr>
              <w:t>MEAN 5-FOLD CV R²</w:t>
            </w:r>
          </w:p>
        </w:tc>
        <w:tc>
          <w:tcPr>
            <w:tcW w:type="dxa" w:w="5141"/>
            <w:vAlign w:val="center"/>
          </w:tcPr>
          <w:p>
            <w:pPr>
              <w:spacing w:after="0"/>
            </w:pPr>
            <w:r/>
            <w:r>
              <w:rPr>
                <w:rFonts w:ascii="Aptos" w:hAnsi="Aptos"/>
                <w:b w:val="0"/>
                <w:color w:val="222222"/>
                <w:sz w:val="16"/>
              </w:rPr>
              <w:t>57.06%</w:t>
            </w:r>
          </w:p>
        </w:tc>
      </w:tr>
    </w:tbl>
    <w:p>
      <w:pPr>
        <w:spacing w:after="20" w:before="0"/>
      </w:pPr>
    </w:p>
    <w:tbl>
      <w:tblPr>
        <w:tblW w:type="auto" w:w="0"/>
        <w:jc w:val="center"/>
        <w:tblLook w:firstColumn="1" w:firstRow="1" w:lastColumn="0" w:lastRow="0" w:noHBand="0" w:noVBand="1" w:val="04A0"/>
      </w:tblPr>
      <w:tblGrid>
        <w:gridCol w:w="10282"/>
      </w:tblGrid>
      <w:tr>
        <w:tc>
          <w:tcPr>
            <w:tcW w:type="dxa" w:w="10282"/>
            <w:shd w:fill="EAF2F8"/>
          </w:tcPr>
          <w:p>
            <w:pPr>
              <w:spacing w:after="20"/>
            </w:pPr>
            <w:r>
              <w:rPr>
                <w:b/>
                <w:color w:val="17365D"/>
                <w:sz w:val="18"/>
              </w:rPr>
              <w:t>Technical Verification Note</w:t>
            </w:r>
          </w:p>
          <w:p>
            <w:pPr>
              <w:spacing w:after="20"/>
            </w:pPr>
            <w:r>
              <w:rPr>
                <w:sz w:val="17"/>
              </w:rPr>
              <w:t>All reported Week 4 metrics, feature-importance values, prediction examples, and visualizations are derived from the executed Supervised Learning notebook and its exported regression-results dataset. No placeholder figures or estimated model results are used.</w:t>
            </w:r>
          </w:p>
        </w:tc>
      </w:tr>
    </w:tbl>
    <w:p>
      <w:pPr>
        <w:spacing w:after="0"/>
      </w:pPr>
    </w:p>
    <w:p>
      <w:pPr>
        <w:spacing w:before="300"/>
        <w:jc w:val="center"/>
      </w:pPr>
      <w:r>
        <w:rPr>
          <w:i/>
          <w:color w:val="68737D"/>
          <w:sz w:val="17"/>
        </w:rPr>
        <w:t>Prepared as the Week 4 technical milestone of the six-week virtual internship.</w:t>
      </w:r>
      <w:r>
        <w:br w:type="page"/>
      </w:r>
    </w:p>
    <w:p>
      <w:pPr>
        <w:pStyle w:val="Heading1"/>
      </w:pPr>
      <w:r>
        <w:t>1. Introduction</w:t>
      </w:r>
    </w:p>
    <w:p>
      <w:pPr>
        <w:spacing w:after="80"/>
      </w:pPr>
      <w:r>
        <w:rPr>
          <w:i/>
          <w:color w:val="68737D"/>
          <w:sz w:val="17"/>
        </w:rPr>
        <w:t>Supervised learning is used when historical examples with known outcomes are available for learning a predictive relationship.</w:t>
      </w:r>
    </w:p>
    <w:p>
      <w:r>
        <w:t>Week 4 applies supervised learning to the cleaned Gurugram real-estate dataset developed in the earlier internship stages. The selected problem is property price prediction, formulated as a regression task because price is a continuous numerical target. The workflow combines structured preprocessing, feature engineering, model training, held-out testing, cross-validation, model comparison, and interpretation.</w:t>
      </w:r>
    </w:p>
    <w:p>
      <w:pPr>
        <w:pStyle w:val="Heading2"/>
      </w:pPr>
      <w:r>
        <w:t>1.1 Objectives</w:t>
      </w:r>
    </w:p>
    <w:p>
      <w:pPr>
        <w:pStyle w:val="ListBullet"/>
        <w:spacing w:after="30"/>
        <w:ind w:left="259"/>
      </w:pPr>
      <w:r>
        <w:t>Define a clear supervised regression problem with property price as the target.</w:t>
      </w:r>
    </w:p>
    <w:p>
      <w:pPr>
        <w:pStyle w:val="ListBullet"/>
        <w:spacing w:after="30"/>
        <w:ind w:left="259"/>
      </w:pPr>
      <w:r>
        <w:t>Prepare numerical and categorical predictors in a reproducible Scikit-learn pipeline.</w:t>
      </w:r>
    </w:p>
    <w:p>
      <w:pPr>
        <w:pStyle w:val="ListBullet"/>
        <w:spacing w:after="30"/>
        <w:ind w:left="259"/>
      </w:pPr>
      <w:r>
        <w:t>Convert RERA approval to a binary numeric indicator and one-hot encode categorical variables.</w:t>
      </w:r>
    </w:p>
    <w:p>
      <w:pPr>
        <w:pStyle w:val="ListBullet"/>
        <w:spacing w:after="30"/>
        <w:ind w:left="259"/>
      </w:pPr>
      <w:r>
        <w:t>Compare Linear Regression, Random Forest, and Gradient Boosting.</w:t>
      </w:r>
    </w:p>
    <w:p>
      <w:pPr>
        <w:pStyle w:val="ListBullet"/>
        <w:spacing w:after="30"/>
        <w:ind w:left="259"/>
      </w:pPr>
      <w:r>
        <w:t>Validate model performance with a held-out test set and 5-fold cross-validation.</w:t>
      </w:r>
    </w:p>
    <w:p>
      <w:pPr>
        <w:pStyle w:val="ListBullet"/>
        <w:spacing w:after="30"/>
        <w:ind w:left="259"/>
      </w:pPr>
      <w:r>
        <w:t>Interpret the final model through predictions, residuals, and feature importance.</w:t>
      </w:r>
    </w:p>
    <w:p>
      <w:pPr>
        <w:pStyle w:val="ListBullet"/>
        <w:spacing w:after="30"/>
        <w:ind w:left="259"/>
      </w:pPr>
      <w:r>
        <w:t>Export row-level actual, predicted, and residual values for the final model.</w:t>
      </w:r>
    </w:p>
    <w:p>
      <w:pPr>
        <w:pStyle w:val="Heading2"/>
      </w:pPr>
      <w:r>
        <w:t>1.2 Dataset Snapshot</w:t>
      </w:r>
    </w:p>
    <w:tbl>
      <w:tblPr>
        <w:tblStyle w:val="TableGrid"/>
        <w:tblW w:type="auto" w:w="0"/>
        <w:jc w:val="center"/>
        <w:tblLook w:firstColumn="1" w:firstRow="1" w:lastColumn="0" w:lastRow="0" w:noHBand="0" w:noVBand="1" w:val="04A0"/>
      </w:tblPr>
      <w:tblGrid>
        <w:gridCol w:w="5141"/>
        <w:gridCol w:w="5141"/>
      </w:tblGrid>
      <w:tr>
        <w:tc>
          <w:tcPr>
            <w:tcW w:type="dxa" w:w="5141"/>
            <w:shd w:fill="17365D"/>
            <w:vAlign w:val="center"/>
          </w:tcPr>
          <w:p>
            <w:pPr>
              <w:spacing w:after="0"/>
            </w:pPr>
            <w:r/>
            <w:r>
              <w:rPr>
                <w:rFonts w:ascii="Aptos" w:hAnsi="Aptos"/>
                <w:b/>
                <w:color w:val="FFFFFF"/>
                <w:sz w:val="16"/>
              </w:rPr>
              <w:t>Attribute</w:t>
            </w:r>
          </w:p>
        </w:tc>
        <w:tc>
          <w:tcPr>
            <w:tcW w:type="dxa" w:w="5141"/>
            <w:shd w:fill="17365D"/>
            <w:vAlign w:val="center"/>
          </w:tcPr>
          <w:p>
            <w:pPr>
              <w:spacing w:after="0"/>
            </w:pPr>
            <w:r/>
            <w:r>
              <w:rPr>
                <w:rFonts w:ascii="Aptos" w:hAnsi="Aptos"/>
                <w:b/>
                <w:color w:val="FFFFFF"/>
                <w:sz w:val="16"/>
              </w:rPr>
              <w:t>Verified value</w:t>
            </w:r>
          </w:p>
        </w:tc>
      </w:tr>
      <w:tr>
        <w:tc>
          <w:tcPr>
            <w:tcW w:type="dxa" w:w="5141"/>
            <w:shd w:fill="F4F7FA"/>
            <w:vAlign w:val="center"/>
          </w:tcPr>
          <w:p>
            <w:pPr>
              <w:spacing w:after="0"/>
            </w:pPr>
            <w:r/>
            <w:r>
              <w:rPr>
                <w:rFonts w:ascii="Aptos" w:hAnsi="Aptos"/>
                <w:b w:val="0"/>
                <w:color w:val="222222"/>
                <w:sz w:val="16"/>
              </w:rPr>
              <w:t>Rows after cleaning</w:t>
            </w:r>
          </w:p>
        </w:tc>
        <w:tc>
          <w:tcPr>
            <w:tcW w:type="dxa" w:w="5141"/>
            <w:shd w:fill="F4F7FA"/>
            <w:vAlign w:val="center"/>
          </w:tcPr>
          <w:p>
            <w:pPr>
              <w:spacing w:after="0"/>
            </w:pPr>
            <w:r/>
            <w:r>
              <w:rPr>
                <w:rFonts w:ascii="Aptos" w:hAnsi="Aptos"/>
                <w:b w:val="0"/>
                <w:color w:val="222222"/>
                <w:sz w:val="16"/>
              </w:rPr>
              <w:t>14,223</w:t>
            </w:r>
          </w:p>
        </w:tc>
      </w:tr>
      <w:tr>
        <w:tc>
          <w:tcPr>
            <w:tcW w:type="dxa" w:w="5141"/>
            <w:vAlign w:val="center"/>
          </w:tcPr>
          <w:p>
            <w:pPr>
              <w:spacing w:after="0"/>
            </w:pPr>
            <w:r/>
            <w:r>
              <w:rPr>
                <w:rFonts w:ascii="Aptos" w:hAnsi="Aptos"/>
                <w:b w:val="0"/>
                <w:color w:val="222222"/>
                <w:sz w:val="16"/>
              </w:rPr>
              <w:t>Original columns</w:t>
            </w:r>
          </w:p>
        </w:tc>
        <w:tc>
          <w:tcPr>
            <w:tcW w:type="dxa" w:w="5141"/>
            <w:vAlign w:val="center"/>
          </w:tcPr>
          <w:p>
            <w:pPr>
              <w:spacing w:after="0"/>
            </w:pPr>
            <w:r/>
            <w:r>
              <w:rPr>
                <w:rFonts w:ascii="Aptos" w:hAnsi="Aptos"/>
                <w:b w:val="0"/>
                <w:color w:val="222222"/>
                <w:sz w:val="16"/>
              </w:rPr>
              <w:t>12</w:t>
            </w:r>
          </w:p>
        </w:tc>
      </w:tr>
      <w:tr>
        <w:tc>
          <w:tcPr>
            <w:tcW w:type="dxa" w:w="5141"/>
            <w:shd w:fill="F4F7FA"/>
            <w:vAlign w:val="center"/>
          </w:tcPr>
          <w:p>
            <w:pPr>
              <w:spacing w:after="0"/>
            </w:pPr>
            <w:r/>
            <w:r>
              <w:rPr>
                <w:rFonts w:ascii="Aptos" w:hAnsi="Aptos"/>
                <w:b w:val="0"/>
                <w:color w:val="222222"/>
                <w:sz w:val="16"/>
              </w:rPr>
              <w:t>Missing values</w:t>
            </w:r>
          </w:p>
        </w:tc>
        <w:tc>
          <w:tcPr>
            <w:tcW w:type="dxa" w:w="5141"/>
            <w:shd w:fill="F4F7FA"/>
            <w:vAlign w:val="center"/>
          </w:tcPr>
          <w:p>
            <w:pPr>
              <w:spacing w:after="0"/>
            </w:pPr>
            <w:r/>
            <w:r>
              <w:rPr>
                <w:rFonts w:ascii="Aptos" w:hAnsi="Aptos"/>
                <w:b w:val="0"/>
                <w:color w:val="222222"/>
                <w:sz w:val="16"/>
              </w:rPr>
              <w:t>0</w:t>
            </w:r>
          </w:p>
        </w:tc>
      </w:tr>
      <w:tr>
        <w:tc>
          <w:tcPr>
            <w:tcW w:type="dxa" w:w="5141"/>
            <w:vAlign w:val="center"/>
          </w:tcPr>
          <w:p>
            <w:pPr>
              <w:spacing w:after="0"/>
            </w:pPr>
            <w:r/>
            <w:r>
              <w:rPr>
                <w:rFonts w:ascii="Aptos" w:hAnsi="Aptos"/>
                <w:b w:val="0"/>
                <w:color w:val="222222"/>
                <w:sz w:val="16"/>
              </w:rPr>
              <w:t>Target</w:t>
            </w:r>
          </w:p>
        </w:tc>
        <w:tc>
          <w:tcPr>
            <w:tcW w:type="dxa" w:w="5141"/>
            <w:vAlign w:val="center"/>
          </w:tcPr>
          <w:p>
            <w:pPr>
              <w:spacing w:after="0"/>
            </w:pPr>
            <w:r/>
            <w:r>
              <w:rPr>
                <w:rFonts w:ascii="Aptos" w:hAnsi="Aptos"/>
                <w:b w:val="0"/>
                <w:color w:val="222222"/>
                <w:sz w:val="16"/>
              </w:rPr>
              <w:t>price</w:t>
            </w:r>
          </w:p>
        </w:tc>
      </w:tr>
      <w:tr>
        <w:tc>
          <w:tcPr>
            <w:tcW w:type="dxa" w:w="5141"/>
            <w:shd w:fill="F4F7FA"/>
            <w:vAlign w:val="center"/>
          </w:tcPr>
          <w:p>
            <w:pPr>
              <w:spacing w:after="0"/>
            </w:pPr>
            <w:r/>
            <w:r>
              <w:rPr>
                <w:rFonts w:ascii="Aptos" w:hAnsi="Aptos"/>
                <w:b w:val="0"/>
                <w:color w:val="222222"/>
                <w:sz w:val="16"/>
              </w:rPr>
              <w:t>Predictors</w:t>
            </w:r>
          </w:p>
        </w:tc>
        <w:tc>
          <w:tcPr>
            <w:tcW w:type="dxa" w:w="5141"/>
            <w:shd w:fill="F4F7FA"/>
            <w:vAlign w:val="center"/>
          </w:tcPr>
          <w:p>
            <w:pPr>
              <w:spacing w:after="0"/>
            </w:pPr>
            <w:r/>
            <w:r>
              <w:rPr>
                <w:rFonts w:ascii="Aptos" w:hAnsi="Aptos"/>
                <w:b w:val="0"/>
                <w:color w:val="222222"/>
                <w:sz w:val="16"/>
              </w:rPr>
              <w:t>area, bhk_count, rera_approval, status, flat_type</w:t>
            </w:r>
          </w:p>
        </w:tc>
      </w:tr>
      <w:tr>
        <w:tc>
          <w:tcPr>
            <w:tcW w:type="dxa" w:w="5141"/>
            <w:vAlign w:val="center"/>
          </w:tcPr>
          <w:p>
            <w:pPr>
              <w:spacing w:after="0"/>
            </w:pPr>
            <w:r/>
            <w:r>
              <w:rPr>
                <w:rFonts w:ascii="Aptos" w:hAnsi="Aptos"/>
                <w:b w:val="0"/>
                <w:color w:val="222222"/>
                <w:sz w:val="16"/>
              </w:rPr>
              <w:t>Excluded leakage variable</w:t>
            </w:r>
          </w:p>
        </w:tc>
        <w:tc>
          <w:tcPr>
            <w:tcW w:type="dxa" w:w="5141"/>
            <w:vAlign w:val="center"/>
          </w:tcPr>
          <w:p>
            <w:pPr>
              <w:spacing w:after="0"/>
            </w:pPr>
            <w:r/>
            <w:r>
              <w:rPr>
                <w:rFonts w:ascii="Aptos" w:hAnsi="Aptos"/>
                <w:b w:val="0"/>
                <w:color w:val="222222"/>
                <w:sz w:val="16"/>
              </w:rPr>
              <w:t>rate_per_sqft</w:t>
            </w:r>
          </w:p>
        </w:tc>
      </w:tr>
      <w:tr>
        <w:tc>
          <w:tcPr>
            <w:tcW w:type="dxa" w:w="5141"/>
            <w:shd w:fill="F4F7FA"/>
            <w:vAlign w:val="center"/>
          </w:tcPr>
          <w:p>
            <w:pPr>
              <w:spacing w:after="0"/>
            </w:pPr>
            <w:r/>
            <w:r>
              <w:rPr>
                <w:rFonts w:ascii="Aptos" w:hAnsi="Aptos"/>
                <w:b w:val="0"/>
                <w:color w:val="222222"/>
                <w:sz w:val="16"/>
              </w:rPr>
              <w:t>Excluded high-cardinality fields</w:t>
            </w:r>
          </w:p>
        </w:tc>
        <w:tc>
          <w:tcPr>
            <w:tcW w:type="dxa" w:w="5141"/>
            <w:shd w:fill="F4F7FA"/>
            <w:vAlign w:val="center"/>
          </w:tcPr>
          <w:p>
            <w:pPr>
              <w:spacing w:after="0"/>
            </w:pPr>
            <w:r/>
            <w:r>
              <w:rPr>
                <w:rFonts w:ascii="Aptos" w:hAnsi="Aptos"/>
                <w:b w:val="0"/>
                <w:color w:val="222222"/>
                <w:sz w:val="16"/>
              </w:rPr>
              <w:t>property_type, locality, builder_name, society, company_name</w:t>
            </w:r>
          </w:p>
        </w:tc>
      </w:tr>
    </w:tbl>
    <w:p>
      <w:pPr>
        <w:spacing w:after="20" w:before="0"/>
      </w:pPr>
    </w:p>
    <w:p>
      <w:pPr>
        <w:pStyle w:val="Heading2"/>
      </w:pPr>
      <w:r>
        <w:t>1.3 Why regression rather than classification?</w:t>
      </w:r>
    </w:p>
    <w:p>
      <w:r>
        <w:t>The model predicts an amount of money rather than a class label. Therefore, conventional classification accuracy is not an appropriate metric. R², MAE, MSE, and RMSE are used instead. For presentation convenience, the R² values are also expressed as percentages; this does not turn the regression task into an accuracy-based classification problem.</w:t>
      </w:r>
    </w:p>
    <w:tbl>
      <w:tblPr>
        <w:tblW w:type="auto" w:w="0"/>
        <w:jc w:val="center"/>
        <w:tblLook w:firstColumn="1" w:firstRow="1" w:lastColumn="0" w:lastRow="0" w:noHBand="0" w:noVBand="1" w:val="04A0"/>
      </w:tblPr>
      <w:tblGrid>
        <w:gridCol w:w="10282"/>
      </w:tblGrid>
      <w:tr>
        <w:tc>
          <w:tcPr>
            <w:tcW w:type="dxa" w:w="10282"/>
            <w:shd w:fill="EAF2F8"/>
          </w:tcPr>
          <w:p>
            <w:pPr>
              <w:spacing w:after="20"/>
            </w:pPr>
            <w:r>
              <w:rPr>
                <w:b/>
                <w:color w:val="17365D"/>
                <w:sz w:val="18"/>
              </w:rPr>
              <w:t>Primary result</w:t>
            </w:r>
          </w:p>
          <w:p>
            <w:pPr>
              <w:spacing w:after="20"/>
            </w:pPr>
            <w:r>
              <w:rPr>
                <w:sz w:val="17"/>
              </w:rPr>
              <w:t>Random Forest achieved the strongest held-out performance with a test R² of 69.86% and mean 5-fold cross-validation R² of 57.06%.</w:t>
            </w:r>
          </w:p>
        </w:tc>
      </w:tr>
    </w:tbl>
    <w:p>
      <w:pPr>
        <w:spacing w:after="0"/>
      </w:pPr>
    </w:p>
    <w:p>
      <w:pPr>
        <w:pStyle w:val="Heading1"/>
      </w:pPr>
      <w:r>
        <w:t>2. Data Preparation and Feature Engineering</w:t>
      </w:r>
    </w:p>
    <w:p>
      <w:pPr>
        <w:spacing w:after="80"/>
      </w:pPr>
      <w:r>
        <w:rPr>
          <w:i/>
          <w:color w:val="68737D"/>
          <w:sz w:val="17"/>
        </w:rPr>
        <w:t>The modeling pipeline ensures that the same transformations are applied consistently during training, testing, and cross-validation.</w:t>
      </w:r>
    </w:p>
    <w:p>
      <w:pPr>
        <w:pStyle w:val="Heading2"/>
      </w:pPr>
      <w:r>
        <w:t>2.1 Target and predictor selection</w:t>
      </w:r>
    </w:p>
    <w:p>
      <w:pPr>
        <w:pStyle w:val="Code"/>
        <w:ind w:left="173" w:right="173"/>
      </w:pPr>
      <w:r>
        <w:t>X = df[</w:t>
        <w:br/>
        <w:t xml:space="preserve">    ['area', 'bhk_count', 'rera_approval', 'status', 'flat_type']</w:t>
        <w:br/>
        <w:t>].copy()</w:t>
        <w:br/>
        <w:br/>
        <w:t>y = df['price'].copy()</w:t>
      </w:r>
    </w:p>
    <w:p>
      <w:r>
        <w:t>The predictor matrix contains five variables and the target contains 14,223 price observations. The train-test split later produces 11,378 training and 2,845 test observations.</w:t>
      </w:r>
    </w:p>
    <w:p>
      <w:pPr>
        <w:pStyle w:val="Heading2"/>
      </w:pPr>
      <w:r>
        <w:t>2.2 Numeric and categorical representation</w:t>
      </w:r>
    </w:p>
    <w:p>
      <w:pPr>
        <w:pStyle w:val="Code"/>
        <w:ind w:left="173" w:right="173"/>
      </w:pPr>
      <w:r>
        <w:t>X['rera_approval'] = X['rera_approval'].astype(int)</w:t>
      </w:r>
    </w:p>
    <w:p>
      <w:r>
        <w:t>RERA approval is represented numerically as False = 0 and True = 1. The executed notebook verified 8,774 non-approved and 5,449 approved records. Status and flat type remain categorical and are one-hot encoded within the preprocessing pipeline.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vAlign w:val="center"/>
          </w:tcPr>
          <w:p>
            <w:pPr>
              <w:spacing w:after="0"/>
            </w:pPr>
            <w:r/>
            <w:r>
              <w:rPr>
                <w:rFonts w:ascii="Aptos" w:hAnsi="Aptos"/>
                <w:b/>
                <w:color w:val="FFFFFF"/>
                <w:sz w:val="16"/>
              </w:rPr>
              <w:t>Feature group</w:t>
            </w:r>
          </w:p>
        </w:tc>
        <w:tc>
          <w:tcPr>
            <w:tcW w:type="dxa" w:w="3427"/>
            <w:shd w:fill="17365D"/>
            <w:vAlign w:val="center"/>
          </w:tcPr>
          <w:p>
            <w:pPr>
              <w:spacing w:after="0"/>
            </w:pPr>
            <w:r/>
            <w:r>
              <w:rPr>
                <w:rFonts w:ascii="Aptos" w:hAnsi="Aptos"/>
                <w:b/>
                <w:color w:val="FFFFFF"/>
                <w:sz w:val="16"/>
              </w:rPr>
              <w:t>Variables</w:t>
            </w:r>
          </w:p>
        </w:tc>
        <w:tc>
          <w:tcPr>
            <w:tcW w:type="dxa" w:w="3427"/>
            <w:shd w:fill="17365D"/>
            <w:vAlign w:val="center"/>
          </w:tcPr>
          <w:p>
            <w:pPr>
              <w:spacing w:after="0"/>
            </w:pPr>
            <w:r/>
            <w:r>
              <w:rPr>
                <w:rFonts w:ascii="Aptos" w:hAnsi="Aptos"/>
                <w:b/>
                <w:color w:val="FFFFFF"/>
                <w:sz w:val="16"/>
              </w:rPr>
              <w:t>Treatment</w:t>
            </w:r>
          </w:p>
        </w:tc>
      </w:tr>
      <w:tr>
        <w:tc>
          <w:tcPr>
            <w:tcW w:type="dxa" w:w="3427"/>
            <w:shd w:fill="F4F7FA"/>
            <w:vAlign w:val="center"/>
          </w:tcPr>
          <w:p>
            <w:pPr>
              <w:spacing w:after="0"/>
            </w:pPr>
            <w:r/>
            <w:r>
              <w:rPr>
                <w:rFonts w:ascii="Aptos" w:hAnsi="Aptos"/>
                <w:b w:val="0"/>
                <w:color w:val="222222"/>
                <w:sz w:val="16"/>
              </w:rPr>
              <w:t>Numerical</w:t>
            </w:r>
          </w:p>
        </w:tc>
        <w:tc>
          <w:tcPr>
            <w:tcW w:type="dxa" w:w="3427"/>
            <w:shd w:fill="F4F7FA"/>
            <w:vAlign w:val="center"/>
          </w:tcPr>
          <w:p>
            <w:pPr>
              <w:spacing w:after="0"/>
            </w:pPr>
            <w:r/>
            <w:r>
              <w:rPr>
                <w:rFonts w:ascii="Aptos" w:hAnsi="Aptos"/>
                <w:b w:val="0"/>
                <w:color w:val="222222"/>
                <w:sz w:val="16"/>
              </w:rPr>
              <w:t>area, bhk_count, rera_approval</w:t>
            </w:r>
          </w:p>
        </w:tc>
        <w:tc>
          <w:tcPr>
            <w:tcW w:type="dxa" w:w="3427"/>
            <w:shd w:fill="F4F7FA"/>
            <w:vAlign w:val="center"/>
          </w:tcPr>
          <w:p>
            <w:pPr>
              <w:spacing w:after="0"/>
            </w:pPr>
            <w:r/>
            <w:r>
              <w:rPr>
                <w:rFonts w:ascii="Aptos" w:hAnsi="Aptos"/>
                <w:b w:val="0"/>
                <w:color w:val="222222"/>
                <w:sz w:val="16"/>
              </w:rPr>
              <w:t>Median imputation + StandardScaler</w:t>
            </w:r>
          </w:p>
        </w:tc>
      </w:tr>
      <w:tr>
        <w:tc>
          <w:tcPr>
            <w:tcW w:type="dxa" w:w="3427"/>
            <w:vAlign w:val="center"/>
          </w:tcPr>
          <w:p>
            <w:pPr>
              <w:spacing w:after="0"/>
            </w:pPr>
            <w:r/>
            <w:r>
              <w:rPr>
                <w:rFonts w:ascii="Aptos" w:hAnsi="Aptos"/>
                <w:b w:val="0"/>
                <w:color w:val="222222"/>
                <w:sz w:val="16"/>
              </w:rPr>
              <w:t>Categorical</w:t>
            </w:r>
          </w:p>
        </w:tc>
        <w:tc>
          <w:tcPr>
            <w:tcW w:type="dxa" w:w="3427"/>
            <w:vAlign w:val="center"/>
          </w:tcPr>
          <w:p>
            <w:pPr>
              <w:spacing w:after="0"/>
            </w:pPr>
            <w:r/>
            <w:r>
              <w:rPr>
                <w:rFonts w:ascii="Aptos" w:hAnsi="Aptos"/>
                <w:b w:val="0"/>
                <w:color w:val="222222"/>
                <w:sz w:val="16"/>
              </w:rPr>
              <w:t>status, flat_type</w:t>
            </w:r>
          </w:p>
        </w:tc>
        <w:tc>
          <w:tcPr>
            <w:tcW w:type="dxa" w:w="3427"/>
            <w:vAlign w:val="center"/>
          </w:tcPr>
          <w:p>
            <w:pPr>
              <w:spacing w:after="0"/>
            </w:pPr>
            <w:r/>
            <w:r>
              <w:rPr>
                <w:rFonts w:ascii="Aptos" w:hAnsi="Aptos"/>
                <w:b w:val="0"/>
                <w:color w:val="222222"/>
                <w:sz w:val="16"/>
              </w:rPr>
              <w:t>Most-frequent imputation + OneHotEncoder</w:t>
            </w:r>
          </w:p>
        </w:tc>
      </w:tr>
      <w:tr>
        <w:tc>
          <w:tcPr>
            <w:tcW w:type="dxa" w:w="3427"/>
            <w:shd w:fill="F4F7FA"/>
            <w:vAlign w:val="center"/>
          </w:tcPr>
          <w:p>
            <w:pPr>
              <w:spacing w:after="0"/>
            </w:pPr>
            <w:r/>
            <w:r>
              <w:rPr>
                <w:rFonts w:ascii="Aptos" w:hAnsi="Aptos"/>
                <w:b w:val="0"/>
                <w:color w:val="222222"/>
                <w:sz w:val="16"/>
              </w:rPr>
              <w:t>Target</w:t>
            </w:r>
          </w:p>
        </w:tc>
        <w:tc>
          <w:tcPr>
            <w:tcW w:type="dxa" w:w="3427"/>
            <w:shd w:fill="F4F7FA"/>
            <w:vAlign w:val="center"/>
          </w:tcPr>
          <w:p>
            <w:pPr>
              <w:spacing w:after="0"/>
            </w:pPr>
            <w:r/>
            <w:r>
              <w:rPr>
                <w:rFonts w:ascii="Aptos" w:hAnsi="Aptos"/>
                <w:b w:val="0"/>
                <w:color w:val="222222"/>
                <w:sz w:val="16"/>
              </w:rPr>
              <w:t>price</w:t>
            </w:r>
          </w:p>
        </w:tc>
        <w:tc>
          <w:tcPr>
            <w:tcW w:type="dxa" w:w="3427"/>
            <w:shd w:fill="F4F7FA"/>
            <w:vAlign w:val="center"/>
          </w:tcPr>
          <w:p>
            <w:pPr>
              <w:spacing w:after="0"/>
            </w:pPr>
            <w:r/>
            <w:r>
              <w:rPr>
                <w:rFonts w:ascii="Aptos" w:hAnsi="Aptos"/>
                <w:b w:val="0"/>
                <w:color w:val="222222"/>
                <w:sz w:val="16"/>
              </w:rPr>
              <w:t>Continuous numerical target</w:t>
            </w:r>
          </w:p>
        </w:tc>
      </w:tr>
    </w:tbl>
    <w:p>
      <w:pPr>
        <w:spacing w:after="20" w:before="0"/>
      </w:pPr>
    </w:p>
    <w:p>
      <w:pPr>
        <w:pStyle w:val="Heading2"/>
      </w:pPr>
      <w:r>
        <w:t>2.3 Leakage and high-cardinality controls</w:t>
      </w:r>
    </w:p>
    <w:p>
      <w:r>
        <w:t>rate_per_sqft was deliberately excluded because it is derived from price and area. Including it as a predictor would expose target-derived information to the model and produce an unreliable evaluation. The fields property_type, locality, builder_name, society, and company_name were also excluded from this baseline because their high cardinality would create a large and less interpretable feature space.</w:t>
      </w:r>
    </w:p>
    <w:p>
      <w:pPr>
        <w:pStyle w:val="Heading2"/>
      </w:pPr>
      <w:r>
        <w:t>2.4 Preprocessing pipeline</w:t>
      </w:r>
    </w:p>
    <w:p>
      <w:pPr>
        <w:pStyle w:val="Code"/>
        <w:ind w:left="173" w:right="173"/>
      </w:pPr>
      <w:r>
        <w:t>numerical_transformer = Pipeline(</w:t>
        <w:br/>
        <w:t xml:space="preserve">    steps=[</w:t>
        <w:br/>
        <w:t xml:space="preserve">        ('imputer', SimpleImputer(strategy='median')),</w:t>
        <w:br/>
        <w:t xml:space="preserve">        ('scaler', StandardScaler())</w:t>
        <w:br/>
        <w:t xml:space="preserve">    ]</w:t>
        <w:br/>
        <w:t>)</w:t>
        <w:br/>
        <w:br/>
        <w:t>categorical_transformer = Pipeline(</w:t>
        <w:br/>
        <w:t xml:space="preserve">    steps=[</w:t>
        <w:br/>
        <w:t xml:space="preserve">        ('imputer', SimpleImputer(strategy='most_frequent')),</w:t>
        <w:br/>
        <w:t xml:space="preserve">        ('onehot', OneHotEncoder(</w:t>
        <w:br/>
        <w:t xml:space="preserve">            handle_unknown='ignore', drop='first'</w:t>
        <w:br/>
        <w:t xml:space="preserve">        ))</w:t>
        <w:br/>
        <w:t xml:space="preserve">    ]</w:t>
        <w:br/>
        <w:t>)</w:t>
      </w:r>
    </w:p>
    <w:p>
      <w:pPr>
        <w:pStyle w:val="Heading2"/>
      </w:pPr>
      <w:r>
        <w:t>2.5 Train-test split</w:t>
      </w:r>
    </w:p>
    <w:p>
      <w:pPr>
        <w:pStyle w:val="Code"/>
        <w:ind w:left="173" w:right="173"/>
      </w:pPr>
      <w:r>
        <w:t>X_train, X_test, y_train, y_test = train_test_split(</w:t>
        <w:br/>
        <w:t xml:space="preserve">    X, y, test_size=0.20, random_state=42</w:t>
        <w:br/>
        <w:t>)</w:t>
      </w:r>
    </w:p>
    <w:tbl>
      <w:tblPr>
        <w:tblW w:type="auto" w:w="0"/>
        <w:jc w:val="center"/>
        <w:tblLook w:firstColumn="1" w:firstRow="1" w:lastColumn="0" w:lastRow="0" w:noHBand="0" w:noVBand="1" w:val="04A0"/>
      </w:tblPr>
      <w:tblGrid>
        <w:gridCol w:w="10282"/>
      </w:tblGrid>
      <w:tr>
        <w:tc>
          <w:tcPr>
            <w:tcW w:type="dxa" w:w="10282"/>
            <w:shd w:fill="F4F7FA"/>
          </w:tcPr>
          <w:p>
            <w:pPr>
              <w:spacing w:after="20"/>
            </w:pPr>
            <w:r>
              <w:rPr>
                <w:b/>
                <w:color w:val="17365D"/>
                <w:sz w:val="18"/>
              </w:rPr>
              <w:t>Verified split</w:t>
            </w:r>
          </w:p>
          <w:p>
            <w:pPr>
              <w:spacing w:after="20"/>
            </w:pPr>
            <w:r>
              <w:rPr>
                <w:sz w:val="17"/>
              </w:rPr>
              <w:t>Training set: 11,378 observations  |  Test set: 2,845 observations  |  Test proportion: 20%.</w:t>
            </w:r>
          </w:p>
        </w:tc>
      </w:tr>
    </w:tbl>
    <w:p>
      <w:pPr>
        <w:spacing w:after="0"/>
      </w:pPr>
    </w:p>
    <w:p>
      <w:pPr>
        <w:pStyle w:val="Heading1"/>
      </w:pPr>
      <w:r>
        <w:t>3. Model Implementation and Validation</w:t>
      </w:r>
    </w:p>
    <w:p>
      <w:pPr>
        <w:pStyle w:val="Heading2"/>
      </w:pPr>
      <w:r>
        <w:t>3.1 Linear Regression — baseline</w:t>
      </w:r>
    </w:p>
    <w:p>
      <w:r>
        <w:t>Linear Regression provides a simple reference model. Its purpose is to establish a baseline against which the nonlinear ensemble methods can be judged.</w:t>
      </w:r>
    </w:p>
    <w:p>
      <w:pPr>
        <w:pStyle w:val="Code"/>
        <w:ind w:left="173" w:right="173"/>
      </w:pPr>
      <w:r>
        <w:t>linear_model = Pipeline(</w:t>
        <w:br/>
        <w:t xml:space="preserve">    steps=[</w:t>
        <w:br/>
        <w:t xml:space="preserve">        ('preprocessor', preprocessor),</w:t>
        <w:br/>
        <w:t xml:space="preserve">        ('model', LinearRegression())</w:t>
        <w:br/>
        <w:t xml:space="preserve">    ]</w:t>
        <w:br/>
        <w:t>)</w:t>
        <w:br/>
        <w:t>linear_model.fit(X_train, y_train)</w:t>
        <w:br/>
        <w:t>linear_predictions = linear_model.predict(X_test)</w:t>
      </w:r>
    </w:p>
    <w:p>
      <w:pPr>
        <w:pStyle w:val="Heading2"/>
      </w:pPr>
      <w:r>
        <w:t>3.2 Random Forest Regressor</w:t>
      </w:r>
    </w:p>
    <w:p>
      <w:r>
        <w:t>Random Forest was selected as the primary nonlinear candidate because real-estate prices can depend on nonlinear relationships and interactions between size, BHK count, status, RERA approval, and flat type.</w:t>
      </w:r>
    </w:p>
    <w:p>
      <w:pPr>
        <w:pStyle w:val="Code"/>
        <w:ind w:left="173" w:right="173"/>
      </w:pPr>
      <w:r>
        <w:t>random_forest_model = Pipeline(</w:t>
        <w:br/>
        <w:t xml:space="preserve">    steps=[</w:t>
        <w:br/>
        <w:t xml:space="preserve">        ('preprocessor', preprocessor),</w:t>
        <w:br/>
        <w:t xml:space="preserve">        ('model', RandomForestRegressor(</w:t>
        <w:br/>
        <w:t xml:space="preserve">            n_estimators=100,</w:t>
        <w:br/>
        <w:t xml:space="preserve">            random_state=42,</w:t>
        <w:br/>
        <w:t xml:space="preserve">            n_jobs=-1</w:t>
        <w:br/>
        <w:t xml:space="preserve">        ))</w:t>
        <w:br/>
        <w:t xml:space="preserve">    ]</w:t>
        <w:br/>
        <w:t>)</w:t>
      </w:r>
    </w:p>
    <w:p>
      <w:r>
        <w:t>The implemented configuration uses 100 trees, random_state=42 for reproducibility, and all available CPU cores through n_jobs=-1.</w:t>
      </w:r>
    </w:p>
    <w:p>
      <w:pPr>
        <w:pStyle w:val="Heading2"/>
      </w:pPr>
      <w:r>
        <w:t>3.3 Gradient Boosting Regressor</w:t>
      </w:r>
    </w:p>
    <w:p>
      <w:r>
        <w:t>Gradient Boosting provides a second nonlinear ensemble benchmark. It builds trees sequentially so that later trees focus on reducing errors left by earlier trees.</w:t>
      </w:r>
    </w:p>
    <w:p>
      <w:pPr>
        <w:pStyle w:val="Code"/>
        <w:ind w:left="173" w:right="173"/>
      </w:pPr>
      <w:r>
        <w:t>gradient_boosting_model = Pipeline(</w:t>
        <w:br/>
        <w:t xml:space="preserve">    steps=[</w:t>
        <w:br/>
        <w:t xml:space="preserve">        ('preprocessor', preprocessor),</w:t>
        <w:br/>
        <w:t xml:space="preserve">        ('model', GradientBoostingRegressor(</w:t>
        <w:br/>
        <w:t xml:space="preserve">            n_estimators=100, random_state=42</w:t>
        <w:br/>
        <w:t xml:space="preserve">        ))</w:t>
        <w:br/>
        <w:t xml:space="preserve">    ]</w:t>
        <w:br/>
        <w:t>)</w:t>
      </w:r>
    </w:p>
    <w:p>
      <w:pPr>
        <w:pStyle w:val="Heading2"/>
      </w:pPr>
      <w:r>
        <w:t>3.4 Evaluation metrics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vAlign w:val="center"/>
          </w:tcPr>
          <w:p>
            <w:pPr>
              <w:spacing w:after="0"/>
            </w:pPr>
            <w:r/>
            <w:r>
              <w:rPr>
                <w:rFonts w:ascii="Aptos" w:hAnsi="Aptos"/>
                <w:b/>
                <w:color w:val="FFFFFF"/>
                <w:sz w:val="16"/>
              </w:rPr>
              <w:t>Metric</w:t>
            </w:r>
          </w:p>
        </w:tc>
        <w:tc>
          <w:tcPr>
            <w:tcW w:type="dxa" w:w="3427"/>
            <w:shd w:fill="17365D"/>
            <w:vAlign w:val="center"/>
          </w:tcPr>
          <w:p>
            <w:pPr>
              <w:spacing w:after="0"/>
            </w:pPr>
            <w:r/>
            <w:r>
              <w:rPr>
                <w:rFonts w:ascii="Aptos" w:hAnsi="Aptos"/>
                <w:b/>
                <w:color w:val="FFFFFF"/>
                <w:sz w:val="16"/>
              </w:rPr>
              <w:t>Meaning</w:t>
            </w:r>
          </w:p>
        </w:tc>
        <w:tc>
          <w:tcPr>
            <w:tcW w:type="dxa" w:w="3427"/>
            <w:shd w:fill="17365D"/>
            <w:vAlign w:val="center"/>
          </w:tcPr>
          <w:p>
            <w:pPr>
              <w:spacing w:after="0"/>
            </w:pPr>
            <w:r/>
            <w:r>
              <w:rPr>
                <w:rFonts w:ascii="Aptos" w:hAnsi="Aptos"/>
                <w:b/>
                <w:color w:val="FFFFFF"/>
                <w:sz w:val="16"/>
              </w:rPr>
              <w:t>Preferred direction</w:t>
            </w:r>
          </w:p>
        </w:tc>
      </w:tr>
      <w:tr>
        <w:tc>
          <w:tcPr>
            <w:tcW w:type="dxa" w:w="3427"/>
            <w:shd w:fill="F4F7FA"/>
            <w:vAlign w:val="center"/>
          </w:tcPr>
          <w:p>
            <w:pPr>
              <w:spacing w:after="0"/>
            </w:pPr>
            <w:r/>
            <w:r>
              <w:rPr>
                <w:rFonts w:ascii="Aptos" w:hAnsi="Aptos"/>
                <w:b w:val="0"/>
                <w:color w:val="222222"/>
                <w:sz w:val="16"/>
              </w:rPr>
              <w:t>MAE</w:t>
            </w:r>
          </w:p>
        </w:tc>
        <w:tc>
          <w:tcPr>
            <w:tcW w:type="dxa" w:w="3427"/>
            <w:shd w:fill="F4F7FA"/>
            <w:vAlign w:val="center"/>
          </w:tcPr>
          <w:p>
            <w:pPr>
              <w:spacing w:after="0"/>
            </w:pPr>
            <w:r/>
            <w:r>
              <w:rPr>
                <w:rFonts w:ascii="Aptos" w:hAnsi="Aptos"/>
                <w:b w:val="0"/>
                <w:color w:val="222222"/>
                <w:sz w:val="16"/>
              </w:rPr>
              <w:t>Average absolute prediction error in price units</w:t>
            </w:r>
          </w:p>
        </w:tc>
        <w:tc>
          <w:tcPr>
            <w:tcW w:type="dxa" w:w="3427"/>
            <w:shd w:fill="F4F7FA"/>
            <w:vAlign w:val="center"/>
          </w:tcPr>
          <w:p>
            <w:pPr>
              <w:spacing w:after="0"/>
            </w:pPr>
            <w:r/>
            <w:r>
              <w:rPr>
                <w:rFonts w:ascii="Aptos" w:hAnsi="Aptos"/>
                <w:b w:val="0"/>
                <w:color w:val="222222"/>
                <w:sz w:val="16"/>
              </w:rPr>
              <w:t>Lower</w:t>
            </w:r>
          </w:p>
        </w:tc>
      </w:tr>
      <w:tr>
        <w:tc>
          <w:tcPr>
            <w:tcW w:type="dxa" w:w="3427"/>
            <w:vAlign w:val="center"/>
          </w:tcPr>
          <w:p>
            <w:pPr>
              <w:spacing w:after="0"/>
            </w:pPr>
            <w:r/>
            <w:r>
              <w:rPr>
                <w:rFonts w:ascii="Aptos" w:hAnsi="Aptos"/>
                <w:b w:val="0"/>
                <w:color w:val="222222"/>
                <w:sz w:val="16"/>
              </w:rPr>
              <w:t>MSE</w:t>
            </w:r>
          </w:p>
        </w:tc>
        <w:tc>
          <w:tcPr>
            <w:tcW w:type="dxa" w:w="3427"/>
            <w:vAlign w:val="center"/>
          </w:tcPr>
          <w:p>
            <w:pPr>
              <w:spacing w:after="0"/>
            </w:pPr>
            <w:r/>
            <w:r>
              <w:rPr>
                <w:rFonts w:ascii="Aptos" w:hAnsi="Aptos"/>
                <w:b w:val="0"/>
                <w:color w:val="222222"/>
                <w:sz w:val="16"/>
              </w:rPr>
              <w:t>Average squared prediction error; emphasizes large errors</w:t>
            </w:r>
          </w:p>
        </w:tc>
        <w:tc>
          <w:tcPr>
            <w:tcW w:type="dxa" w:w="3427"/>
            <w:vAlign w:val="center"/>
          </w:tcPr>
          <w:p>
            <w:pPr>
              <w:spacing w:after="0"/>
            </w:pPr>
            <w:r/>
            <w:r>
              <w:rPr>
                <w:rFonts w:ascii="Aptos" w:hAnsi="Aptos"/>
                <w:b w:val="0"/>
                <w:color w:val="222222"/>
                <w:sz w:val="16"/>
              </w:rPr>
              <w:t>Lower</w:t>
            </w:r>
          </w:p>
        </w:tc>
      </w:tr>
      <w:tr>
        <w:tc>
          <w:tcPr>
            <w:tcW w:type="dxa" w:w="3427"/>
            <w:shd w:fill="F4F7FA"/>
            <w:vAlign w:val="center"/>
          </w:tcPr>
          <w:p>
            <w:pPr>
              <w:spacing w:after="0"/>
            </w:pPr>
            <w:r/>
            <w:r>
              <w:rPr>
                <w:rFonts w:ascii="Aptos" w:hAnsi="Aptos"/>
                <w:b w:val="0"/>
                <w:color w:val="222222"/>
                <w:sz w:val="16"/>
              </w:rPr>
              <w:t>RMSE</w:t>
            </w:r>
          </w:p>
        </w:tc>
        <w:tc>
          <w:tcPr>
            <w:tcW w:type="dxa" w:w="3427"/>
            <w:shd w:fill="F4F7FA"/>
            <w:vAlign w:val="center"/>
          </w:tcPr>
          <w:p>
            <w:pPr>
              <w:spacing w:after="0"/>
            </w:pPr>
            <w:r/>
            <w:r>
              <w:rPr>
                <w:rFonts w:ascii="Aptos" w:hAnsi="Aptos"/>
                <w:b w:val="0"/>
                <w:color w:val="222222"/>
                <w:sz w:val="16"/>
              </w:rPr>
              <w:t>Square root of MSE, in price units</w:t>
            </w:r>
          </w:p>
        </w:tc>
        <w:tc>
          <w:tcPr>
            <w:tcW w:type="dxa" w:w="3427"/>
            <w:shd w:fill="F4F7FA"/>
            <w:vAlign w:val="center"/>
          </w:tcPr>
          <w:p>
            <w:pPr>
              <w:spacing w:after="0"/>
            </w:pPr>
            <w:r/>
            <w:r>
              <w:rPr>
                <w:rFonts w:ascii="Aptos" w:hAnsi="Aptos"/>
                <w:b w:val="0"/>
                <w:color w:val="222222"/>
                <w:sz w:val="16"/>
              </w:rPr>
              <w:t>Lower</w:t>
            </w:r>
          </w:p>
        </w:tc>
      </w:tr>
      <w:tr>
        <w:tc>
          <w:tcPr>
            <w:tcW w:type="dxa" w:w="3427"/>
            <w:vAlign w:val="center"/>
          </w:tcPr>
          <w:p>
            <w:pPr>
              <w:spacing w:after="0"/>
            </w:pPr>
            <w:r/>
            <w:r>
              <w:rPr>
                <w:rFonts w:ascii="Aptos" w:hAnsi="Aptos"/>
                <w:b w:val="0"/>
                <w:color w:val="222222"/>
                <w:sz w:val="16"/>
              </w:rPr>
              <w:t>R²</w:t>
            </w:r>
          </w:p>
        </w:tc>
        <w:tc>
          <w:tcPr>
            <w:tcW w:type="dxa" w:w="3427"/>
            <w:vAlign w:val="center"/>
          </w:tcPr>
          <w:p>
            <w:pPr>
              <w:spacing w:after="0"/>
            </w:pPr>
            <w:r/>
            <w:r>
              <w:rPr>
                <w:rFonts w:ascii="Aptos" w:hAnsi="Aptos"/>
                <w:b w:val="0"/>
                <w:color w:val="222222"/>
                <w:sz w:val="16"/>
              </w:rPr>
              <w:t>Variation in price explained by the model</w:t>
            </w:r>
          </w:p>
        </w:tc>
        <w:tc>
          <w:tcPr>
            <w:tcW w:type="dxa" w:w="3427"/>
            <w:vAlign w:val="center"/>
          </w:tcPr>
          <w:p>
            <w:pPr>
              <w:spacing w:after="0"/>
            </w:pPr>
            <w:r/>
            <w:r>
              <w:rPr>
                <w:rFonts w:ascii="Aptos" w:hAnsi="Aptos"/>
                <w:b w:val="0"/>
                <w:color w:val="222222"/>
                <w:sz w:val="16"/>
              </w:rPr>
              <w:t>Higher</w:t>
            </w:r>
          </w:p>
        </w:tc>
      </w:tr>
    </w:tbl>
    <w:p>
      <w:pPr>
        <w:spacing w:after="20" w:before="0"/>
      </w:pPr>
    </w:p>
    <w:p>
      <w:pPr>
        <w:pStyle w:val="Heading2"/>
      </w:pPr>
      <w:r>
        <w:t>3.5 Cross-validation</w:t>
      </w:r>
    </w:p>
    <w:p>
      <w:r>
        <w:t>Five-fold cross-validation was performed with scoring='r2'. Each fold provides an independent R² estimate, and the mean and standard deviation summarize average performance and variability across folds.</w:t>
      </w:r>
    </w:p>
    <w:p>
      <w:pPr>
        <w:pStyle w:val="Heading1"/>
      </w:pPr>
      <w:r>
        <w:t>4. Model Evaluation and Final Selection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17365D"/>
            <w:vAlign w:val="center"/>
          </w:tcPr>
          <w:p>
            <w:pPr>
              <w:spacing w:after="0"/>
            </w:pPr>
            <w:r/>
            <w:r>
              <w:rPr>
                <w:rFonts w:ascii="Aptos" w:hAnsi="Aptos"/>
                <w:b/>
                <w:color w:val="FFFFFF"/>
                <w:sz w:val="15"/>
              </w:rPr>
              <w:t>Model</w:t>
            </w:r>
          </w:p>
        </w:tc>
        <w:tc>
          <w:tcPr>
            <w:tcW w:type="dxa" w:w="2056"/>
            <w:shd w:fill="17365D"/>
            <w:vAlign w:val="center"/>
          </w:tcPr>
          <w:p>
            <w:pPr>
              <w:spacing w:after="0"/>
            </w:pPr>
            <w:r/>
            <w:r>
              <w:rPr>
                <w:rFonts w:ascii="Aptos" w:hAnsi="Aptos"/>
                <w:b/>
                <w:color w:val="FFFFFF"/>
                <w:sz w:val="15"/>
              </w:rPr>
              <w:t>MAE (₹)</w:t>
            </w:r>
          </w:p>
        </w:tc>
        <w:tc>
          <w:tcPr>
            <w:tcW w:type="dxa" w:w="2056"/>
            <w:shd w:fill="17365D"/>
            <w:vAlign w:val="center"/>
          </w:tcPr>
          <w:p>
            <w:pPr>
              <w:spacing w:after="0"/>
            </w:pPr>
            <w:r/>
            <w:r>
              <w:rPr>
                <w:rFonts w:ascii="Aptos" w:hAnsi="Aptos"/>
                <w:b/>
                <w:color w:val="FFFFFF"/>
                <w:sz w:val="15"/>
              </w:rPr>
              <w:t>RMSE (₹)</w:t>
            </w:r>
          </w:p>
        </w:tc>
        <w:tc>
          <w:tcPr>
            <w:tcW w:type="dxa" w:w="2056"/>
            <w:shd w:fill="17365D"/>
            <w:vAlign w:val="center"/>
          </w:tcPr>
          <w:p>
            <w:pPr>
              <w:spacing w:after="0"/>
            </w:pPr>
            <w:r/>
            <w:r>
              <w:rPr>
                <w:rFonts w:ascii="Aptos" w:hAnsi="Aptos"/>
                <w:b/>
                <w:color w:val="FFFFFF"/>
                <w:sz w:val="15"/>
              </w:rPr>
              <w:t>Test R²</w:t>
            </w:r>
          </w:p>
        </w:tc>
        <w:tc>
          <w:tcPr>
            <w:tcW w:type="dxa" w:w="2056"/>
            <w:shd w:fill="17365D"/>
            <w:vAlign w:val="center"/>
          </w:tcPr>
          <w:p>
            <w:pPr>
              <w:spacing w:after="0"/>
            </w:pPr>
            <w:r/>
            <w:r>
              <w:rPr>
                <w:rFonts w:ascii="Aptos" w:hAnsi="Aptos"/>
                <w:b/>
                <w:color w:val="FFFFFF"/>
                <w:sz w:val="15"/>
              </w:rPr>
              <w:t>Mean CV R²</w:t>
            </w:r>
          </w:p>
        </w:tc>
      </w:tr>
      <w:tr>
        <w:tc>
          <w:tcPr>
            <w:tcW w:type="dxa" w:w="2056"/>
            <w:shd w:fill="F4F7FA"/>
            <w:vAlign w:val="center"/>
          </w:tcPr>
          <w:p>
            <w:pPr>
              <w:spacing w:after="0"/>
            </w:pPr>
            <w:r/>
            <w:r>
              <w:rPr>
                <w:rFonts w:ascii="Aptos" w:hAnsi="Aptos"/>
                <w:b w:val="0"/>
                <w:color w:val="222222"/>
                <w:sz w:val="15"/>
              </w:rPr>
              <w:t>Linear Regression</w:t>
            </w:r>
          </w:p>
        </w:tc>
        <w:tc>
          <w:tcPr>
            <w:tcW w:type="dxa" w:w="2056"/>
            <w:shd w:fill="F4F7FA"/>
            <w:vAlign w:val="center"/>
          </w:tcPr>
          <w:p>
            <w:pPr>
              <w:spacing w:after="0"/>
            </w:pPr>
            <w:r/>
            <w:r>
              <w:rPr>
                <w:rFonts w:ascii="Aptos" w:hAnsi="Aptos"/>
                <w:b w:val="0"/>
                <w:color w:val="222222"/>
                <w:sz w:val="15"/>
              </w:rPr>
              <w:t>26,157,218.16</w:t>
            </w:r>
          </w:p>
        </w:tc>
        <w:tc>
          <w:tcPr>
            <w:tcW w:type="dxa" w:w="2056"/>
            <w:shd w:fill="F4F7FA"/>
            <w:vAlign w:val="center"/>
          </w:tcPr>
          <w:p>
            <w:pPr>
              <w:spacing w:after="0"/>
            </w:pPr>
            <w:r/>
            <w:r>
              <w:rPr>
                <w:rFonts w:ascii="Aptos" w:hAnsi="Aptos"/>
                <w:b w:val="0"/>
                <w:color w:val="222222"/>
                <w:sz w:val="15"/>
              </w:rPr>
              <w:t>59,533,165.64</w:t>
            </w:r>
          </w:p>
        </w:tc>
        <w:tc>
          <w:tcPr>
            <w:tcW w:type="dxa" w:w="2056"/>
            <w:shd w:fill="F4F7FA"/>
            <w:vAlign w:val="center"/>
          </w:tcPr>
          <w:p>
            <w:pPr>
              <w:spacing w:after="0"/>
            </w:pPr>
            <w:r/>
            <w:r>
              <w:rPr>
                <w:rFonts w:ascii="Aptos" w:hAnsi="Aptos"/>
                <w:b w:val="0"/>
                <w:color w:val="222222"/>
                <w:sz w:val="15"/>
              </w:rPr>
              <w:t>6.93%</w:t>
            </w:r>
          </w:p>
        </w:tc>
        <w:tc>
          <w:tcPr>
            <w:tcW w:type="dxa" w:w="2056"/>
            <w:shd w:fill="F4F7FA"/>
            <w:vAlign w:val="center"/>
          </w:tcPr>
          <w:p>
            <w:pPr>
              <w:spacing w:after="0"/>
            </w:pPr>
            <w:r/>
            <w:r>
              <w:rPr>
                <w:rFonts w:ascii="Aptos" w:hAnsi="Aptos"/>
                <w:b w:val="0"/>
                <w:color w:val="222222"/>
                <w:sz w:val="15"/>
              </w:rPr>
              <w:t>-16.67%</w:t>
            </w:r>
          </w:p>
        </w:tc>
      </w:tr>
      <w:tr>
        <w:tc>
          <w:tcPr>
            <w:tcW w:type="dxa" w:w="2056"/>
            <w:vAlign w:val="center"/>
          </w:tcPr>
          <w:p>
            <w:pPr>
              <w:spacing w:after="0"/>
            </w:pPr>
            <w:r/>
            <w:r>
              <w:rPr>
                <w:rFonts w:ascii="Aptos" w:hAnsi="Aptos"/>
                <w:b w:val="0"/>
                <w:color w:val="222222"/>
                <w:sz w:val="15"/>
              </w:rPr>
              <w:t>Random Forest</w:t>
            </w:r>
          </w:p>
        </w:tc>
        <w:tc>
          <w:tcPr>
            <w:tcW w:type="dxa" w:w="2056"/>
            <w:vAlign w:val="center"/>
          </w:tcPr>
          <w:p>
            <w:pPr>
              <w:spacing w:after="0"/>
            </w:pPr>
            <w:r/>
            <w:r>
              <w:rPr>
                <w:rFonts w:ascii="Aptos" w:hAnsi="Aptos"/>
                <w:b w:val="0"/>
                <w:color w:val="222222"/>
                <w:sz w:val="15"/>
              </w:rPr>
              <w:t>11,532,540.78</w:t>
            </w:r>
          </w:p>
        </w:tc>
        <w:tc>
          <w:tcPr>
            <w:tcW w:type="dxa" w:w="2056"/>
            <w:vAlign w:val="center"/>
          </w:tcPr>
          <w:p>
            <w:pPr>
              <w:spacing w:after="0"/>
            </w:pPr>
            <w:r/>
            <w:r>
              <w:rPr>
                <w:rFonts w:ascii="Aptos" w:hAnsi="Aptos"/>
                <w:b w:val="0"/>
                <w:color w:val="222222"/>
                <w:sz w:val="15"/>
              </w:rPr>
              <w:t>33,875,860.34</w:t>
            </w:r>
          </w:p>
        </w:tc>
        <w:tc>
          <w:tcPr>
            <w:tcW w:type="dxa" w:w="2056"/>
            <w:vAlign w:val="center"/>
          </w:tcPr>
          <w:p>
            <w:pPr>
              <w:spacing w:after="0"/>
            </w:pPr>
            <w:r/>
            <w:r>
              <w:rPr>
                <w:rFonts w:ascii="Aptos" w:hAnsi="Aptos"/>
                <w:b w:val="0"/>
                <w:color w:val="222222"/>
                <w:sz w:val="15"/>
              </w:rPr>
              <w:t>69.86%</w:t>
            </w:r>
          </w:p>
        </w:tc>
        <w:tc>
          <w:tcPr>
            <w:tcW w:type="dxa" w:w="2056"/>
            <w:vAlign w:val="center"/>
          </w:tcPr>
          <w:p>
            <w:pPr>
              <w:spacing w:after="0"/>
            </w:pPr>
            <w:r/>
            <w:r>
              <w:rPr>
                <w:rFonts w:ascii="Aptos" w:hAnsi="Aptos"/>
                <w:b w:val="0"/>
                <w:color w:val="222222"/>
                <w:sz w:val="15"/>
              </w:rPr>
              <w:t>57.06%</w:t>
            </w:r>
          </w:p>
        </w:tc>
      </w:tr>
      <w:tr>
        <w:tc>
          <w:tcPr>
            <w:tcW w:type="dxa" w:w="2056"/>
            <w:shd w:fill="F4F7FA"/>
            <w:vAlign w:val="center"/>
          </w:tcPr>
          <w:p>
            <w:pPr>
              <w:spacing w:after="0"/>
            </w:pPr>
            <w:r/>
            <w:r>
              <w:rPr>
                <w:rFonts w:ascii="Aptos" w:hAnsi="Aptos"/>
                <w:b w:val="0"/>
                <w:color w:val="222222"/>
                <w:sz w:val="15"/>
              </w:rPr>
              <w:t>Gradient Boosting</w:t>
            </w:r>
          </w:p>
        </w:tc>
        <w:tc>
          <w:tcPr>
            <w:tcW w:type="dxa" w:w="2056"/>
            <w:shd w:fill="F4F7FA"/>
            <w:vAlign w:val="center"/>
          </w:tcPr>
          <w:p>
            <w:pPr>
              <w:spacing w:after="0"/>
            </w:pPr>
            <w:r/>
            <w:r>
              <w:rPr>
                <w:rFonts w:ascii="Aptos" w:hAnsi="Aptos"/>
                <w:b w:val="0"/>
                <w:color w:val="222222"/>
                <w:sz w:val="15"/>
              </w:rPr>
              <w:t>14,983,084.75</w:t>
            </w:r>
          </w:p>
        </w:tc>
        <w:tc>
          <w:tcPr>
            <w:tcW w:type="dxa" w:w="2056"/>
            <w:shd w:fill="F4F7FA"/>
            <w:vAlign w:val="center"/>
          </w:tcPr>
          <w:p>
            <w:pPr>
              <w:spacing w:after="0"/>
            </w:pPr>
            <w:r/>
            <w:r>
              <w:rPr>
                <w:rFonts w:ascii="Aptos" w:hAnsi="Aptos"/>
                <w:b w:val="0"/>
                <w:color w:val="222222"/>
                <w:sz w:val="15"/>
              </w:rPr>
              <w:t>36,405,272.39</w:t>
            </w:r>
          </w:p>
        </w:tc>
        <w:tc>
          <w:tcPr>
            <w:tcW w:type="dxa" w:w="2056"/>
            <w:shd w:fill="F4F7FA"/>
            <w:vAlign w:val="center"/>
          </w:tcPr>
          <w:p>
            <w:pPr>
              <w:spacing w:after="0"/>
            </w:pPr>
            <w:r/>
            <w:r>
              <w:rPr>
                <w:rFonts w:ascii="Aptos" w:hAnsi="Aptos"/>
                <w:b w:val="0"/>
                <w:color w:val="222222"/>
                <w:sz w:val="15"/>
              </w:rPr>
              <w:t>65.20%</w:t>
            </w:r>
          </w:p>
        </w:tc>
        <w:tc>
          <w:tcPr>
            <w:tcW w:type="dxa" w:w="2056"/>
            <w:shd w:fill="F4F7FA"/>
            <w:vAlign w:val="center"/>
          </w:tcPr>
          <w:p>
            <w:pPr>
              <w:spacing w:after="0"/>
            </w:pPr>
            <w:r/>
            <w:r>
              <w:rPr>
                <w:rFonts w:ascii="Aptos" w:hAnsi="Aptos"/>
                <w:b w:val="0"/>
                <w:color w:val="222222"/>
                <w:sz w:val="15"/>
              </w:rPr>
              <w:t>50.93%</w:t>
            </w:r>
          </w:p>
        </w:tc>
      </w:tr>
    </w:tbl>
    <w:p>
      <w:pPr>
        <w:spacing w:after="20" w:before="0"/>
      </w:pPr>
    </w:p>
    <w:p>
      <w:pPr>
        <w:pStyle w:val="Heading2"/>
      </w:pPr>
      <w:r>
        <w:t>4.1 Interpretation of the comparison</w:t>
      </w:r>
    </w:p>
    <w:p>
      <w:r>
        <w:t>Random Forest is the strongest model on every primary comparison shown above: it has the lowest test MAE, the lowest test RMSE, the highest test R², and the highest mean cross-validated R². Its test R² of 69.86% indicates that approximately 69.86% of the variation in held-out property prices is explained by the fitted model.</w:t>
      </w:r>
    </w:p>
    <w:p>
      <w:r>
        <w:t>Gradient Boosting is the second-best performer, with a test R² of 65.20% and mean CV R² of 50.93%. Linear Regression performs substantially worse on the held-out test set and is unstable across cross-validation folds, reflected by a negative mean CV R² and large standard deviation.</w:t>
      </w:r>
    </w:p>
    <w:p>
      <w:pPr>
        <w:pStyle w:val="Heading2"/>
      </w:pPr>
      <w:r>
        <w:t>4.2 Final model</w:t>
      </w:r>
    </w:p>
    <w:tbl>
      <w:tblPr>
        <w:tblW w:type="auto" w:w="0"/>
        <w:jc w:val="center"/>
        <w:tblLook w:firstColumn="1" w:firstRow="1" w:lastColumn="0" w:lastRow="0" w:noHBand="0" w:noVBand="1" w:val="04A0"/>
      </w:tblPr>
      <w:tblGrid>
        <w:gridCol w:w="10282"/>
      </w:tblGrid>
      <w:tr>
        <w:tc>
          <w:tcPr>
            <w:tcW w:type="dxa" w:w="10282"/>
            <w:shd w:fill="EAF2F8"/>
          </w:tcPr>
          <w:p>
            <w:pPr>
              <w:spacing w:after="20"/>
            </w:pPr>
            <w:r>
              <w:rPr>
                <w:b/>
                <w:color w:val="17365D"/>
                <w:sz w:val="18"/>
              </w:rPr>
              <w:t>Random Forest selected</w:t>
            </w:r>
          </w:p>
          <w:p>
            <w:pPr>
              <w:spacing w:after="20"/>
            </w:pPr>
            <w:r>
              <w:rPr>
                <w:sz w:val="17"/>
              </w:rPr>
              <w:t>Random Forest Regressor is retained as the final Week 4 model because it provides the strongest combination of predictive performance and cross-validation results among the tested models.</w:t>
            </w:r>
          </w:p>
        </w:tc>
      </w:tr>
    </w:tbl>
    <w:p>
      <w:pPr>
        <w:spacing w:after="0"/>
      </w:pPr>
    </w:p>
    <w:p>
      <w:pPr>
        <w:pStyle w:val="Heading2"/>
      </w:pPr>
      <w:r>
        <w:t>4.3 Cross-validation stability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vAlign w:val="center"/>
          </w:tcPr>
          <w:p>
            <w:pPr>
              <w:spacing w:after="0"/>
            </w:pPr>
            <w:r/>
            <w:r>
              <w:rPr>
                <w:rFonts w:ascii="Aptos" w:hAnsi="Aptos"/>
                <w:b/>
                <w:color w:val="FFFFFF"/>
                <w:sz w:val="16"/>
              </w:rPr>
              <w:t>Model</w:t>
            </w:r>
          </w:p>
        </w:tc>
        <w:tc>
          <w:tcPr>
            <w:tcW w:type="dxa" w:w="3427"/>
            <w:shd w:fill="17365D"/>
            <w:vAlign w:val="center"/>
          </w:tcPr>
          <w:p>
            <w:pPr>
              <w:spacing w:after="0"/>
            </w:pPr>
            <w:r/>
            <w:r>
              <w:rPr>
                <w:rFonts w:ascii="Aptos" w:hAnsi="Aptos"/>
                <w:b/>
                <w:color w:val="FFFFFF"/>
                <w:sz w:val="16"/>
              </w:rPr>
              <w:t>Mean CV R²</w:t>
            </w:r>
          </w:p>
        </w:tc>
        <w:tc>
          <w:tcPr>
            <w:tcW w:type="dxa" w:w="3427"/>
            <w:shd w:fill="17365D"/>
            <w:vAlign w:val="center"/>
          </w:tcPr>
          <w:p>
            <w:pPr>
              <w:spacing w:after="0"/>
            </w:pPr>
            <w:r/>
            <w:r>
              <w:rPr>
                <w:rFonts w:ascii="Aptos" w:hAnsi="Aptos"/>
                <w:b/>
                <w:color w:val="FFFFFF"/>
                <w:sz w:val="16"/>
              </w:rPr>
              <w:t>CV Std</w:t>
            </w:r>
          </w:p>
        </w:tc>
      </w:tr>
      <w:tr>
        <w:tc>
          <w:tcPr>
            <w:tcW w:type="dxa" w:w="3427"/>
            <w:shd w:fill="F4F7FA"/>
            <w:vAlign w:val="center"/>
          </w:tcPr>
          <w:p>
            <w:pPr>
              <w:spacing w:after="0"/>
            </w:pPr>
            <w:r/>
            <w:r>
              <w:rPr>
                <w:rFonts w:ascii="Aptos" w:hAnsi="Aptos"/>
                <w:b w:val="0"/>
                <w:color w:val="222222"/>
                <w:sz w:val="16"/>
              </w:rPr>
              <w:t>Linear Regression</w:t>
            </w:r>
          </w:p>
        </w:tc>
        <w:tc>
          <w:tcPr>
            <w:tcW w:type="dxa" w:w="3427"/>
            <w:shd w:fill="F4F7FA"/>
            <w:vAlign w:val="center"/>
          </w:tcPr>
          <w:p>
            <w:pPr>
              <w:spacing w:after="0"/>
            </w:pPr>
            <w:r/>
            <w:r>
              <w:rPr>
                <w:rFonts w:ascii="Aptos" w:hAnsi="Aptos"/>
                <w:b w:val="0"/>
                <w:color w:val="222222"/>
                <w:sz w:val="16"/>
              </w:rPr>
              <w:t>-16.6724</w:t>
            </w:r>
          </w:p>
        </w:tc>
        <w:tc>
          <w:tcPr>
            <w:tcW w:type="dxa" w:w="3427"/>
            <w:shd w:fill="F4F7FA"/>
            <w:vAlign w:val="center"/>
          </w:tcPr>
          <w:p>
            <w:pPr>
              <w:spacing w:after="0"/>
            </w:pPr>
            <w:r/>
            <w:r>
              <w:rPr>
                <w:rFonts w:ascii="Aptos" w:hAnsi="Aptos"/>
                <w:b w:val="0"/>
                <w:color w:val="222222"/>
                <w:sz w:val="16"/>
              </w:rPr>
              <w:t>33.4495</w:t>
            </w:r>
          </w:p>
        </w:tc>
      </w:tr>
      <w:tr>
        <w:tc>
          <w:tcPr>
            <w:tcW w:type="dxa" w:w="3427"/>
            <w:vAlign w:val="center"/>
          </w:tcPr>
          <w:p>
            <w:pPr>
              <w:spacing w:after="0"/>
            </w:pPr>
            <w:r/>
            <w:r>
              <w:rPr>
                <w:rFonts w:ascii="Aptos" w:hAnsi="Aptos"/>
                <w:b w:val="0"/>
                <w:color w:val="222222"/>
                <w:sz w:val="16"/>
              </w:rPr>
              <w:t>Random Forest</w:t>
            </w:r>
          </w:p>
        </w:tc>
        <w:tc>
          <w:tcPr>
            <w:tcW w:type="dxa" w:w="3427"/>
            <w:vAlign w:val="center"/>
          </w:tcPr>
          <w:p>
            <w:pPr>
              <w:spacing w:after="0"/>
            </w:pPr>
            <w:r/>
            <w:r>
              <w:rPr>
                <w:rFonts w:ascii="Aptos" w:hAnsi="Aptos"/>
                <w:b w:val="0"/>
                <w:color w:val="222222"/>
                <w:sz w:val="16"/>
              </w:rPr>
              <w:t>0.5706</w:t>
            </w:r>
          </w:p>
        </w:tc>
        <w:tc>
          <w:tcPr>
            <w:tcW w:type="dxa" w:w="3427"/>
            <w:vAlign w:val="center"/>
          </w:tcPr>
          <w:p>
            <w:pPr>
              <w:spacing w:after="0"/>
            </w:pPr>
            <w:r/>
            <w:r>
              <w:rPr>
                <w:rFonts w:ascii="Aptos" w:hAnsi="Aptos"/>
                <w:b w:val="0"/>
                <w:color w:val="222222"/>
                <w:sz w:val="16"/>
              </w:rPr>
              <w:t>0.1439</w:t>
            </w:r>
          </w:p>
        </w:tc>
      </w:tr>
      <w:tr>
        <w:tc>
          <w:tcPr>
            <w:tcW w:type="dxa" w:w="3427"/>
            <w:shd w:fill="F4F7FA"/>
            <w:vAlign w:val="center"/>
          </w:tcPr>
          <w:p>
            <w:pPr>
              <w:spacing w:after="0"/>
            </w:pPr>
            <w:r/>
            <w:r>
              <w:rPr>
                <w:rFonts w:ascii="Aptos" w:hAnsi="Aptos"/>
                <w:b w:val="0"/>
                <w:color w:val="222222"/>
                <w:sz w:val="16"/>
              </w:rPr>
              <w:t>Gradient Boosting</w:t>
            </w:r>
          </w:p>
        </w:tc>
        <w:tc>
          <w:tcPr>
            <w:tcW w:type="dxa" w:w="3427"/>
            <w:shd w:fill="F4F7FA"/>
            <w:vAlign w:val="center"/>
          </w:tcPr>
          <w:p>
            <w:pPr>
              <w:spacing w:after="0"/>
            </w:pPr>
            <w:r/>
            <w:r>
              <w:rPr>
                <w:rFonts w:ascii="Aptos" w:hAnsi="Aptos"/>
                <w:b w:val="0"/>
                <w:color w:val="222222"/>
                <w:sz w:val="16"/>
              </w:rPr>
              <w:t>0.5093</w:t>
            </w:r>
          </w:p>
        </w:tc>
        <w:tc>
          <w:tcPr>
            <w:tcW w:type="dxa" w:w="3427"/>
            <w:shd w:fill="F4F7FA"/>
            <w:vAlign w:val="center"/>
          </w:tcPr>
          <w:p>
            <w:pPr>
              <w:spacing w:after="0"/>
            </w:pPr>
            <w:r/>
            <w:r>
              <w:rPr>
                <w:rFonts w:ascii="Aptos" w:hAnsi="Aptos"/>
                <w:b w:val="0"/>
                <w:color w:val="222222"/>
                <w:sz w:val="16"/>
              </w:rPr>
              <w:t>0.1421</w:t>
            </w:r>
          </w:p>
        </w:tc>
      </w:tr>
    </w:tbl>
    <w:p>
      <w:pPr>
        <w:spacing w:after="20" w:before="0"/>
      </w:pPr>
    </w:p>
    <w:p>
      <w:r>
        <w:t>The gap between Random Forest's 69.86% held-out R² and 57.06% mean CV R² shows that performance varies across data partitions. Extreme property prices in the dataset can affect fold composition and therefore influence R².</w:t>
      </w:r>
    </w:p>
    <w:p>
      <w:pPr>
        <w:pStyle w:val="Heading1"/>
      </w:pPr>
      <w:r>
        <w:t>5. Prediction and Residual Analysis</w:t>
      </w:r>
    </w:p>
    <w:p>
      <w:pPr>
        <w:spacing w:after="80"/>
      </w:pPr>
      <w:r>
        <w:rPr>
          <w:i/>
          <w:color w:val="68737D"/>
          <w:sz w:val="17"/>
        </w:rPr>
        <w:t>The following figures are the executed notebook visualizations for the final Random Forest model.</w:t>
      </w:r>
    </w:p>
    <w:p>
      <w:pPr>
        <w:pStyle w:val="Heading2"/>
      </w:pPr>
      <w:r>
        <w:t>5.1 Actual vs Predicted Prices</w:t>
      </w:r>
    </w:p>
    <w:p>
      <w:pPr>
        <w:spacing w:before="40" w:after="20"/>
        <w:jc w:val="center"/>
      </w:pPr>
      <w:r>
        <w:drawing>
          <wp:inline xmlns:a="http://schemas.openxmlformats.org/drawingml/2006/main" xmlns:pic="http://schemas.openxmlformats.org/drawingml/2006/picture">
            <wp:extent cx="5120640" cy="3838032"/>
            <wp:docPr id="1" name="Picture 1"/>
            <wp:cNvGraphicFramePr>
              <a:graphicFrameLocks noChangeAspect="1"/>
            </wp:cNvGraphicFramePr>
            <a:graphic>
              <a:graphicData uri="http://schemas.openxmlformats.org/drawingml/2006/picture">
                <pic:pic>
                  <pic:nvPicPr>
                    <pic:cNvPr id="0" name="cell_20.png"/>
                    <pic:cNvPicPr/>
                  </pic:nvPicPr>
                  <pic:blipFill>
                    <a:blip r:embed="rId11"/>
                    <a:stretch>
                      <a:fillRect/>
                    </a:stretch>
                  </pic:blipFill>
                  <pic:spPr>
                    <a:xfrm>
                      <a:off x="0" y="0"/>
                      <a:ext cx="5120640" cy="3838032"/>
                    </a:xfrm>
                    <a:prstGeom prst="rect"/>
                  </pic:spPr>
                </pic:pic>
              </a:graphicData>
            </a:graphic>
          </wp:inline>
        </w:drawing>
      </w:r>
    </w:p>
    <w:p>
      <w:pPr>
        <w:spacing w:after="60"/>
        <w:jc w:val="center"/>
      </w:pPr>
      <w:r>
        <w:rPr>
          <w:i/>
          <w:color w:val="68737D"/>
          <w:sz w:val="15"/>
        </w:rPr>
        <w:t>Figure 1. Random Forest actual versus predicted property prices on the test set.</w:t>
      </w:r>
    </w:p>
    <w:p>
      <w:r>
        <w:t>The plot shows a clear overall upward relationship between actual and predicted prices, consistent with the model's positive R². Most observations are concentrated at lower price levels, while a smaller number of extreme-price properties stretch the scale and produce visible deviations.</w:t>
      </w:r>
    </w:p>
    <w:p>
      <w:pPr>
        <w:pStyle w:val="Heading2"/>
      </w:pPr>
      <w:r>
        <w:t>5.2 Residual Analysis</w:t>
      </w:r>
    </w:p>
    <w:p>
      <w:pPr>
        <w:spacing w:before="40" w:after="20"/>
        <w:jc w:val="center"/>
      </w:pPr>
      <w:r>
        <w:drawing>
          <wp:inline xmlns:a="http://schemas.openxmlformats.org/drawingml/2006/main" xmlns:pic="http://schemas.openxmlformats.org/drawingml/2006/picture">
            <wp:extent cx="5120640" cy="3751946"/>
            <wp:docPr id="2" name="Picture 2"/>
            <wp:cNvGraphicFramePr>
              <a:graphicFrameLocks noChangeAspect="1"/>
            </wp:cNvGraphicFramePr>
            <a:graphic>
              <a:graphicData uri="http://schemas.openxmlformats.org/drawingml/2006/picture">
                <pic:pic>
                  <pic:nvPicPr>
                    <pic:cNvPr id="0" name="cell_21.png"/>
                    <pic:cNvPicPr/>
                  </pic:nvPicPr>
                  <pic:blipFill>
                    <a:blip r:embed="rId12"/>
                    <a:stretch>
                      <a:fillRect/>
                    </a:stretch>
                  </pic:blipFill>
                  <pic:spPr>
                    <a:xfrm>
                      <a:off x="0" y="0"/>
                      <a:ext cx="5120640" cy="3751946"/>
                    </a:xfrm>
                    <a:prstGeom prst="rect"/>
                  </pic:spPr>
                </pic:pic>
              </a:graphicData>
            </a:graphic>
          </wp:inline>
        </w:drawing>
      </w:r>
    </w:p>
    <w:p>
      <w:pPr>
        <w:spacing w:after="60"/>
        <w:jc w:val="center"/>
      </w:pPr>
      <w:r>
        <w:rPr>
          <w:i/>
          <w:color w:val="68737D"/>
          <w:sz w:val="15"/>
        </w:rPr>
        <w:t>Figure 2. Random Forest residuals against predicted prices.</w:t>
      </w:r>
    </w:p>
    <w:p>
      <w:r>
        <w:t>Most residuals are concentrated around the zero line, indicating that many predictions are reasonably close to their observed values. Large positive and negative residuals remain, particularly for some expensive properties, showing that extreme observations are harder to estimate accurately.</w:t>
      </w:r>
    </w:p>
    <w:p>
      <w:pPr>
        <w:pStyle w:val="Heading1"/>
      </w:pPr>
      <w:r>
        <w:t>6. Feature Importance and Model Interpretation</w:t>
      </w:r>
    </w:p>
    <w:p>
      <w:pPr>
        <w:spacing w:before="40" w:after="20"/>
        <w:jc w:val="center"/>
      </w:pPr>
      <w:r>
        <w:drawing>
          <wp:inline xmlns:a="http://schemas.openxmlformats.org/drawingml/2006/main" xmlns:pic="http://schemas.openxmlformats.org/drawingml/2006/picture">
            <wp:extent cx="5577840" cy="2982965"/>
            <wp:docPr id="3" name="Picture 3"/>
            <wp:cNvGraphicFramePr>
              <a:graphicFrameLocks noChangeAspect="1"/>
            </wp:cNvGraphicFramePr>
            <a:graphic>
              <a:graphicData uri="http://schemas.openxmlformats.org/drawingml/2006/picture">
                <pic:pic>
                  <pic:nvPicPr>
                    <pic:cNvPr id="0" name="cell_23.png"/>
                    <pic:cNvPicPr/>
                  </pic:nvPicPr>
                  <pic:blipFill>
                    <a:blip r:embed="rId13"/>
                    <a:stretch>
                      <a:fillRect/>
                    </a:stretch>
                  </pic:blipFill>
                  <pic:spPr>
                    <a:xfrm>
                      <a:off x="0" y="0"/>
                      <a:ext cx="5577840" cy="2982965"/>
                    </a:xfrm>
                    <a:prstGeom prst="rect"/>
                  </pic:spPr>
                </pic:pic>
              </a:graphicData>
            </a:graphic>
          </wp:inline>
        </w:drawing>
      </w:r>
    </w:p>
    <w:p>
      <w:pPr>
        <w:spacing w:after="60"/>
        <w:jc w:val="center"/>
      </w:pPr>
      <w:r>
        <w:rPr>
          <w:i/>
          <w:color w:val="68737D"/>
          <w:sz w:val="15"/>
        </w:rPr>
        <w:t>Figure 3. Feature importance from the final Random Forest model.</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vAlign w:val="center"/>
          </w:tcPr>
          <w:p>
            <w:pPr>
              <w:spacing w:after="0"/>
            </w:pPr>
            <w:r/>
            <w:r>
              <w:rPr>
                <w:rFonts w:ascii="Aptos" w:hAnsi="Aptos"/>
                <w:b/>
                <w:color w:val="FFFFFF"/>
                <w:sz w:val="15"/>
              </w:rPr>
              <w:t>Rank</w:t>
            </w:r>
          </w:p>
        </w:tc>
        <w:tc>
          <w:tcPr>
            <w:tcW w:type="dxa" w:w="3427"/>
            <w:shd w:fill="17365D"/>
            <w:vAlign w:val="center"/>
          </w:tcPr>
          <w:p>
            <w:pPr>
              <w:spacing w:after="0"/>
            </w:pPr>
            <w:r/>
            <w:r>
              <w:rPr>
                <w:rFonts w:ascii="Aptos" w:hAnsi="Aptos"/>
                <w:b/>
                <w:color w:val="FFFFFF"/>
                <w:sz w:val="15"/>
              </w:rPr>
              <w:t>Feature</w:t>
            </w:r>
          </w:p>
        </w:tc>
        <w:tc>
          <w:tcPr>
            <w:tcW w:type="dxa" w:w="3427"/>
            <w:shd w:fill="17365D"/>
            <w:vAlign w:val="center"/>
          </w:tcPr>
          <w:p>
            <w:pPr>
              <w:spacing w:after="0"/>
            </w:pPr>
            <w:r/>
            <w:r>
              <w:rPr>
                <w:rFonts w:ascii="Aptos" w:hAnsi="Aptos"/>
                <w:b/>
                <w:color w:val="FFFFFF"/>
                <w:sz w:val="15"/>
              </w:rPr>
              <w:t>Importance</w:t>
            </w:r>
          </w:p>
        </w:tc>
      </w:tr>
      <w:tr>
        <w:tc>
          <w:tcPr>
            <w:tcW w:type="dxa" w:w="3427"/>
            <w:shd w:fill="F4F7FA"/>
            <w:vAlign w:val="center"/>
          </w:tcPr>
          <w:p>
            <w:pPr>
              <w:spacing w:after="0"/>
            </w:pPr>
            <w:r/>
            <w:r>
              <w:rPr>
                <w:rFonts w:ascii="Aptos" w:hAnsi="Aptos"/>
                <w:b w:val="0"/>
                <w:color w:val="222222"/>
                <w:sz w:val="15"/>
              </w:rPr>
              <w:t>1</w:t>
            </w:r>
          </w:p>
        </w:tc>
        <w:tc>
          <w:tcPr>
            <w:tcW w:type="dxa" w:w="3427"/>
            <w:shd w:fill="F4F7FA"/>
            <w:vAlign w:val="center"/>
          </w:tcPr>
          <w:p>
            <w:pPr>
              <w:spacing w:after="0"/>
            </w:pPr>
            <w:r/>
            <w:r>
              <w:rPr>
                <w:rFonts w:ascii="Aptos" w:hAnsi="Aptos"/>
                <w:b w:val="0"/>
                <w:color w:val="222222"/>
                <w:sz w:val="15"/>
              </w:rPr>
              <w:t>area</w:t>
            </w:r>
          </w:p>
        </w:tc>
        <w:tc>
          <w:tcPr>
            <w:tcW w:type="dxa" w:w="3427"/>
            <w:shd w:fill="F4F7FA"/>
            <w:vAlign w:val="center"/>
          </w:tcPr>
          <w:p>
            <w:pPr>
              <w:spacing w:after="0"/>
            </w:pPr>
            <w:r/>
            <w:r>
              <w:rPr>
                <w:rFonts w:ascii="Aptos" w:hAnsi="Aptos"/>
                <w:b w:val="0"/>
                <w:color w:val="222222"/>
                <w:sz w:val="15"/>
              </w:rPr>
              <w:t>86.31%</w:t>
            </w:r>
          </w:p>
        </w:tc>
      </w:tr>
      <w:tr>
        <w:tc>
          <w:tcPr>
            <w:tcW w:type="dxa" w:w="3427"/>
            <w:vAlign w:val="center"/>
          </w:tcPr>
          <w:p>
            <w:pPr>
              <w:spacing w:after="0"/>
            </w:pPr>
            <w:r/>
            <w:r>
              <w:rPr>
                <w:rFonts w:ascii="Aptos" w:hAnsi="Aptos"/>
                <w:b w:val="0"/>
                <w:color w:val="222222"/>
                <w:sz w:val="15"/>
              </w:rPr>
              <w:t>2</w:t>
            </w:r>
          </w:p>
        </w:tc>
        <w:tc>
          <w:tcPr>
            <w:tcW w:type="dxa" w:w="3427"/>
            <w:vAlign w:val="center"/>
          </w:tcPr>
          <w:p>
            <w:pPr>
              <w:spacing w:after="0"/>
            </w:pPr>
            <w:r/>
            <w:r>
              <w:rPr>
                <w:rFonts w:ascii="Aptos" w:hAnsi="Aptos"/>
                <w:b w:val="0"/>
                <w:color w:val="222222"/>
                <w:sz w:val="15"/>
              </w:rPr>
              <w:t>bhk_count</w:t>
            </w:r>
          </w:p>
        </w:tc>
        <w:tc>
          <w:tcPr>
            <w:tcW w:type="dxa" w:w="3427"/>
            <w:vAlign w:val="center"/>
          </w:tcPr>
          <w:p>
            <w:pPr>
              <w:spacing w:after="0"/>
            </w:pPr>
            <w:r/>
            <w:r>
              <w:rPr>
                <w:rFonts w:ascii="Aptos" w:hAnsi="Aptos"/>
                <w:b w:val="0"/>
                <w:color w:val="222222"/>
                <w:sz w:val="15"/>
              </w:rPr>
              <w:t>6.62%</w:t>
            </w:r>
          </w:p>
        </w:tc>
      </w:tr>
      <w:tr>
        <w:tc>
          <w:tcPr>
            <w:tcW w:type="dxa" w:w="3427"/>
            <w:shd w:fill="F4F7FA"/>
            <w:vAlign w:val="center"/>
          </w:tcPr>
          <w:p>
            <w:pPr>
              <w:spacing w:after="0"/>
            </w:pPr>
            <w:r/>
            <w:r>
              <w:rPr>
                <w:rFonts w:ascii="Aptos" w:hAnsi="Aptos"/>
                <w:b w:val="0"/>
                <w:color w:val="222222"/>
                <w:sz w:val="15"/>
              </w:rPr>
              <w:t>3</w:t>
            </w:r>
          </w:p>
        </w:tc>
        <w:tc>
          <w:tcPr>
            <w:tcW w:type="dxa" w:w="3427"/>
            <w:shd w:fill="F4F7FA"/>
            <w:vAlign w:val="center"/>
          </w:tcPr>
          <w:p>
            <w:pPr>
              <w:spacing w:after="0"/>
            </w:pPr>
            <w:r/>
            <w:r>
              <w:rPr>
                <w:rFonts w:ascii="Aptos" w:hAnsi="Aptos"/>
                <w:b w:val="0"/>
                <w:color w:val="222222"/>
                <w:sz w:val="15"/>
              </w:rPr>
              <w:t>rera_approval</w:t>
            </w:r>
          </w:p>
        </w:tc>
        <w:tc>
          <w:tcPr>
            <w:tcW w:type="dxa" w:w="3427"/>
            <w:shd w:fill="F4F7FA"/>
            <w:vAlign w:val="center"/>
          </w:tcPr>
          <w:p>
            <w:pPr>
              <w:spacing w:after="0"/>
            </w:pPr>
            <w:r/>
            <w:r>
              <w:rPr>
                <w:rFonts w:ascii="Aptos" w:hAnsi="Aptos"/>
                <w:b w:val="0"/>
                <w:color w:val="222222"/>
                <w:sz w:val="15"/>
              </w:rPr>
              <w:t>1.23%</w:t>
            </w:r>
          </w:p>
        </w:tc>
      </w:tr>
      <w:tr>
        <w:tc>
          <w:tcPr>
            <w:tcW w:type="dxa" w:w="3427"/>
            <w:vAlign w:val="center"/>
          </w:tcPr>
          <w:p>
            <w:pPr>
              <w:spacing w:after="0"/>
            </w:pPr>
            <w:r/>
            <w:r>
              <w:rPr>
                <w:rFonts w:ascii="Aptos" w:hAnsi="Aptos"/>
                <w:b w:val="0"/>
                <w:color w:val="222222"/>
                <w:sz w:val="15"/>
              </w:rPr>
              <w:t>4</w:t>
            </w:r>
          </w:p>
        </w:tc>
        <w:tc>
          <w:tcPr>
            <w:tcW w:type="dxa" w:w="3427"/>
            <w:vAlign w:val="center"/>
          </w:tcPr>
          <w:p>
            <w:pPr>
              <w:spacing w:after="0"/>
            </w:pPr>
            <w:r/>
            <w:r>
              <w:rPr>
                <w:rFonts w:ascii="Aptos" w:hAnsi="Aptos"/>
                <w:b w:val="0"/>
                <w:color w:val="222222"/>
                <w:sz w:val="15"/>
              </w:rPr>
              <w:t>status — ready to move</w:t>
            </w:r>
          </w:p>
        </w:tc>
        <w:tc>
          <w:tcPr>
            <w:tcW w:type="dxa" w:w="3427"/>
            <w:vAlign w:val="center"/>
          </w:tcPr>
          <w:p>
            <w:pPr>
              <w:spacing w:after="0"/>
            </w:pPr>
            <w:r/>
            <w:r>
              <w:rPr>
                <w:rFonts w:ascii="Aptos" w:hAnsi="Aptos"/>
                <w:b w:val="0"/>
                <w:color w:val="222222"/>
                <w:sz w:val="15"/>
              </w:rPr>
              <w:t>1.14%</w:t>
            </w:r>
          </w:p>
        </w:tc>
      </w:tr>
      <w:tr>
        <w:tc>
          <w:tcPr>
            <w:tcW w:type="dxa" w:w="3427"/>
            <w:shd w:fill="F4F7FA"/>
            <w:vAlign w:val="center"/>
          </w:tcPr>
          <w:p>
            <w:pPr>
              <w:spacing w:after="0"/>
            </w:pPr>
            <w:r/>
            <w:r>
              <w:rPr>
                <w:rFonts w:ascii="Aptos" w:hAnsi="Aptos"/>
                <w:b w:val="0"/>
                <w:color w:val="222222"/>
                <w:sz w:val="15"/>
              </w:rPr>
              <w:t>5</w:t>
            </w:r>
          </w:p>
        </w:tc>
        <w:tc>
          <w:tcPr>
            <w:tcW w:type="dxa" w:w="3427"/>
            <w:shd w:fill="F4F7FA"/>
            <w:vAlign w:val="center"/>
          </w:tcPr>
          <w:p>
            <w:pPr>
              <w:spacing w:after="0"/>
            </w:pPr>
            <w:r/>
            <w:r>
              <w:rPr>
                <w:rFonts w:ascii="Aptos" w:hAnsi="Aptos"/>
                <w:b w:val="0"/>
                <w:color w:val="222222"/>
                <w:sz w:val="15"/>
              </w:rPr>
              <w:t>flat_type — plot</w:t>
            </w:r>
          </w:p>
        </w:tc>
        <w:tc>
          <w:tcPr>
            <w:tcW w:type="dxa" w:w="3427"/>
            <w:shd w:fill="F4F7FA"/>
            <w:vAlign w:val="center"/>
          </w:tcPr>
          <w:p>
            <w:pPr>
              <w:spacing w:after="0"/>
            </w:pPr>
            <w:r/>
            <w:r>
              <w:rPr>
                <w:rFonts w:ascii="Aptos" w:hAnsi="Aptos"/>
                <w:b w:val="0"/>
                <w:color w:val="222222"/>
                <w:sz w:val="15"/>
              </w:rPr>
              <w:t>0.99%</w:t>
            </w:r>
          </w:p>
        </w:tc>
      </w:tr>
      <w:tr>
        <w:tc>
          <w:tcPr>
            <w:tcW w:type="dxa" w:w="3427"/>
            <w:vAlign w:val="center"/>
          </w:tcPr>
          <w:p>
            <w:pPr>
              <w:spacing w:after="0"/>
            </w:pPr>
            <w:r/>
            <w:r>
              <w:rPr>
                <w:rFonts w:ascii="Aptos" w:hAnsi="Aptos"/>
                <w:b w:val="0"/>
                <w:color w:val="222222"/>
                <w:sz w:val="15"/>
              </w:rPr>
              <w:t>6</w:t>
            </w:r>
          </w:p>
        </w:tc>
        <w:tc>
          <w:tcPr>
            <w:tcW w:type="dxa" w:w="3427"/>
            <w:vAlign w:val="center"/>
          </w:tcPr>
          <w:p>
            <w:pPr>
              <w:spacing w:after="0"/>
            </w:pPr>
            <w:r/>
            <w:r>
              <w:rPr>
                <w:rFonts w:ascii="Aptos" w:hAnsi="Aptos"/>
                <w:b w:val="0"/>
                <w:color w:val="222222"/>
                <w:sz w:val="15"/>
              </w:rPr>
              <w:t>flat_type — penthouse</w:t>
            </w:r>
          </w:p>
        </w:tc>
        <w:tc>
          <w:tcPr>
            <w:tcW w:type="dxa" w:w="3427"/>
            <w:vAlign w:val="center"/>
          </w:tcPr>
          <w:p>
            <w:pPr>
              <w:spacing w:after="0"/>
            </w:pPr>
            <w:r/>
            <w:r>
              <w:rPr>
                <w:rFonts w:ascii="Aptos" w:hAnsi="Aptos"/>
                <w:b w:val="0"/>
                <w:color w:val="222222"/>
                <w:sz w:val="15"/>
              </w:rPr>
              <w:t>0.70%</w:t>
            </w:r>
          </w:p>
        </w:tc>
      </w:tr>
      <w:tr>
        <w:tc>
          <w:tcPr>
            <w:tcW w:type="dxa" w:w="3427"/>
            <w:shd w:fill="F4F7FA"/>
            <w:vAlign w:val="center"/>
          </w:tcPr>
          <w:p>
            <w:pPr>
              <w:spacing w:after="0"/>
            </w:pPr>
            <w:r/>
            <w:r>
              <w:rPr>
                <w:rFonts w:ascii="Aptos" w:hAnsi="Aptos"/>
                <w:b w:val="0"/>
                <w:color w:val="222222"/>
                <w:sz w:val="15"/>
              </w:rPr>
              <w:t>7</w:t>
            </w:r>
          </w:p>
        </w:tc>
        <w:tc>
          <w:tcPr>
            <w:tcW w:type="dxa" w:w="3427"/>
            <w:shd w:fill="F4F7FA"/>
            <w:vAlign w:val="center"/>
          </w:tcPr>
          <w:p>
            <w:pPr>
              <w:spacing w:after="0"/>
            </w:pPr>
            <w:r/>
            <w:r>
              <w:rPr>
                <w:rFonts w:ascii="Aptos" w:hAnsi="Aptos"/>
                <w:b w:val="0"/>
                <w:color w:val="222222"/>
                <w:sz w:val="15"/>
              </w:rPr>
              <w:t>flat_type — floor</w:t>
            </w:r>
          </w:p>
        </w:tc>
        <w:tc>
          <w:tcPr>
            <w:tcW w:type="dxa" w:w="3427"/>
            <w:shd w:fill="F4F7FA"/>
            <w:vAlign w:val="center"/>
          </w:tcPr>
          <w:p>
            <w:pPr>
              <w:spacing w:after="0"/>
            </w:pPr>
            <w:r/>
            <w:r>
              <w:rPr>
                <w:rFonts w:ascii="Aptos" w:hAnsi="Aptos"/>
                <w:b w:val="0"/>
                <w:color w:val="222222"/>
                <w:sz w:val="15"/>
              </w:rPr>
              <w:t>0.66%</w:t>
            </w:r>
          </w:p>
        </w:tc>
      </w:tr>
      <w:tr>
        <w:tc>
          <w:tcPr>
            <w:tcW w:type="dxa" w:w="3427"/>
            <w:vAlign w:val="center"/>
          </w:tcPr>
          <w:p>
            <w:pPr>
              <w:spacing w:after="0"/>
            </w:pPr>
            <w:r/>
            <w:r>
              <w:rPr>
                <w:rFonts w:ascii="Aptos" w:hAnsi="Aptos"/>
                <w:b w:val="0"/>
                <w:color w:val="222222"/>
                <w:sz w:val="15"/>
              </w:rPr>
              <w:t>8</w:t>
            </w:r>
          </w:p>
        </w:tc>
        <w:tc>
          <w:tcPr>
            <w:tcW w:type="dxa" w:w="3427"/>
            <w:vAlign w:val="center"/>
          </w:tcPr>
          <w:p>
            <w:pPr>
              <w:spacing w:after="0"/>
            </w:pPr>
            <w:r/>
            <w:r>
              <w:rPr>
                <w:rFonts w:ascii="Aptos" w:hAnsi="Aptos"/>
                <w:b w:val="0"/>
                <w:color w:val="222222"/>
                <w:sz w:val="15"/>
              </w:rPr>
              <w:t>status — under construction</w:t>
            </w:r>
          </w:p>
        </w:tc>
        <w:tc>
          <w:tcPr>
            <w:tcW w:type="dxa" w:w="3427"/>
            <w:vAlign w:val="center"/>
          </w:tcPr>
          <w:p>
            <w:pPr>
              <w:spacing w:after="0"/>
            </w:pPr>
            <w:r/>
            <w:r>
              <w:rPr>
                <w:rFonts w:ascii="Aptos" w:hAnsi="Aptos"/>
                <w:b w:val="0"/>
                <w:color w:val="222222"/>
                <w:sz w:val="15"/>
              </w:rPr>
              <w:t>0.65%</w:t>
            </w:r>
          </w:p>
        </w:tc>
      </w:tr>
      <w:tr>
        <w:tc>
          <w:tcPr>
            <w:tcW w:type="dxa" w:w="3427"/>
            <w:shd w:fill="F4F7FA"/>
            <w:vAlign w:val="center"/>
          </w:tcPr>
          <w:p>
            <w:pPr>
              <w:spacing w:after="0"/>
            </w:pPr>
            <w:r/>
            <w:r>
              <w:rPr>
                <w:rFonts w:ascii="Aptos" w:hAnsi="Aptos"/>
                <w:b w:val="0"/>
                <w:color w:val="222222"/>
                <w:sz w:val="15"/>
              </w:rPr>
              <w:t>9</w:t>
            </w:r>
          </w:p>
        </w:tc>
        <w:tc>
          <w:tcPr>
            <w:tcW w:type="dxa" w:w="3427"/>
            <w:shd w:fill="F4F7FA"/>
            <w:vAlign w:val="center"/>
          </w:tcPr>
          <w:p>
            <w:pPr>
              <w:spacing w:after="0"/>
            </w:pPr>
            <w:r/>
            <w:r>
              <w:rPr>
                <w:rFonts w:ascii="Aptos" w:hAnsi="Aptos"/>
                <w:b w:val="0"/>
                <w:color w:val="222222"/>
                <w:sz w:val="15"/>
              </w:rPr>
              <w:t>flat_type — house</w:t>
            </w:r>
          </w:p>
        </w:tc>
        <w:tc>
          <w:tcPr>
            <w:tcW w:type="dxa" w:w="3427"/>
            <w:shd w:fill="F4F7FA"/>
            <w:vAlign w:val="center"/>
          </w:tcPr>
          <w:p>
            <w:pPr>
              <w:spacing w:after="0"/>
            </w:pPr>
            <w:r/>
            <w:r>
              <w:rPr>
                <w:rFonts w:ascii="Aptos" w:hAnsi="Aptos"/>
                <w:b w:val="0"/>
                <w:color w:val="222222"/>
                <w:sz w:val="15"/>
              </w:rPr>
              <w:t>0.63%</w:t>
            </w:r>
          </w:p>
        </w:tc>
      </w:tr>
      <w:tr>
        <w:tc>
          <w:tcPr>
            <w:tcW w:type="dxa" w:w="3427"/>
            <w:vAlign w:val="center"/>
          </w:tcPr>
          <w:p>
            <w:pPr>
              <w:spacing w:after="0"/>
            </w:pPr>
            <w:r/>
            <w:r>
              <w:rPr>
                <w:rFonts w:ascii="Aptos" w:hAnsi="Aptos"/>
                <w:b w:val="0"/>
                <w:color w:val="222222"/>
                <w:sz w:val="15"/>
              </w:rPr>
              <w:t>10</w:t>
            </w:r>
          </w:p>
        </w:tc>
        <w:tc>
          <w:tcPr>
            <w:tcW w:type="dxa" w:w="3427"/>
            <w:vAlign w:val="center"/>
          </w:tcPr>
          <w:p>
            <w:pPr>
              <w:spacing w:after="0"/>
            </w:pPr>
            <w:r/>
            <w:r>
              <w:rPr>
                <w:rFonts w:ascii="Aptos" w:hAnsi="Aptos"/>
                <w:b w:val="0"/>
                <w:color w:val="222222"/>
                <w:sz w:val="15"/>
              </w:rPr>
              <w:t>status — resale</w:t>
            </w:r>
          </w:p>
        </w:tc>
        <w:tc>
          <w:tcPr>
            <w:tcW w:type="dxa" w:w="3427"/>
            <w:vAlign w:val="center"/>
          </w:tcPr>
          <w:p>
            <w:pPr>
              <w:spacing w:after="0"/>
            </w:pPr>
            <w:r/>
            <w:r>
              <w:rPr>
                <w:rFonts w:ascii="Aptos" w:hAnsi="Aptos"/>
                <w:b w:val="0"/>
                <w:color w:val="222222"/>
                <w:sz w:val="15"/>
              </w:rPr>
              <w:t>0.61%</w:t>
            </w:r>
          </w:p>
        </w:tc>
      </w:tr>
    </w:tbl>
    <w:p>
      <w:pPr>
        <w:spacing w:after="20" w:before="0"/>
      </w:pPr>
    </w:p>
    <w:p>
      <w:pPr>
        <w:pStyle w:val="Heading2"/>
      </w:pPr>
      <w:r>
        <w:t>6.1 Interpretation</w:t>
      </w:r>
    </w:p>
    <w:p>
      <w:r>
        <w:t>Area is overwhelmingly the dominant feature in the fitted Random Forest, with an importance score of 86.31%. BHK count is the second most influential predictor at 6.62%. RERA approval and the individual encoded status and flat-type indicators have much smaller individual importance values.</w:t>
      </w:r>
    </w:p>
    <w:tbl>
      <w:tblPr>
        <w:tblW w:type="auto" w:w="0"/>
        <w:jc w:val="center"/>
        <w:tblLook w:firstColumn="1" w:firstRow="1" w:lastColumn="0" w:lastRow="0" w:noHBand="0" w:noVBand="1" w:val="04A0"/>
      </w:tblPr>
      <w:tblGrid>
        <w:gridCol w:w="10282"/>
      </w:tblGrid>
      <w:tr>
        <w:tc>
          <w:tcPr>
            <w:tcW w:type="dxa" w:w="10282"/>
            <w:shd w:fill="F4F7FA"/>
          </w:tcPr>
          <w:p>
            <w:pPr>
              <w:spacing w:after="20"/>
            </w:pPr>
            <w:r>
              <w:rPr>
                <w:b/>
                <w:color w:val="17365D"/>
                <w:sz w:val="18"/>
              </w:rPr>
              <w:t>Interpretation caution</w:t>
            </w:r>
          </w:p>
          <w:p>
            <w:pPr>
              <w:spacing w:after="20"/>
            </w:pPr>
            <w:r>
              <w:rPr>
                <w:sz w:val="17"/>
              </w:rPr>
              <w:t>Random Forest feature importance describes how the model used variables for tree splits. It is not a causal statement and should not be interpreted as a literal percentage contribution of each feature to property price.</w:t>
            </w:r>
          </w:p>
        </w:tc>
      </w:tr>
    </w:tbl>
    <w:p>
      <w:pPr>
        <w:spacing w:after="0"/>
      </w:pPr>
    </w:p>
    <w:p>
      <w:pPr>
        <w:pStyle w:val="Heading1"/>
      </w:pPr>
      <w:r>
        <w:t>7. Prediction Results and Practical Implications</w:t>
      </w:r>
    </w:p>
    <w:p>
      <w:pPr>
        <w:pStyle w:val="Heading2"/>
      </w:pPr>
      <w:r>
        <w:t>7.1 Sample prediction results</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1285"/>
            <w:shd w:fill="17365D"/>
            <w:vAlign w:val="center"/>
          </w:tcPr>
          <w:p>
            <w:pPr>
              <w:spacing w:after="0"/>
            </w:pPr>
            <w:r/>
            <w:r>
              <w:rPr>
                <w:rFonts w:ascii="Aptos" w:hAnsi="Aptos"/>
                <w:b/>
                <w:color w:val="FFFFFF"/>
                <w:sz w:val="13"/>
              </w:rPr>
              <w:t>Area</w:t>
            </w:r>
          </w:p>
        </w:tc>
        <w:tc>
          <w:tcPr>
            <w:tcW w:type="dxa" w:w="1285"/>
            <w:shd w:fill="17365D"/>
            <w:vAlign w:val="center"/>
          </w:tcPr>
          <w:p>
            <w:pPr>
              <w:spacing w:after="0"/>
            </w:pPr>
            <w:r/>
            <w:r>
              <w:rPr>
                <w:rFonts w:ascii="Aptos" w:hAnsi="Aptos"/>
                <w:b/>
                <w:color w:val="FFFFFF"/>
                <w:sz w:val="13"/>
              </w:rPr>
              <w:t>BHK</w:t>
            </w:r>
          </w:p>
        </w:tc>
        <w:tc>
          <w:tcPr>
            <w:tcW w:type="dxa" w:w="1285"/>
            <w:shd w:fill="17365D"/>
            <w:vAlign w:val="center"/>
          </w:tcPr>
          <w:p>
            <w:pPr>
              <w:spacing w:after="0"/>
            </w:pPr>
            <w:r/>
            <w:r>
              <w:rPr>
                <w:rFonts w:ascii="Aptos" w:hAnsi="Aptos"/>
                <w:b/>
                <w:color w:val="FFFFFF"/>
                <w:sz w:val="13"/>
              </w:rPr>
              <w:t>RERA</w:t>
            </w:r>
          </w:p>
        </w:tc>
        <w:tc>
          <w:tcPr>
            <w:tcW w:type="dxa" w:w="1285"/>
            <w:shd w:fill="17365D"/>
            <w:vAlign w:val="center"/>
          </w:tcPr>
          <w:p>
            <w:pPr>
              <w:spacing w:after="0"/>
            </w:pPr>
            <w:r/>
            <w:r>
              <w:rPr>
                <w:rFonts w:ascii="Aptos" w:hAnsi="Aptos"/>
                <w:b/>
                <w:color w:val="FFFFFF"/>
                <w:sz w:val="13"/>
              </w:rPr>
              <w:t>Status</w:t>
            </w:r>
          </w:p>
        </w:tc>
        <w:tc>
          <w:tcPr>
            <w:tcW w:type="dxa" w:w="1285"/>
            <w:shd w:fill="17365D"/>
            <w:vAlign w:val="center"/>
          </w:tcPr>
          <w:p>
            <w:pPr>
              <w:spacing w:after="0"/>
            </w:pPr>
            <w:r/>
            <w:r>
              <w:rPr>
                <w:rFonts w:ascii="Aptos" w:hAnsi="Aptos"/>
                <w:b/>
                <w:color w:val="FFFFFF"/>
                <w:sz w:val="13"/>
              </w:rPr>
              <w:t>Type</w:t>
            </w:r>
          </w:p>
        </w:tc>
        <w:tc>
          <w:tcPr>
            <w:tcW w:type="dxa" w:w="1285"/>
            <w:shd w:fill="17365D"/>
            <w:vAlign w:val="center"/>
          </w:tcPr>
          <w:p>
            <w:pPr>
              <w:spacing w:after="0"/>
            </w:pPr>
            <w:r/>
            <w:r>
              <w:rPr>
                <w:rFonts w:ascii="Aptos" w:hAnsi="Aptos"/>
                <w:b/>
                <w:color w:val="FFFFFF"/>
                <w:sz w:val="13"/>
              </w:rPr>
              <w:t>Actual ₹</w:t>
            </w:r>
          </w:p>
        </w:tc>
        <w:tc>
          <w:tcPr>
            <w:tcW w:type="dxa" w:w="1285"/>
            <w:shd w:fill="17365D"/>
            <w:vAlign w:val="center"/>
          </w:tcPr>
          <w:p>
            <w:pPr>
              <w:spacing w:after="0"/>
            </w:pPr>
            <w:r/>
            <w:r>
              <w:rPr>
                <w:rFonts w:ascii="Aptos" w:hAnsi="Aptos"/>
                <w:b/>
                <w:color w:val="FFFFFF"/>
                <w:sz w:val="13"/>
              </w:rPr>
              <w:t>Predicted ₹</w:t>
            </w:r>
          </w:p>
        </w:tc>
        <w:tc>
          <w:tcPr>
            <w:tcW w:type="dxa" w:w="1285"/>
            <w:shd w:fill="17365D"/>
            <w:vAlign w:val="center"/>
          </w:tcPr>
          <w:p>
            <w:pPr>
              <w:spacing w:after="0"/>
            </w:pPr>
            <w:r/>
            <w:r>
              <w:rPr>
                <w:rFonts w:ascii="Aptos" w:hAnsi="Aptos"/>
                <w:b/>
                <w:color w:val="FFFFFF"/>
                <w:sz w:val="13"/>
              </w:rPr>
              <w:t>Residual ₹</w:t>
            </w:r>
          </w:p>
        </w:tc>
      </w:tr>
      <w:tr>
        <w:tc>
          <w:tcPr>
            <w:tcW w:type="dxa" w:w="1285"/>
            <w:shd w:fill="F4F7FA"/>
            <w:vAlign w:val="center"/>
          </w:tcPr>
          <w:p>
            <w:pPr>
              <w:spacing w:after="0"/>
            </w:pPr>
            <w:r/>
            <w:r>
              <w:rPr>
                <w:rFonts w:ascii="Aptos" w:hAnsi="Aptos"/>
                <w:b w:val="0"/>
                <w:color w:val="222222"/>
                <w:sz w:val="13"/>
              </w:rPr>
              <w:t>1531</w:t>
            </w:r>
          </w:p>
        </w:tc>
        <w:tc>
          <w:tcPr>
            <w:tcW w:type="dxa" w:w="1285"/>
            <w:shd w:fill="F4F7FA"/>
            <w:vAlign w:val="center"/>
          </w:tcPr>
          <w:p>
            <w:pPr>
              <w:spacing w:after="0"/>
            </w:pPr>
            <w:r/>
            <w:r>
              <w:rPr>
                <w:rFonts w:ascii="Aptos" w:hAnsi="Aptos"/>
                <w:b w:val="0"/>
                <w:color w:val="222222"/>
                <w:sz w:val="13"/>
              </w:rPr>
              <w:t>4.0</w:t>
            </w:r>
          </w:p>
        </w:tc>
        <w:tc>
          <w:tcPr>
            <w:tcW w:type="dxa" w:w="1285"/>
            <w:shd w:fill="F4F7FA"/>
            <w:vAlign w:val="center"/>
          </w:tcPr>
          <w:p>
            <w:pPr>
              <w:spacing w:after="0"/>
            </w:pPr>
            <w:r/>
            <w:r>
              <w:rPr>
                <w:rFonts w:ascii="Aptos" w:hAnsi="Aptos"/>
                <w:b w:val="0"/>
                <w:color w:val="222222"/>
                <w:sz w:val="13"/>
              </w:rPr>
              <w:t>1</w:t>
            </w:r>
          </w:p>
        </w:tc>
        <w:tc>
          <w:tcPr>
            <w:tcW w:type="dxa" w:w="1285"/>
            <w:shd w:fill="F4F7FA"/>
            <w:vAlign w:val="center"/>
          </w:tcPr>
          <w:p>
            <w:pPr>
              <w:spacing w:after="0"/>
            </w:pPr>
            <w:r/>
            <w:r>
              <w:rPr>
                <w:rFonts w:ascii="Aptos" w:hAnsi="Aptos"/>
                <w:b w:val="0"/>
                <w:color w:val="222222"/>
                <w:sz w:val="13"/>
              </w:rPr>
              <w:t>under construction</w:t>
            </w:r>
          </w:p>
        </w:tc>
        <w:tc>
          <w:tcPr>
            <w:tcW w:type="dxa" w:w="1285"/>
            <w:shd w:fill="F4F7FA"/>
            <w:vAlign w:val="center"/>
          </w:tcPr>
          <w:p>
            <w:pPr>
              <w:spacing w:after="0"/>
            </w:pPr>
            <w:r/>
            <w:r>
              <w:rPr>
                <w:rFonts w:ascii="Aptos" w:hAnsi="Aptos"/>
                <w:b w:val="0"/>
                <w:color w:val="222222"/>
                <w:sz w:val="13"/>
              </w:rPr>
              <w:t>apartment</w:t>
            </w:r>
          </w:p>
        </w:tc>
        <w:tc>
          <w:tcPr>
            <w:tcW w:type="dxa" w:w="1285"/>
            <w:shd w:fill="F4F7FA"/>
            <w:vAlign w:val="center"/>
          </w:tcPr>
          <w:p>
            <w:pPr>
              <w:spacing w:after="0"/>
            </w:pPr>
            <w:r/>
            <w:r>
              <w:rPr>
                <w:rFonts w:ascii="Aptos" w:hAnsi="Aptos"/>
                <w:b w:val="0"/>
                <w:color w:val="222222"/>
                <w:sz w:val="13"/>
              </w:rPr>
              <w:t>15,300,000</w:t>
            </w:r>
          </w:p>
        </w:tc>
        <w:tc>
          <w:tcPr>
            <w:tcW w:type="dxa" w:w="1285"/>
            <w:shd w:fill="F4F7FA"/>
            <w:vAlign w:val="center"/>
          </w:tcPr>
          <w:p>
            <w:pPr>
              <w:spacing w:after="0"/>
            </w:pPr>
            <w:r/>
            <w:r>
              <w:rPr>
                <w:rFonts w:ascii="Aptos" w:hAnsi="Aptos"/>
                <w:b w:val="0"/>
                <w:color w:val="222222"/>
                <w:sz w:val="13"/>
              </w:rPr>
              <w:t>22,134,990</w:t>
            </w:r>
          </w:p>
        </w:tc>
        <w:tc>
          <w:tcPr>
            <w:tcW w:type="dxa" w:w="1285"/>
            <w:shd w:fill="F4F7FA"/>
            <w:vAlign w:val="center"/>
          </w:tcPr>
          <w:p>
            <w:pPr>
              <w:spacing w:after="0"/>
            </w:pPr>
            <w:r/>
            <w:r>
              <w:rPr>
                <w:rFonts w:ascii="Aptos" w:hAnsi="Aptos"/>
                <w:b w:val="0"/>
                <w:color w:val="222222"/>
                <w:sz w:val="13"/>
              </w:rPr>
              <w:t>-6,834,992</w:t>
            </w:r>
          </w:p>
        </w:tc>
      </w:tr>
      <w:tr>
        <w:tc>
          <w:tcPr>
            <w:tcW w:type="dxa" w:w="1285"/>
            <w:vAlign w:val="center"/>
          </w:tcPr>
          <w:p>
            <w:pPr>
              <w:spacing w:after="0"/>
            </w:pPr>
            <w:r/>
            <w:r>
              <w:rPr>
                <w:rFonts w:ascii="Aptos" w:hAnsi="Aptos"/>
                <w:b w:val="0"/>
                <w:color w:val="222222"/>
                <w:sz w:val="13"/>
              </w:rPr>
              <w:t>1785</w:t>
            </w:r>
          </w:p>
        </w:tc>
        <w:tc>
          <w:tcPr>
            <w:tcW w:type="dxa" w:w="1285"/>
            <w:vAlign w:val="center"/>
          </w:tcPr>
          <w:p>
            <w:pPr>
              <w:spacing w:after="0"/>
            </w:pPr>
            <w:r/>
            <w:r>
              <w:rPr>
                <w:rFonts w:ascii="Aptos" w:hAnsi="Aptos"/>
                <w:b w:val="0"/>
                <w:color w:val="222222"/>
                <w:sz w:val="13"/>
              </w:rPr>
              <w:t>3.0</w:t>
            </w:r>
          </w:p>
        </w:tc>
        <w:tc>
          <w:tcPr>
            <w:tcW w:type="dxa" w:w="1285"/>
            <w:vAlign w:val="center"/>
          </w:tcPr>
          <w:p>
            <w:pPr>
              <w:spacing w:after="0"/>
            </w:pPr>
            <w:r/>
            <w:r>
              <w:rPr>
                <w:rFonts w:ascii="Aptos" w:hAnsi="Aptos"/>
                <w:b w:val="0"/>
                <w:color w:val="222222"/>
                <w:sz w:val="13"/>
              </w:rPr>
              <w:t>0</w:t>
            </w:r>
          </w:p>
        </w:tc>
        <w:tc>
          <w:tcPr>
            <w:tcW w:type="dxa" w:w="1285"/>
            <w:vAlign w:val="center"/>
          </w:tcPr>
          <w:p>
            <w:pPr>
              <w:spacing w:after="0"/>
            </w:pPr>
            <w:r/>
            <w:r>
              <w:rPr>
                <w:rFonts w:ascii="Aptos" w:hAnsi="Aptos"/>
                <w:b w:val="0"/>
                <w:color w:val="222222"/>
                <w:sz w:val="13"/>
              </w:rPr>
              <w:t>ready to move</w:t>
            </w:r>
          </w:p>
        </w:tc>
        <w:tc>
          <w:tcPr>
            <w:tcW w:type="dxa" w:w="1285"/>
            <w:vAlign w:val="center"/>
          </w:tcPr>
          <w:p>
            <w:pPr>
              <w:spacing w:after="0"/>
            </w:pPr>
            <w:r/>
            <w:r>
              <w:rPr>
                <w:rFonts w:ascii="Aptos" w:hAnsi="Aptos"/>
                <w:b w:val="0"/>
                <w:color w:val="222222"/>
                <w:sz w:val="13"/>
              </w:rPr>
              <w:t>apartment</w:t>
            </w:r>
          </w:p>
        </w:tc>
        <w:tc>
          <w:tcPr>
            <w:tcW w:type="dxa" w:w="1285"/>
            <w:vAlign w:val="center"/>
          </w:tcPr>
          <w:p>
            <w:pPr>
              <w:spacing w:after="0"/>
            </w:pPr>
            <w:r/>
            <w:r>
              <w:rPr>
                <w:rFonts w:ascii="Aptos" w:hAnsi="Aptos"/>
                <w:b w:val="0"/>
                <w:color w:val="222222"/>
                <w:sz w:val="13"/>
              </w:rPr>
              <w:t>12,200,000</w:t>
            </w:r>
          </w:p>
        </w:tc>
        <w:tc>
          <w:tcPr>
            <w:tcW w:type="dxa" w:w="1285"/>
            <w:vAlign w:val="center"/>
          </w:tcPr>
          <w:p>
            <w:pPr>
              <w:spacing w:after="0"/>
            </w:pPr>
            <w:r/>
            <w:r>
              <w:rPr>
                <w:rFonts w:ascii="Aptos" w:hAnsi="Aptos"/>
                <w:b w:val="0"/>
                <w:color w:val="222222"/>
                <w:sz w:val="13"/>
              </w:rPr>
              <w:t>15,320,840</w:t>
            </w:r>
          </w:p>
        </w:tc>
        <w:tc>
          <w:tcPr>
            <w:tcW w:type="dxa" w:w="1285"/>
            <w:vAlign w:val="center"/>
          </w:tcPr>
          <w:p>
            <w:pPr>
              <w:spacing w:after="0"/>
            </w:pPr>
            <w:r/>
            <w:r>
              <w:rPr>
                <w:rFonts w:ascii="Aptos" w:hAnsi="Aptos"/>
                <w:b w:val="0"/>
                <w:color w:val="222222"/>
                <w:sz w:val="13"/>
              </w:rPr>
              <w:t>-3,120,837</w:t>
            </w:r>
          </w:p>
        </w:tc>
      </w:tr>
      <w:tr>
        <w:tc>
          <w:tcPr>
            <w:tcW w:type="dxa" w:w="1285"/>
            <w:shd w:fill="F4F7FA"/>
            <w:vAlign w:val="center"/>
          </w:tcPr>
          <w:p>
            <w:pPr>
              <w:spacing w:after="0"/>
            </w:pPr>
            <w:r/>
            <w:r>
              <w:rPr>
                <w:rFonts w:ascii="Aptos" w:hAnsi="Aptos"/>
                <w:b w:val="0"/>
                <w:color w:val="222222"/>
                <w:sz w:val="13"/>
              </w:rPr>
              <w:t>1920</w:t>
            </w:r>
          </w:p>
        </w:tc>
        <w:tc>
          <w:tcPr>
            <w:tcW w:type="dxa" w:w="1285"/>
            <w:shd w:fill="F4F7FA"/>
            <w:vAlign w:val="center"/>
          </w:tcPr>
          <w:p>
            <w:pPr>
              <w:spacing w:after="0"/>
            </w:pPr>
            <w:r/>
            <w:r>
              <w:rPr>
                <w:rFonts w:ascii="Aptos" w:hAnsi="Aptos"/>
                <w:b w:val="0"/>
                <w:color w:val="222222"/>
                <w:sz w:val="13"/>
              </w:rPr>
              <w:t>3.0</w:t>
            </w:r>
          </w:p>
        </w:tc>
        <w:tc>
          <w:tcPr>
            <w:tcW w:type="dxa" w:w="1285"/>
            <w:shd w:fill="F4F7FA"/>
            <w:vAlign w:val="center"/>
          </w:tcPr>
          <w:p>
            <w:pPr>
              <w:spacing w:after="0"/>
            </w:pPr>
            <w:r/>
            <w:r>
              <w:rPr>
                <w:rFonts w:ascii="Aptos" w:hAnsi="Aptos"/>
                <w:b w:val="0"/>
                <w:color w:val="222222"/>
                <w:sz w:val="13"/>
              </w:rPr>
              <w:t>0</w:t>
            </w:r>
          </w:p>
        </w:tc>
        <w:tc>
          <w:tcPr>
            <w:tcW w:type="dxa" w:w="1285"/>
            <w:shd w:fill="F4F7FA"/>
            <w:vAlign w:val="center"/>
          </w:tcPr>
          <w:p>
            <w:pPr>
              <w:spacing w:after="0"/>
            </w:pPr>
            <w:r/>
            <w:r>
              <w:rPr>
                <w:rFonts w:ascii="Aptos" w:hAnsi="Aptos"/>
                <w:b w:val="0"/>
                <w:color w:val="222222"/>
                <w:sz w:val="13"/>
              </w:rPr>
              <w:t>ready to move</w:t>
            </w:r>
          </w:p>
        </w:tc>
        <w:tc>
          <w:tcPr>
            <w:tcW w:type="dxa" w:w="1285"/>
            <w:shd w:fill="F4F7FA"/>
            <w:vAlign w:val="center"/>
          </w:tcPr>
          <w:p>
            <w:pPr>
              <w:spacing w:after="0"/>
            </w:pPr>
            <w:r/>
            <w:r>
              <w:rPr>
                <w:rFonts w:ascii="Aptos" w:hAnsi="Aptos"/>
                <w:b w:val="0"/>
                <w:color w:val="222222"/>
                <w:sz w:val="13"/>
              </w:rPr>
              <w:t>apartment</w:t>
            </w:r>
          </w:p>
        </w:tc>
        <w:tc>
          <w:tcPr>
            <w:tcW w:type="dxa" w:w="1285"/>
            <w:shd w:fill="F4F7FA"/>
            <w:vAlign w:val="center"/>
          </w:tcPr>
          <w:p>
            <w:pPr>
              <w:spacing w:after="0"/>
            </w:pPr>
            <w:r/>
            <w:r>
              <w:rPr>
                <w:rFonts w:ascii="Aptos" w:hAnsi="Aptos"/>
                <w:b w:val="0"/>
                <w:color w:val="222222"/>
                <w:sz w:val="13"/>
              </w:rPr>
              <w:t>11,500,000</w:t>
            </w:r>
          </w:p>
        </w:tc>
        <w:tc>
          <w:tcPr>
            <w:tcW w:type="dxa" w:w="1285"/>
            <w:shd w:fill="F4F7FA"/>
            <w:vAlign w:val="center"/>
          </w:tcPr>
          <w:p>
            <w:pPr>
              <w:spacing w:after="0"/>
            </w:pPr>
            <w:r/>
            <w:r>
              <w:rPr>
                <w:rFonts w:ascii="Aptos" w:hAnsi="Aptos"/>
                <w:b w:val="0"/>
                <w:color w:val="222222"/>
                <w:sz w:val="13"/>
              </w:rPr>
              <w:t>13,428,790</w:t>
            </w:r>
          </w:p>
        </w:tc>
        <w:tc>
          <w:tcPr>
            <w:tcW w:type="dxa" w:w="1285"/>
            <w:shd w:fill="F4F7FA"/>
            <w:vAlign w:val="center"/>
          </w:tcPr>
          <w:p>
            <w:pPr>
              <w:spacing w:after="0"/>
            </w:pPr>
            <w:r/>
            <w:r>
              <w:rPr>
                <w:rFonts w:ascii="Aptos" w:hAnsi="Aptos"/>
                <w:b w:val="0"/>
                <w:color w:val="222222"/>
                <w:sz w:val="13"/>
              </w:rPr>
              <w:t>-1,928,795</w:t>
            </w:r>
          </w:p>
        </w:tc>
      </w:tr>
      <w:tr>
        <w:tc>
          <w:tcPr>
            <w:tcW w:type="dxa" w:w="1285"/>
            <w:vAlign w:val="center"/>
          </w:tcPr>
          <w:p>
            <w:pPr>
              <w:spacing w:after="0"/>
            </w:pPr>
            <w:r/>
            <w:r>
              <w:rPr>
                <w:rFonts w:ascii="Aptos" w:hAnsi="Aptos"/>
                <w:b w:val="0"/>
                <w:color w:val="222222"/>
                <w:sz w:val="13"/>
              </w:rPr>
              <w:t>2150</w:t>
            </w:r>
          </w:p>
        </w:tc>
        <w:tc>
          <w:tcPr>
            <w:tcW w:type="dxa" w:w="1285"/>
            <w:vAlign w:val="center"/>
          </w:tcPr>
          <w:p>
            <w:pPr>
              <w:spacing w:after="0"/>
            </w:pPr>
            <w:r/>
            <w:r>
              <w:rPr>
                <w:rFonts w:ascii="Aptos" w:hAnsi="Aptos"/>
                <w:b w:val="0"/>
                <w:color w:val="222222"/>
                <w:sz w:val="13"/>
              </w:rPr>
              <w:t>3.0</w:t>
            </w:r>
          </w:p>
        </w:tc>
        <w:tc>
          <w:tcPr>
            <w:tcW w:type="dxa" w:w="1285"/>
            <w:vAlign w:val="center"/>
          </w:tcPr>
          <w:p>
            <w:pPr>
              <w:spacing w:after="0"/>
            </w:pPr>
            <w:r/>
            <w:r>
              <w:rPr>
                <w:rFonts w:ascii="Aptos" w:hAnsi="Aptos"/>
                <w:b w:val="0"/>
                <w:color w:val="222222"/>
                <w:sz w:val="13"/>
              </w:rPr>
              <w:t>1</w:t>
            </w:r>
          </w:p>
        </w:tc>
        <w:tc>
          <w:tcPr>
            <w:tcW w:type="dxa" w:w="1285"/>
            <w:vAlign w:val="center"/>
          </w:tcPr>
          <w:p>
            <w:pPr>
              <w:spacing w:after="0"/>
            </w:pPr>
            <w:r/>
            <w:r>
              <w:rPr>
                <w:rFonts w:ascii="Aptos" w:hAnsi="Aptos"/>
                <w:b w:val="0"/>
                <w:color w:val="222222"/>
                <w:sz w:val="13"/>
              </w:rPr>
              <w:t>under construction</w:t>
            </w:r>
          </w:p>
        </w:tc>
        <w:tc>
          <w:tcPr>
            <w:tcW w:type="dxa" w:w="1285"/>
            <w:vAlign w:val="center"/>
          </w:tcPr>
          <w:p>
            <w:pPr>
              <w:spacing w:after="0"/>
            </w:pPr>
            <w:r/>
            <w:r>
              <w:rPr>
                <w:rFonts w:ascii="Aptos" w:hAnsi="Aptos"/>
                <w:b w:val="0"/>
                <w:color w:val="222222"/>
                <w:sz w:val="13"/>
              </w:rPr>
              <w:t>apartment</w:t>
            </w:r>
          </w:p>
        </w:tc>
        <w:tc>
          <w:tcPr>
            <w:tcW w:type="dxa" w:w="1285"/>
            <w:vAlign w:val="center"/>
          </w:tcPr>
          <w:p>
            <w:pPr>
              <w:spacing w:after="0"/>
            </w:pPr>
            <w:r/>
            <w:r>
              <w:rPr>
                <w:rFonts w:ascii="Aptos" w:hAnsi="Aptos"/>
                <w:b w:val="0"/>
                <w:color w:val="222222"/>
                <w:sz w:val="13"/>
              </w:rPr>
              <w:t>14,200,000</w:t>
            </w:r>
          </w:p>
        </w:tc>
        <w:tc>
          <w:tcPr>
            <w:tcW w:type="dxa" w:w="1285"/>
            <w:vAlign w:val="center"/>
          </w:tcPr>
          <w:p>
            <w:pPr>
              <w:spacing w:after="0"/>
            </w:pPr>
            <w:r/>
            <w:r>
              <w:rPr>
                <w:rFonts w:ascii="Aptos" w:hAnsi="Aptos"/>
                <w:b w:val="0"/>
                <w:color w:val="222222"/>
                <w:sz w:val="13"/>
              </w:rPr>
              <w:t>42,787,830</w:t>
            </w:r>
          </w:p>
        </w:tc>
        <w:tc>
          <w:tcPr>
            <w:tcW w:type="dxa" w:w="1285"/>
            <w:vAlign w:val="center"/>
          </w:tcPr>
          <w:p>
            <w:pPr>
              <w:spacing w:after="0"/>
            </w:pPr>
            <w:r/>
            <w:r>
              <w:rPr>
                <w:rFonts w:ascii="Aptos" w:hAnsi="Aptos"/>
                <w:b w:val="0"/>
                <w:color w:val="222222"/>
                <w:sz w:val="13"/>
              </w:rPr>
              <w:t>-28,587,830</w:t>
            </w:r>
          </w:p>
        </w:tc>
      </w:tr>
      <w:tr>
        <w:tc>
          <w:tcPr>
            <w:tcW w:type="dxa" w:w="1285"/>
            <w:shd w:fill="F4F7FA"/>
            <w:vAlign w:val="center"/>
          </w:tcPr>
          <w:p>
            <w:pPr>
              <w:spacing w:after="0"/>
            </w:pPr>
            <w:r/>
            <w:r>
              <w:rPr>
                <w:rFonts w:ascii="Aptos" w:hAnsi="Aptos"/>
                <w:b w:val="0"/>
                <w:color w:val="222222"/>
                <w:sz w:val="13"/>
              </w:rPr>
              <w:t>2404</w:t>
            </w:r>
          </w:p>
        </w:tc>
        <w:tc>
          <w:tcPr>
            <w:tcW w:type="dxa" w:w="1285"/>
            <w:shd w:fill="F4F7FA"/>
            <w:vAlign w:val="center"/>
          </w:tcPr>
          <w:p>
            <w:pPr>
              <w:spacing w:after="0"/>
            </w:pPr>
            <w:r/>
            <w:r>
              <w:rPr>
                <w:rFonts w:ascii="Aptos" w:hAnsi="Aptos"/>
                <w:b w:val="0"/>
                <w:color w:val="222222"/>
                <w:sz w:val="13"/>
              </w:rPr>
              <w:t>3.0</w:t>
            </w:r>
          </w:p>
        </w:tc>
        <w:tc>
          <w:tcPr>
            <w:tcW w:type="dxa" w:w="1285"/>
            <w:shd w:fill="F4F7FA"/>
            <w:vAlign w:val="center"/>
          </w:tcPr>
          <w:p>
            <w:pPr>
              <w:spacing w:after="0"/>
            </w:pPr>
            <w:r/>
            <w:r>
              <w:rPr>
                <w:rFonts w:ascii="Aptos" w:hAnsi="Aptos"/>
                <w:b w:val="0"/>
                <w:color w:val="222222"/>
                <w:sz w:val="13"/>
              </w:rPr>
              <w:t>0</w:t>
            </w:r>
          </w:p>
        </w:tc>
        <w:tc>
          <w:tcPr>
            <w:tcW w:type="dxa" w:w="1285"/>
            <w:shd w:fill="F4F7FA"/>
            <w:vAlign w:val="center"/>
          </w:tcPr>
          <w:p>
            <w:pPr>
              <w:spacing w:after="0"/>
            </w:pPr>
            <w:r/>
            <w:r>
              <w:rPr>
                <w:rFonts w:ascii="Aptos" w:hAnsi="Aptos"/>
                <w:b w:val="0"/>
                <w:color w:val="222222"/>
                <w:sz w:val="13"/>
              </w:rPr>
              <w:t>ready to move</w:t>
            </w:r>
          </w:p>
        </w:tc>
        <w:tc>
          <w:tcPr>
            <w:tcW w:type="dxa" w:w="1285"/>
            <w:shd w:fill="F4F7FA"/>
            <w:vAlign w:val="center"/>
          </w:tcPr>
          <w:p>
            <w:pPr>
              <w:spacing w:after="0"/>
            </w:pPr>
            <w:r/>
            <w:r>
              <w:rPr>
                <w:rFonts w:ascii="Aptos" w:hAnsi="Aptos"/>
                <w:b w:val="0"/>
                <w:color w:val="222222"/>
                <w:sz w:val="13"/>
              </w:rPr>
              <w:t>apartment</w:t>
            </w:r>
          </w:p>
        </w:tc>
        <w:tc>
          <w:tcPr>
            <w:tcW w:type="dxa" w:w="1285"/>
            <w:shd w:fill="F4F7FA"/>
            <w:vAlign w:val="center"/>
          </w:tcPr>
          <w:p>
            <w:pPr>
              <w:spacing w:after="0"/>
            </w:pPr>
            <w:r/>
            <w:r>
              <w:rPr>
                <w:rFonts w:ascii="Aptos" w:hAnsi="Aptos"/>
                <w:b w:val="0"/>
                <w:color w:val="222222"/>
                <w:sz w:val="13"/>
              </w:rPr>
              <w:t>25,900,000</w:t>
            </w:r>
          </w:p>
        </w:tc>
        <w:tc>
          <w:tcPr>
            <w:tcW w:type="dxa" w:w="1285"/>
            <w:shd w:fill="F4F7FA"/>
            <w:vAlign w:val="center"/>
          </w:tcPr>
          <w:p>
            <w:pPr>
              <w:spacing w:after="0"/>
            </w:pPr>
            <w:r/>
            <w:r>
              <w:rPr>
                <w:rFonts w:ascii="Aptos" w:hAnsi="Aptos"/>
                <w:b w:val="0"/>
                <w:color w:val="222222"/>
                <w:sz w:val="13"/>
              </w:rPr>
              <w:t>31,369,290</w:t>
            </w:r>
          </w:p>
        </w:tc>
        <w:tc>
          <w:tcPr>
            <w:tcW w:type="dxa" w:w="1285"/>
            <w:shd w:fill="F4F7FA"/>
            <w:vAlign w:val="center"/>
          </w:tcPr>
          <w:p>
            <w:pPr>
              <w:spacing w:after="0"/>
            </w:pPr>
            <w:r/>
            <w:r>
              <w:rPr>
                <w:rFonts w:ascii="Aptos" w:hAnsi="Aptos"/>
                <w:b w:val="0"/>
                <w:color w:val="222222"/>
                <w:sz w:val="13"/>
              </w:rPr>
              <w:t>-5,469,294</w:t>
            </w:r>
          </w:p>
        </w:tc>
      </w:tr>
    </w:tbl>
    <w:p>
      <w:pPr>
        <w:spacing w:after="20" w:before="0"/>
      </w:pPr>
    </w:p>
    <w:p>
      <w:r>
        <w:t>The complete test-set prediction file contains 2,845 observations with the original predictors plus Actual Price, Predicted Price, and Residual.</w:t>
      </w:r>
    </w:p>
    <w:p>
      <w:pPr>
        <w:pStyle w:val="Heading2"/>
      </w:pPr>
      <w:r>
        <w:t>7.2 Final validation summary</w:t>
      </w:r>
    </w:p>
    <w:tbl>
      <w:tblPr>
        <w:tblStyle w:val="TableGrid"/>
        <w:tblW w:type="auto" w:w="0"/>
        <w:jc w:val="center"/>
        <w:tblLook w:firstColumn="1" w:firstRow="1" w:lastColumn="0" w:lastRow="0" w:noHBand="0" w:noVBand="1" w:val="04A0"/>
      </w:tblPr>
      <w:tblGrid>
        <w:gridCol w:w="5141"/>
        <w:gridCol w:w="5141"/>
      </w:tblGrid>
      <w:tr>
        <w:tc>
          <w:tcPr>
            <w:tcW w:type="dxa" w:w="5141"/>
            <w:shd w:fill="17365D"/>
            <w:vAlign w:val="center"/>
          </w:tcPr>
          <w:p>
            <w:pPr>
              <w:spacing w:after="0"/>
            </w:pPr>
            <w:r/>
            <w:r>
              <w:rPr>
                <w:rFonts w:ascii="Aptos" w:hAnsi="Aptos"/>
                <w:b/>
                <w:color w:val="FFFFFF"/>
                <w:sz w:val="16"/>
              </w:rPr>
              <w:t>Validation item</w:t>
            </w:r>
          </w:p>
        </w:tc>
        <w:tc>
          <w:tcPr>
            <w:tcW w:type="dxa" w:w="5141"/>
            <w:shd w:fill="17365D"/>
            <w:vAlign w:val="center"/>
          </w:tcPr>
          <w:p>
            <w:pPr>
              <w:spacing w:after="0"/>
            </w:pPr>
            <w:r/>
            <w:r>
              <w:rPr>
                <w:rFonts w:ascii="Aptos" w:hAnsi="Aptos"/>
                <w:b/>
                <w:color w:val="FFFFFF"/>
                <w:sz w:val="16"/>
              </w:rPr>
              <w:t>Verified result</w:t>
            </w:r>
          </w:p>
        </w:tc>
      </w:tr>
      <w:tr>
        <w:tc>
          <w:tcPr>
            <w:tcW w:type="dxa" w:w="5141"/>
            <w:shd w:fill="F4F7FA"/>
            <w:vAlign w:val="center"/>
          </w:tcPr>
          <w:p>
            <w:pPr>
              <w:spacing w:after="0"/>
            </w:pPr>
            <w:r/>
            <w:r>
              <w:rPr>
                <w:rFonts w:ascii="Aptos" w:hAnsi="Aptos"/>
                <w:b w:val="0"/>
                <w:color w:val="222222"/>
                <w:sz w:val="16"/>
              </w:rPr>
              <w:t>Test R²</w:t>
            </w:r>
          </w:p>
        </w:tc>
        <w:tc>
          <w:tcPr>
            <w:tcW w:type="dxa" w:w="5141"/>
            <w:shd w:fill="F4F7FA"/>
            <w:vAlign w:val="center"/>
          </w:tcPr>
          <w:p>
            <w:pPr>
              <w:spacing w:after="0"/>
            </w:pPr>
            <w:r/>
            <w:r>
              <w:rPr>
                <w:rFonts w:ascii="Aptos" w:hAnsi="Aptos"/>
                <w:b w:val="0"/>
                <w:color w:val="222222"/>
                <w:sz w:val="16"/>
              </w:rPr>
              <w:t>69.86%</w:t>
            </w:r>
          </w:p>
        </w:tc>
      </w:tr>
      <w:tr>
        <w:tc>
          <w:tcPr>
            <w:tcW w:type="dxa" w:w="5141"/>
            <w:vAlign w:val="center"/>
          </w:tcPr>
          <w:p>
            <w:pPr>
              <w:spacing w:after="0"/>
            </w:pPr>
            <w:r/>
            <w:r>
              <w:rPr>
                <w:rFonts w:ascii="Aptos" w:hAnsi="Aptos"/>
                <w:b w:val="0"/>
                <w:color w:val="222222"/>
                <w:sz w:val="16"/>
              </w:rPr>
              <w:t>Mean 5-fold CV R²</w:t>
            </w:r>
          </w:p>
        </w:tc>
        <w:tc>
          <w:tcPr>
            <w:tcW w:type="dxa" w:w="5141"/>
            <w:vAlign w:val="center"/>
          </w:tcPr>
          <w:p>
            <w:pPr>
              <w:spacing w:after="0"/>
            </w:pPr>
            <w:r/>
            <w:r>
              <w:rPr>
                <w:rFonts w:ascii="Aptos" w:hAnsi="Aptos"/>
                <w:b w:val="0"/>
                <w:color w:val="222222"/>
                <w:sz w:val="16"/>
              </w:rPr>
              <w:t>57.06%</w:t>
            </w:r>
          </w:p>
        </w:tc>
      </w:tr>
      <w:tr>
        <w:tc>
          <w:tcPr>
            <w:tcW w:type="dxa" w:w="5141"/>
            <w:shd w:fill="F4F7FA"/>
            <w:vAlign w:val="center"/>
          </w:tcPr>
          <w:p>
            <w:pPr>
              <w:spacing w:after="0"/>
            </w:pPr>
            <w:r/>
            <w:r>
              <w:rPr>
                <w:rFonts w:ascii="Aptos" w:hAnsi="Aptos"/>
                <w:b w:val="0"/>
                <w:color w:val="222222"/>
                <w:sz w:val="16"/>
              </w:rPr>
              <w:t>MAE</w:t>
            </w:r>
          </w:p>
        </w:tc>
        <w:tc>
          <w:tcPr>
            <w:tcW w:type="dxa" w:w="5141"/>
            <w:shd w:fill="F4F7FA"/>
            <w:vAlign w:val="center"/>
          </w:tcPr>
          <w:p>
            <w:pPr>
              <w:spacing w:after="0"/>
            </w:pPr>
            <w:r/>
            <w:r>
              <w:rPr>
                <w:rFonts w:ascii="Aptos" w:hAnsi="Aptos"/>
                <w:b w:val="0"/>
                <w:color w:val="222222"/>
                <w:sz w:val="16"/>
              </w:rPr>
              <w:t>₹11,532,540.78 (≈ ₹1.15 crore)</w:t>
            </w:r>
          </w:p>
        </w:tc>
      </w:tr>
      <w:tr>
        <w:tc>
          <w:tcPr>
            <w:tcW w:type="dxa" w:w="5141"/>
            <w:vAlign w:val="center"/>
          </w:tcPr>
          <w:p>
            <w:pPr>
              <w:spacing w:after="0"/>
            </w:pPr>
            <w:r/>
            <w:r>
              <w:rPr>
                <w:rFonts w:ascii="Aptos" w:hAnsi="Aptos"/>
                <w:b w:val="0"/>
                <w:color w:val="222222"/>
                <w:sz w:val="16"/>
              </w:rPr>
              <w:t>RMSE</w:t>
            </w:r>
          </w:p>
        </w:tc>
        <w:tc>
          <w:tcPr>
            <w:tcW w:type="dxa" w:w="5141"/>
            <w:vAlign w:val="center"/>
          </w:tcPr>
          <w:p>
            <w:pPr>
              <w:spacing w:after="0"/>
            </w:pPr>
            <w:r/>
            <w:r>
              <w:rPr>
                <w:rFonts w:ascii="Aptos" w:hAnsi="Aptos"/>
                <w:b w:val="0"/>
                <w:color w:val="222222"/>
                <w:sz w:val="16"/>
              </w:rPr>
              <w:t>₹33,875,860.34 (≈ ₹3.39 crore)</w:t>
            </w:r>
          </w:p>
        </w:tc>
      </w:tr>
      <w:tr>
        <w:tc>
          <w:tcPr>
            <w:tcW w:type="dxa" w:w="5141"/>
            <w:shd w:fill="F4F7FA"/>
            <w:vAlign w:val="center"/>
          </w:tcPr>
          <w:p>
            <w:pPr>
              <w:spacing w:after="0"/>
            </w:pPr>
            <w:r/>
            <w:r>
              <w:rPr>
                <w:rFonts w:ascii="Aptos" w:hAnsi="Aptos"/>
                <w:b w:val="0"/>
                <w:color w:val="222222"/>
                <w:sz w:val="16"/>
              </w:rPr>
              <w:t>Test observations</w:t>
            </w:r>
          </w:p>
        </w:tc>
        <w:tc>
          <w:tcPr>
            <w:tcW w:type="dxa" w:w="5141"/>
            <w:shd w:fill="F4F7FA"/>
            <w:vAlign w:val="center"/>
          </w:tcPr>
          <w:p>
            <w:pPr>
              <w:spacing w:after="0"/>
            </w:pPr>
            <w:r/>
            <w:r>
              <w:rPr>
                <w:rFonts w:ascii="Aptos" w:hAnsi="Aptos"/>
                <w:b w:val="0"/>
                <w:color w:val="222222"/>
                <w:sz w:val="16"/>
              </w:rPr>
              <w:t>2,845</w:t>
            </w:r>
          </w:p>
        </w:tc>
      </w:tr>
    </w:tbl>
    <w:p>
      <w:pPr>
        <w:spacing w:after="20" w:before="0"/>
      </w:pPr>
    </w:p>
    <w:p>
      <w:pPr>
        <w:pStyle w:val="Heading2"/>
      </w:pPr>
      <w:r>
        <w:t>7.3 Business / research implications</w:t>
      </w:r>
    </w:p>
    <w:p>
      <w:pPr>
        <w:pStyle w:val="ListBullet"/>
        <w:spacing w:after="30"/>
        <w:ind w:left="259"/>
      </w:pPr>
      <w:r>
        <w:t>Price estimation: the model can provide a data-driven starting estimate for properties with the selected characteristics.</w:t>
      </w:r>
    </w:p>
    <w:p>
      <w:pPr>
        <w:pStyle w:val="ListBullet"/>
        <w:spacing w:after="30"/>
        <w:ind w:left="259"/>
      </w:pPr>
      <w:r>
        <w:t>Listing analysis: predicted values can help analysts identify observations that differ substantially from learned price patterns.</w:t>
      </w:r>
    </w:p>
    <w:p>
      <w:pPr>
        <w:pStyle w:val="ListBullet"/>
        <w:spacing w:after="30"/>
        <w:ind w:left="259"/>
      </w:pPr>
      <w:r>
        <w:t>Feature insight: area is the dominant predictive signal in the current feature set, making property size a key variable for price estimation.</w:t>
      </w:r>
    </w:p>
    <w:p>
      <w:pPr>
        <w:pStyle w:val="ListBullet"/>
        <w:spacing w:after="30"/>
        <w:ind w:left="259"/>
      </w:pPr>
      <w:r>
        <w:t>Decision support: the model can support exploratory analysis but should not be treated as an independent professional valuation.</w:t>
      </w:r>
    </w:p>
    <w:p>
      <w:pPr>
        <w:pStyle w:val="ListBullet"/>
        <w:spacing w:after="30"/>
        <w:ind w:left="259"/>
      </w:pPr>
      <w:r>
        <w:t>Future market analysis: richer location and market variables could extend the usefulness of the predictive system.</w:t>
      </w:r>
    </w:p>
    <w:p>
      <w:pPr>
        <w:pStyle w:val="Heading1"/>
      </w:pPr>
      <w:r>
        <w:t>8. Strengths, Limitations and Improvements</w:t>
      </w:r>
    </w:p>
    <w:p>
      <w:pPr>
        <w:pStyle w:val="Heading2"/>
      </w:pPr>
      <w:r>
        <w:t>8.1 Strengths</w:t>
      </w:r>
    </w:p>
    <w:p>
      <w:pPr>
        <w:pStyle w:val="ListBullet"/>
        <w:spacing w:after="30"/>
        <w:ind w:left="259"/>
      </w:pPr>
      <w:r>
        <w:t>Reproducible Scikit-learn preprocessing and modeling pipeline.</w:t>
      </w:r>
    </w:p>
    <w:p>
      <w:pPr>
        <w:pStyle w:val="ListBullet"/>
        <w:spacing w:after="30"/>
        <w:ind w:left="259"/>
      </w:pPr>
      <w:r>
        <w:t>Separate held-out test set plus 5-fold cross-validation.</w:t>
      </w:r>
    </w:p>
    <w:p>
      <w:pPr>
        <w:pStyle w:val="ListBullet"/>
        <w:spacing w:after="30"/>
        <w:ind w:left="259"/>
      </w:pPr>
      <w:r>
        <w:t>Comparison of a linear baseline and two nonlinear ensemble methods.</w:t>
      </w:r>
    </w:p>
    <w:p>
      <w:pPr>
        <w:pStyle w:val="ListBullet"/>
        <w:spacing w:after="30"/>
        <w:ind w:left="259"/>
      </w:pPr>
      <w:r>
        <w:t>Explicit avoidance of target leakage from rate_per_sqft.</w:t>
      </w:r>
    </w:p>
    <w:p>
      <w:pPr>
        <w:pStyle w:val="ListBullet"/>
        <w:spacing w:after="30"/>
        <w:ind w:left="259"/>
      </w:pPr>
      <w:r>
        <w:t>Prediction, residual, and feature-importance analysis for interpretability.</w:t>
      </w:r>
    </w:p>
    <w:p>
      <w:pPr>
        <w:pStyle w:val="Heading2"/>
      </w:pPr>
      <w:r>
        <w:t>8.2 Limitations</w:t>
      </w:r>
    </w:p>
    <w:p>
      <w:pPr>
        <w:pStyle w:val="ListBullet"/>
        <w:spacing w:after="30"/>
        <w:ind w:left="259"/>
      </w:pPr>
      <w:r>
        <w:t>The baseline uses a limited predictor set and does not directly encode detailed locality effects.</w:t>
      </w:r>
    </w:p>
    <w:p>
      <w:pPr>
        <w:pStyle w:val="ListBullet"/>
        <w:spacing w:after="30"/>
        <w:ind w:left="259"/>
      </w:pPr>
      <w:r>
        <w:t>High-cardinality fields were excluded, so detailed location, society, builder, and company information does not contribute directly to prediction.</w:t>
      </w:r>
    </w:p>
    <w:p>
      <w:pPr>
        <w:pStyle w:val="ListBullet"/>
        <w:spacing w:after="30"/>
        <w:ind w:left="259"/>
      </w:pPr>
      <w:r>
        <w:t>Extreme property-price observations increase RMSE and contribute to cross-validation variability.</w:t>
      </w:r>
    </w:p>
    <w:p>
      <w:pPr>
        <w:pStyle w:val="ListBullet"/>
        <w:spacing w:after="30"/>
        <w:ind w:left="259"/>
      </w:pPr>
      <w:r>
        <w:t>Random Forest feature importance is model-specific and does not establish causality.</w:t>
      </w:r>
    </w:p>
    <w:p>
      <w:pPr>
        <w:pStyle w:val="ListBullet"/>
        <w:spacing w:after="30"/>
        <w:ind w:left="259"/>
      </w:pPr>
      <w:r>
        <w:t>Results can vary with a different train-test split or sampling strategy.</w:t>
      </w:r>
    </w:p>
    <w:p>
      <w:pPr>
        <w:pStyle w:val="Heading2"/>
      </w:pPr>
      <w:r>
        <w:t>8.3 Recommended improvements</w:t>
      </w:r>
    </w:p>
    <w:p>
      <w:pPr>
        <w:pStyle w:val="ListBullet"/>
        <w:spacing w:after="30"/>
        <w:ind w:left="259"/>
      </w:pPr>
      <w:r>
        <w:t>Use controlled encodings or engineered representations for selected high-cardinality location variables.</w:t>
      </w:r>
    </w:p>
    <w:p>
      <w:pPr>
        <w:pStyle w:val="ListBullet"/>
        <w:spacing w:after="30"/>
        <w:ind w:left="259"/>
      </w:pPr>
      <w:r>
        <w:t>Investigate a log-transformed price target to reduce the influence of extreme values.</w:t>
      </w:r>
    </w:p>
    <w:p>
      <w:pPr>
        <w:pStyle w:val="ListBullet"/>
        <w:spacing w:after="30"/>
        <w:ind w:left="259"/>
      </w:pPr>
      <w:r>
        <w:t>Tune Random Forest and Gradient Boosting hyperparameters using cross-validated search.</w:t>
      </w:r>
    </w:p>
    <w:p>
      <w:pPr>
        <w:pStyle w:val="ListBullet"/>
        <w:spacing w:after="30"/>
        <w:ind w:left="259"/>
      </w:pPr>
      <w:r>
        <w:t>Evaluate additional tree-based and robust regression approaches.</w:t>
      </w:r>
    </w:p>
    <w:p>
      <w:pPr>
        <w:pStyle w:val="ListBullet"/>
        <w:spacing w:after="30"/>
        <w:ind w:left="259"/>
      </w:pPr>
      <w:r>
        <w:t>Add reliable market, location, amenities, and property-quality variables where available.</w:t>
      </w:r>
    </w:p>
    <w:p>
      <w:pPr>
        <w:pStyle w:val="ListBullet"/>
        <w:spacing w:after="30"/>
        <w:ind w:left="259"/>
      </w:pPr>
      <w:r>
        <w:t>Report performance by price band to identify where prediction errors are concentrated.</w:t>
      </w:r>
    </w:p>
    <w:p>
      <w:pPr>
        <w:pStyle w:val="Heading2"/>
      </w:pPr>
      <w:r>
        <w:t>8.4 Conclusion</w:t>
      </w:r>
    </w:p>
    <w:p>
      <w:r>
        <w:t>Week 4 successfully implemented a complete supervised-learning workflow for Gurugram property price prediction. The cleaned dataset was transformed through numeric and categorical preprocessing, and three regression models were trained and validated.</w:t>
      </w:r>
    </w:p>
    <w:p>
      <w:r>
        <w:t>Random Forest was selected as the final model after outperforming Linear Regression and Gradient Boosting. It achieved a test R² of 69.86%, mean 5-fold CV R² of 57.06%, MAE of approximately ₹1.15 crore, and RMSE of approximately ₹3.39 crore. Feature-importance analysis showed that area is the dominant predictive feature in the current model.</w:t>
      </w:r>
    </w:p>
    <w:tbl>
      <w:tblPr>
        <w:tblW w:type="auto" w:w="0"/>
        <w:jc w:val="center"/>
        <w:tblLook w:firstColumn="1" w:firstRow="1" w:lastColumn="0" w:lastRow="0" w:noHBand="0" w:noVBand="1" w:val="04A0"/>
      </w:tblPr>
      <w:tblGrid>
        <w:gridCol w:w="10282"/>
      </w:tblGrid>
      <w:tr>
        <w:tc>
          <w:tcPr>
            <w:tcW w:type="dxa" w:w="10282"/>
            <w:shd w:fill="EAF2F8"/>
          </w:tcPr>
          <w:p>
            <w:pPr>
              <w:spacing w:after="20"/>
            </w:pPr>
            <w:r>
              <w:rPr>
                <w:b/>
                <w:color w:val="17365D"/>
                <w:sz w:val="18"/>
              </w:rPr>
              <w:t>Overall conclusion</w:t>
            </w:r>
          </w:p>
          <w:p>
            <w:pPr>
              <w:spacing w:after="20"/>
            </w:pPr>
            <w:r>
              <w:rPr>
                <w:sz w:val="17"/>
              </w:rPr>
              <w:t>The Week 4 implementation provides a strong, reproducible baseline for property price prediction and a clear foundation for future improvements using richer location and market information.</w:t>
            </w:r>
          </w:p>
        </w:tc>
      </w:tr>
    </w:tbl>
    <w:p>
      <w:pPr>
        <w:spacing w:after="0"/>
      </w:pPr>
    </w:p>
    <w:p>
      <w:pPr>
        <w:pStyle w:val="Heading1"/>
      </w:pPr>
      <w:r>
        <w:t>Appendix — Core Implementation and Final Outputs</w:t>
      </w:r>
    </w:p>
    <w:p>
      <w:pPr>
        <w:pStyle w:val="Heading2"/>
      </w:pPr>
      <w:r>
        <w:t>A.1 Final Random Forest training</w:t>
      </w:r>
    </w:p>
    <w:p>
      <w:pPr>
        <w:pStyle w:val="Code"/>
        <w:ind w:left="173" w:right="173"/>
      </w:pPr>
      <w:r>
        <w:t>random_forest_model = Pipeline(</w:t>
        <w:br/>
        <w:t xml:space="preserve">    steps=[</w:t>
        <w:br/>
        <w:t xml:space="preserve">        ('preprocessor', preprocessor),</w:t>
        <w:br/>
        <w:t xml:space="preserve">        ('model', RandomForestRegressor(</w:t>
        <w:br/>
        <w:t xml:space="preserve">            n_estimators=100,</w:t>
        <w:br/>
        <w:t xml:space="preserve">            random_state=42,</w:t>
        <w:br/>
        <w:t xml:space="preserve">            n_jobs=-1</w:t>
        <w:br/>
        <w:t xml:space="preserve">        ))</w:t>
        <w:br/>
        <w:t xml:space="preserve">    ]</w:t>
        <w:br/>
        <w:t>)</w:t>
        <w:br/>
        <w:br/>
        <w:t>random_forest_model.fit(X_train, y_train)</w:t>
        <w:br/>
        <w:t>rf_predictions = random_forest_model.predict(X_test)</w:t>
      </w:r>
    </w:p>
    <w:p>
      <w:pPr>
        <w:pStyle w:val="Heading2"/>
      </w:pPr>
      <w:r>
        <w:t>A.2 Five-fold validation</w:t>
      </w:r>
    </w:p>
    <w:p>
      <w:pPr>
        <w:pStyle w:val="Code"/>
        <w:ind w:left="173" w:right="173"/>
      </w:pPr>
      <w:r>
        <w:t>rf_cv_scores = cross_val_score(</w:t>
        <w:br/>
        <w:t xml:space="preserve">    random_forest_model,</w:t>
        <w:br/>
        <w:t xml:space="preserve">    X,</w:t>
        <w:br/>
        <w:t xml:space="preserve">    y,</w:t>
        <w:br/>
        <w:t xml:space="preserve">    cv=5,</w:t>
        <w:br/>
        <w:t xml:space="preserve">    scoring='r2'</w:t>
        <w:br/>
        <w:t>)</w:t>
        <w:br/>
        <w:br/>
        <w:t>pd.Series({</w:t>
        <w:br/>
        <w:t xml:space="preserve">    'Mean CV R2': rf_cv_scores.mean(),</w:t>
        <w:br/>
        <w:t xml:space="preserve">    'CV Std': rf_cv_scores.std()</w:t>
        <w:br/>
        <w:t>}).round(4)</w:t>
      </w:r>
    </w:p>
    <w:p>
      <w:pPr>
        <w:pStyle w:val="Heading2"/>
      </w:pPr>
      <w:r>
        <w:t>A.3 Prediction export</w:t>
      </w:r>
    </w:p>
    <w:p>
      <w:pPr>
        <w:pStyle w:val="Code"/>
        <w:ind w:left="173" w:right="173"/>
      </w:pPr>
      <w:r>
        <w:t>prediction_results = X_test.copy()</w:t>
        <w:br/>
        <w:t>prediction_results['Actual Price'] = y_test.values</w:t>
        <w:br/>
        <w:t>prediction_results['Predicted Price'] = rf_predictions</w:t>
        <w:br/>
        <w:t>prediction_results['Residual'] = y_test.values - rf_predictions</w:t>
        <w:br/>
        <w:br/>
        <w:t>prediction_results.to_csv(</w:t>
        <w:br/>
        <w:t xml:space="preserve">    'real_estate_regression_results.csv',</w:t>
        <w:br/>
        <w:t xml:space="preserve">    index=False</w:t>
        <w:br/>
        <w:t>)</w:t>
      </w:r>
    </w:p>
    <w:p>
      <w:pPr>
        <w:pStyle w:val="Heading2"/>
      </w:pPr>
      <w:r>
        <w:t>A.4 Final validation output</w:t>
      </w:r>
    </w:p>
    <w:p>
      <w:pPr>
        <w:pStyle w:val="Code"/>
        <w:ind w:left="173" w:right="173"/>
      </w:pPr>
      <w:r>
        <w:t>pd.Series({</w:t>
        <w:br/>
        <w:t xml:space="preserve">    'Test R2 (%)': rf_r2 * 100,</w:t>
        <w:br/>
        <w:t xml:space="preserve">    'Mean CV R2 (%)': rf_cv_scores.mean() * 100,</w:t>
        <w:br/>
        <w:t xml:space="preserve">    'MAE': rf_mae,</w:t>
        <w:br/>
        <w:t xml:space="preserve">    'RMSE': rf_rmse,</w:t>
        <w:br/>
        <w:t xml:space="preserve">    'Test Samples': len(y_test)</w:t>
        <w:br/>
        <w:t>}).round(2)</w:t>
      </w:r>
    </w:p>
    <w:tbl>
      <w:tblPr>
        <w:tblStyle w:val="TableGrid"/>
        <w:tblW w:type="auto" w:w="0"/>
        <w:jc w:val="center"/>
        <w:tblLook w:firstColumn="1" w:firstRow="1" w:lastColumn="0" w:lastRow="0" w:noHBand="0" w:noVBand="1" w:val="04A0"/>
      </w:tblPr>
      <w:tblGrid>
        <w:gridCol w:w="5141"/>
        <w:gridCol w:w="5141"/>
      </w:tblGrid>
      <w:tr>
        <w:tc>
          <w:tcPr>
            <w:tcW w:type="dxa" w:w="5141"/>
            <w:shd w:fill="17365D"/>
            <w:vAlign w:val="center"/>
          </w:tcPr>
          <w:p>
            <w:pPr>
              <w:spacing w:after="0"/>
            </w:pPr>
            <w:r/>
            <w:r>
              <w:rPr>
                <w:rFonts w:ascii="Aptos" w:hAnsi="Aptos"/>
                <w:b/>
                <w:color w:val="FFFFFF"/>
                <w:sz w:val="16"/>
              </w:rPr>
              <w:t>Output file</w:t>
            </w:r>
          </w:p>
        </w:tc>
        <w:tc>
          <w:tcPr>
            <w:tcW w:type="dxa" w:w="5141"/>
            <w:shd w:fill="17365D"/>
            <w:vAlign w:val="center"/>
          </w:tcPr>
          <w:p>
            <w:pPr>
              <w:spacing w:after="0"/>
            </w:pPr>
            <w:r/>
            <w:r>
              <w:rPr>
                <w:rFonts w:ascii="Aptos" w:hAnsi="Aptos"/>
                <w:b/>
                <w:color w:val="FFFFFF"/>
                <w:sz w:val="16"/>
              </w:rPr>
              <w:t>Purpose</w:t>
            </w:r>
          </w:p>
        </w:tc>
      </w:tr>
      <w:tr>
        <w:tc>
          <w:tcPr>
            <w:tcW w:type="dxa" w:w="5141"/>
            <w:shd w:fill="F4F7FA"/>
            <w:vAlign w:val="center"/>
          </w:tcPr>
          <w:p>
            <w:pPr>
              <w:spacing w:after="0"/>
            </w:pPr>
            <w:r/>
            <w:r>
              <w:rPr>
                <w:rFonts w:ascii="Aptos" w:hAnsi="Aptos"/>
                <w:b w:val="0"/>
                <w:color w:val="222222"/>
                <w:sz w:val="16"/>
              </w:rPr>
              <w:t>Supervised Learning.ipynb</w:t>
            </w:r>
          </w:p>
        </w:tc>
        <w:tc>
          <w:tcPr>
            <w:tcW w:type="dxa" w:w="5141"/>
            <w:shd w:fill="F4F7FA"/>
            <w:vAlign w:val="center"/>
          </w:tcPr>
          <w:p>
            <w:pPr>
              <w:spacing w:after="0"/>
            </w:pPr>
            <w:r/>
            <w:r>
              <w:rPr>
                <w:rFonts w:ascii="Aptos" w:hAnsi="Aptos"/>
                <w:b w:val="0"/>
                <w:color w:val="222222"/>
                <w:sz w:val="16"/>
              </w:rPr>
              <w:t>Executed Week 4 supervised-learning notebook.</w:t>
            </w:r>
          </w:p>
        </w:tc>
      </w:tr>
      <w:tr>
        <w:tc>
          <w:tcPr>
            <w:tcW w:type="dxa" w:w="5141"/>
            <w:vAlign w:val="center"/>
          </w:tcPr>
          <w:p>
            <w:pPr>
              <w:spacing w:after="0"/>
            </w:pPr>
            <w:r/>
            <w:r>
              <w:rPr>
                <w:rFonts w:ascii="Aptos" w:hAnsi="Aptos"/>
                <w:b w:val="0"/>
                <w:color w:val="222222"/>
                <w:sz w:val="16"/>
              </w:rPr>
              <w:t>real_estate_regression_results.csv</w:t>
            </w:r>
          </w:p>
        </w:tc>
        <w:tc>
          <w:tcPr>
            <w:tcW w:type="dxa" w:w="5141"/>
            <w:vAlign w:val="center"/>
          </w:tcPr>
          <w:p>
            <w:pPr>
              <w:spacing w:after="0"/>
            </w:pPr>
            <w:r/>
            <w:r>
              <w:rPr>
                <w:rFonts w:ascii="Aptos" w:hAnsi="Aptos"/>
                <w:b w:val="0"/>
                <w:color w:val="222222"/>
                <w:sz w:val="16"/>
              </w:rPr>
              <w:t>2,845 test-set rows with actual price, predicted price, and residual.</w:t>
            </w:r>
          </w:p>
        </w:tc>
      </w:tr>
      <w:tr>
        <w:tc>
          <w:tcPr>
            <w:tcW w:type="dxa" w:w="5141"/>
            <w:shd w:fill="F4F7FA"/>
            <w:vAlign w:val="center"/>
          </w:tcPr>
          <w:p>
            <w:pPr>
              <w:spacing w:after="0"/>
            </w:pPr>
            <w:r/>
            <w:r>
              <w:rPr>
                <w:rFonts w:ascii="Aptos" w:hAnsi="Aptos"/>
                <w:b w:val="0"/>
                <w:color w:val="222222"/>
                <w:sz w:val="16"/>
              </w:rPr>
              <w:t>Week_4_Internship_Report_Final_Aligned.docx</w:t>
            </w:r>
          </w:p>
        </w:tc>
        <w:tc>
          <w:tcPr>
            <w:tcW w:type="dxa" w:w="5141"/>
            <w:shd w:fill="F4F7FA"/>
            <w:vAlign w:val="center"/>
          </w:tcPr>
          <w:p>
            <w:pPr>
              <w:spacing w:after="0"/>
            </w:pPr>
            <w:r/>
            <w:r>
              <w:rPr>
                <w:rFonts w:ascii="Aptos" w:hAnsi="Aptos"/>
                <w:b w:val="0"/>
                <w:color w:val="222222"/>
                <w:sz w:val="16"/>
              </w:rPr>
              <w:t>Submission-ready Week 4 documentation.</w:t>
            </w:r>
          </w:p>
        </w:tc>
      </w:tr>
    </w:tbl>
    <w:p>
      <w:pPr>
        <w:spacing w:after="20" w:before="0"/>
      </w:pPr>
    </w:p>
    <w:tbl>
      <w:tblPr>
        <w:tblW w:type="auto" w:w="0"/>
        <w:jc w:val="center"/>
        <w:tblLook w:firstColumn="1" w:firstRow="1" w:lastColumn="0" w:lastRow="0" w:noHBand="0" w:noVBand="1" w:val="04A0"/>
      </w:tblPr>
      <w:tblGrid>
        <w:gridCol w:w="10282"/>
      </w:tblGrid>
      <w:tr>
        <w:tc>
          <w:tcPr>
            <w:tcW w:type="dxa" w:w="10282"/>
            <w:shd w:fill="EAF2F8"/>
          </w:tcPr>
          <w:p>
            <w:pPr>
              <w:spacing w:after="20"/>
            </w:pPr>
            <w:r>
              <w:rPr>
                <w:b/>
                <w:color w:val="17365D"/>
                <w:sz w:val="18"/>
              </w:rPr>
              <w:t>Final verified values</w:t>
            </w:r>
          </w:p>
          <w:p>
            <w:pPr>
              <w:spacing w:after="20"/>
            </w:pPr>
            <w:r>
              <w:rPr>
                <w:sz w:val="17"/>
              </w:rPr>
              <w:t>Test R² = 69.86%  |  Mean 5-fold CV R² = 57.06%  |  MAE = ₹1.15 crore  |  RMSE = ₹3.39 crore  |  Test observations = 2,845</w:t>
            </w:r>
          </w:p>
        </w:tc>
      </w:tr>
    </w:tbl>
    <w:p>
      <w:pPr>
        <w:spacing w:after="0"/>
      </w:pPr>
    </w:p>
    <w:sectPr w:rsidR="00FC693F" w:rsidRPr="0006063C" w:rsidSect="00034616">
      <w:headerReference w:type="default" r:id="rId9"/>
      <w:footerReference w:type="default" r:id="rId10"/>
      <w:pgSz w:w="12240" w:h="15840"/>
      <w:pgMar w:top="835"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37D"/>
        <w:sz w:val="15"/>
      </w:rPr>
      <w:t xml:space="preserve">Supervised Learning Model Implementation  •  Gurugram Real-Estate Dataset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8737D"/>
        <w:sz w:val="14"/>
      </w:rPr>
      <w:t>WEEK 4 INTERNSHIP DOCUMENTATION  |  DATA SCIENCE USING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40" w:after="80"/>
    </w:pPr>
    <w:rPr>
      <w:rFonts w:ascii="Consolas" w:hAnsi="Consolas"/>
      <w:color w:val="222222"/>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