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5597"/>
          <w:sz w:val="44"/>
        </w:rPr>
        <w:t>WEEK 6</w:t>
      </w:r>
    </w:p>
    <w:p>
      <w:pPr>
        <w:jc w:val="center"/>
      </w:pPr>
      <w:r>
        <w:rPr>
          <w:b/>
          <w:color w:val="17365D"/>
          <w:sz w:val="58"/>
        </w:rPr>
        <w:t>INTEGRATIVE CAPSTONE PROJECT</w:t>
      </w:r>
    </w:p>
    <w:p>
      <w:pPr>
        <w:jc w:val="center"/>
      </w:pPr>
      <w:r>
        <w:rPr>
          <w:b/>
          <w:color w:val="222222"/>
          <w:sz w:val="32"/>
        </w:rPr>
        <w:t>End-to-End Data Science Pipeline for</w:t>
        <w:br/>
        <w:t>Gurugram Real-Estate Price Prediction and Market Segmentation</w:t>
      </w:r>
    </w:p>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5141"/>
        <w:gridCol w:w="5141"/>
      </w:tblGrid>
      <w:tr>
        <w:tc>
          <w:tcPr>
            <w:tcW w:type="dxa" w:w="5141"/>
            <w:vAlign w:val="center"/>
            <w:shd w:fill="17365D"/>
          </w:tcPr>
          <w:p>
            <w:pPr>
              <w:spacing w:after="0"/>
            </w:pPr>
            <w:r/>
            <w:r>
              <w:rPr>
                <w:b/>
                <w:color w:val="FFFFFF"/>
                <w:sz w:val="18"/>
              </w:rPr>
              <w:t>Project Detail</w:t>
            </w:r>
          </w:p>
        </w:tc>
        <w:tc>
          <w:tcPr>
            <w:tcW w:type="dxa" w:w="5141"/>
            <w:vAlign w:val="center"/>
            <w:shd w:fill="17365D"/>
          </w:tcPr>
          <w:p>
            <w:pPr>
              <w:spacing w:after="0"/>
            </w:pPr>
            <w:r/>
            <w:r>
              <w:rPr>
                <w:b/>
                <w:color w:val="FFFFFF"/>
                <w:sz w:val="18"/>
              </w:rPr>
              <w:t>Verified Value</w:t>
            </w:r>
          </w:p>
        </w:tc>
      </w:tr>
      <w:tr>
        <w:tc>
          <w:tcPr>
            <w:tcW w:type="dxa" w:w="5141"/>
            <w:vAlign w:val="center"/>
            <w:shd w:fill="F7F9FC"/>
          </w:tcPr>
          <w:p>
            <w:pPr>
              <w:spacing w:after="0"/>
            </w:pPr>
            <w:r/>
            <w:r>
              <w:rPr>
                <w:b w:val="0"/>
                <w:color w:val="222222"/>
                <w:sz w:val="18"/>
              </w:rPr>
              <w:t>Internship Track</w:t>
            </w:r>
          </w:p>
        </w:tc>
        <w:tc>
          <w:tcPr>
            <w:tcW w:type="dxa" w:w="5141"/>
            <w:vAlign w:val="center"/>
            <w:shd w:fill="F7F9FC"/>
          </w:tcPr>
          <w:p>
            <w:pPr>
              <w:spacing w:after="0"/>
            </w:pPr>
            <w:r/>
            <w:r>
              <w:rPr>
                <w:b w:val="0"/>
                <w:color w:val="222222"/>
                <w:sz w:val="18"/>
              </w:rPr>
              <w:t>Virtual Internship in Data Science using Python</w:t>
            </w:r>
          </w:p>
        </w:tc>
      </w:tr>
      <w:tr>
        <w:tc>
          <w:tcPr>
            <w:tcW w:type="dxa" w:w="5141"/>
            <w:vAlign w:val="center"/>
            <w:shd w:fill="FFFFFF"/>
          </w:tcPr>
          <w:p>
            <w:pPr>
              <w:spacing w:after="0"/>
            </w:pPr>
            <w:r/>
            <w:r>
              <w:rPr>
                <w:b w:val="0"/>
                <w:color w:val="222222"/>
                <w:sz w:val="18"/>
              </w:rPr>
              <w:t>Technical Domain</w:t>
            </w:r>
          </w:p>
        </w:tc>
        <w:tc>
          <w:tcPr>
            <w:tcW w:type="dxa" w:w="5141"/>
            <w:vAlign w:val="center"/>
            <w:shd w:fill="FFFFFF"/>
          </w:tcPr>
          <w:p>
            <w:pPr>
              <w:spacing w:after="0"/>
            </w:pPr>
            <w:r/>
            <w:r>
              <w:rPr>
                <w:b w:val="0"/>
                <w:color w:val="222222"/>
                <w:sz w:val="18"/>
              </w:rPr>
              <w:t>Data Science with Python</w:t>
            </w:r>
          </w:p>
        </w:tc>
      </w:tr>
      <w:tr>
        <w:tc>
          <w:tcPr>
            <w:tcW w:type="dxa" w:w="5141"/>
            <w:vAlign w:val="center"/>
            <w:shd w:fill="F7F9FC"/>
          </w:tcPr>
          <w:p>
            <w:pPr>
              <w:spacing w:after="0"/>
            </w:pPr>
            <w:r/>
            <w:r>
              <w:rPr>
                <w:b w:val="0"/>
                <w:color w:val="222222"/>
                <w:sz w:val="18"/>
              </w:rPr>
              <w:t>Project Area</w:t>
            </w:r>
          </w:p>
        </w:tc>
        <w:tc>
          <w:tcPr>
            <w:tcW w:type="dxa" w:w="5141"/>
            <w:vAlign w:val="center"/>
            <w:shd w:fill="F7F9FC"/>
          </w:tcPr>
          <w:p>
            <w:pPr>
              <w:spacing w:after="0"/>
            </w:pPr>
            <w:r/>
            <w:r>
              <w:rPr>
                <w:b w:val="0"/>
                <w:color w:val="222222"/>
                <w:sz w:val="18"/>
              </w:rPr>
              <w:t>Gurugram Real-Estate Analytics</w:t>
            </w:r>
          </w:p>
        </w:tc>
      </w:tr>
      <w:tr>
        <w:tc>
          <w:tcPr>
            <w:tcW w:type="dxa" w:w="5141"/>
            <w:vAlign w:val="center"/>
            <w:shd w:fill="FFFFFF"/>
          </w:tcPr>
          <w:p>
            <w:pPr>
              <w:spacing w:after="0"/>
            </w:pPr>
            <w:r/>
            <w:r>
              <w:rPr>
                <w:b w:val="0"/>
                <w:color w:val="222222"/>
                <w:sz w:val="18"/>
              </w:rPr>
              <w:t>Dataset After Cleaning</w:t>
            </w:r>
          </w:p>
        </w:tc>
        <w:tc>
          <w:tcPr>
            <w:tcW w:type="dxa" w:w="5141"/>
            <w:vAlign w:val="center"/>
            <w:shd w:fill="FFFFFF"/>
          </w:tcPr>
          <w:p>
            <w:pPr>
              <w:spacing w:after="0"/>
            </w:pPr>
            <w:r/>
            <w:r>
              <w:rPr>
                <w:b w:val="0"/>
                <w:color w:val="222222"/>
                <w:sz w:val="18"/>
              </w:rPr>
              <w:t>14,223 unique records; 12 original columns</w:t>
            </w:r>
          </w:p>
        </w:tc>
      </w:tr>
      <w:tr>
        <w:tc>
          <w:tcPr>
            <w:tcW w:type="dxa" w:w="5141"/>
            <w:vAlign w:val="center"/>
            <w:shd w:fill="F7F9FC"/>
          </w:tcPr>
          <w:p>
            <w:pPr>
              <w:spacing w:after="0"/>
            </w:pPr>
            <w:r/>
            <w:r>
              <w:rPr>
                <w:b w:val="0"/>
                <w:color w:val="222222"/>
                <w:sz w:val="18"/>
              </w:rPr>
              <w:t>Supervised Learning</w:t>
            </w:r>
          </w:p>
        </w:tc>
        <w:tc>
          <w:tcPr>
            <w:tcW w:type="dxa" w:w="5141"/>
            <w:vAlign w:val="center"/>
            <w:shd w:fill="F7F9FC"/>
          </w:tcPr>
          <w:p>
            <w:pPr>
              <w:spacing w:after="0"/>
            </w:pPr>
            <w:r/>
            <w:r>
              <w:rPr>
                <w:b w:val="0"/>
                <w:color w:val="222222"/>
                <w:sz w:val="18"/>
              </w:rPr>
              <w:t>Random Forest Regressor — Test R² 69.86%</w:t>
            </w:r>
          </w:p>
        </w:tc>
      </w:tr>
      <w:tr>
        <w:tc>
          <w:tcPr>
            <w:tcW w:type="dxa" w:w="5141"/>
            <w:vAlign w:val="center"/>
            <w:shd w:fill="FFFFFF"/>
          </w:tcPr>
          <w:p>
            <w:pPr>
              <w:spacing w:after="0"/>
            </w:pPr>
            <w:r/>
            <w:r>
              <w:rPr>
                <w:b w:val="0"/>
                <w:color w:val="222222"/>
                <w:sz w:val="18"/>
              </w:rPr>
              <w:t>Unsupervised Learning</w:t>
            </w:r>
          </w:p>
        </w:tc>
        <w:tc>
          <w:tcPr>
            <w:tcW w:type="dxa" w:w="5141"/>
            <w:vAlign w:val="center"/>
            <w:shd w:fill="FFFFFF"/>
          </w:tcPr>
          <w:p>
            <w:pPr>
              <w:spacing w:after="0"/>
            </w:pPr>
            <w:r/>
            <w:r>
              <w:rPr>
                <w:b w:val="0"/>
                <w:color w:val="222222"/>
                <w:sz w:val="18"/>
              </w:rPr>
              <w:t>K-Means — K = 4; Silhouette 0.5009</w:t>
            </w:r>
          </w:p>
        </w:tc>
      </w:tr>
      <w:tr>
        <w:tc>
          <w:tcPr>
            <w:tcW w:type="dxa" w:w="5141"/>
            <w:vAlign w:val="center"/>
            <w:shd w:fill="F7F9FC"/>
          </w:tcPr>
          <w:p>
            <w:pPr>
              <w:spacing w:after="0"/>
            </w:pPr>
            <w:r/>
            <w:r>
              <w:rPr>
                <w:b w:val="0"/>
                <w:color w:val="222222"/>
                <w:sz w:val="18"/>
              </w:rPr>
              <w:t>Deep Learning</w:t>
            </w:r>
          </w:p>
        </w:tc>
        <w:tc>
          <w:tcPr>
            <w:tcW w:type="dxa" w:w="5141"/>
            <w:vAlign w:val="center"/>
            <w:shd w:fill="F7F9FC"/>
          </w:tcPr>
          <w:p>
            <w:pPr>
              <w:spacing w:after="0"/>
            </w:pPr>
            <w:r/>
            <w:r>
              <w:rPr>
                <w:b w:val="0"/>
                <w:color w:val="222222"/>
                <w:sz w:val="18"/>
              </w:rPr>
              <w:t>Scaled-Target ANN — Test R² 45.09%</w:t>
            </w:r>
          </w:p>
        </w:tc>
      </w:tr>
      <w:tr>
        <w:tc>
          <w:tcPr>
            <w:tcW w:type="dxa" w:w="5141"/>
            <w:vAlign w:val="center"/>
            <w:shd w:fill="FFFFFF"/>
          </w:tcPr>
          <w:p>
            <w:pPr>
              <w:spacing w:after="0"/>
            </w:pPr>
            <w:r/>
            <w:r>
              <w:rPr>
                <w:b w:val="0"/>
                <w:color w:val="222222"/>
                <w:sz w:val="18"/>
              </w:rPr>
              <w:t>Final Objective</w:t>
            </w:r>
          </w:p>
        </w:tc>
        <w:tc>
          <w:tcPr>
            <w:tcW w:type="dxa" w:w="5141"/>
            <w:vAlign w:val="center"/>
            <w:shd w:fill="FFFFFF"/>
          </w:tcPr>
          <w:p>
            <w:pPr>
              <w:spacing w:after="0"/>
            </w:pPr>
            <w:r/>
            <w:r>
              <w:rPr>
                <w:b w:val="0"/>
                <w:color w:val="222222"/>
                <w:sz w:val="18"/>
              </w:rPr>
              <w:t>Integrated data acquisition, preprocessing, EDA, clustering, prediction and evaluation</w:t>
            </w:r>
          </w:p>
        </w:tc>
      </w:tr>
    </w:tbl>
    <w:p>
      <w:pPr>
        <w:spacing w:after="20"/>
      </w:pPr>
    </w:p>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Technical verification: </w:t>
            </w:r>
            <w:r>
              <w:rPr>
                <w:color w:val="222222"/>
                <w:sz w:val="18"/>
              </w:rPr>
              <w:t>This capstone report consolidates the verified outputs documented across Weeks 1–5. Reported dimensions, metrics, cluster profiles, model results, code examples and visualizations are based on the supplied internship reports and their executed notebook outputs; no placeholder model results are introduced.</w:t>
            </w:r>
          </w:p>
        </w:tc>
      </w:tr>
    </w:tbl>
    <w:p>
      <w:pPr>
        <w:spacing w:after="20"/>
      </w:pPr>
    </w:p>
    <w:p>
      <w:pPr>
        <w:jc w:val="center"/>
      </w:pPr>
      <w:r>
        <w:rPr>
          <w:i/>
          <w:color w:val="666666"/>
          <w:sz w:val="20"/>
        </w:rPr>
        <w:t>Six-Week Virtual Internship • Final Milestone</w:t>
      </w:r>
    </w:p>
    <w:p>
      <w:r>
        <w:br w:type="page"/>
      </w:r>
    </w:p>
    <w:p>
      <w:pPr>
        <w:spacing w:before="40" w:after="100"/>
      </w:pPr>
      <w:r>
        <w:rPr>
          <w:b/>
          <w:color w:val="17365D"/>
          <w:sz w:val="34"/>
        </w:rPr>
        <w:t>1. Executive Summary</w:t>
      </w:r>
    </w:p>
    <w:p>
      <w:pPr>
        <w:spacing w:after="100" w:line="259" w:lineRule="auto"/>
      </w:pPr>
      <w:r>
        <w:rPr>
          <w:color w:val="222222"/>
          <w:sz w:val="19"/>
        </w:rPr>
        <w:t>This capstone project integrates the complete Data Science workflow developed during the six-week virtual internship using a Gurugram real-estate dataset. The work begins with acquisition and quality auditing of 19,515 raw property records, followed by cleaning and deduplication that produced 14,223 unique records with zero missing values. Exploratory analysis was then used to understand price distributions, property structure, unit rates, correlations, and statistical anomalies.</w:t>
      </w:r>
    </w:p>
    <w:p>
      <w:pPr>
        <w:spacing w:after="100" w:line="259" w:lineRule="auto"/>
      </w:pPr>
      <w:r>
        <w:rPr>
          <w:color w:val="222222"/>
          <w:sz w:val="19"/>
        </w:rPr>
        <w:t>The project combines two complementary analytical goals. First, unsupervised learning is used to discover naturally occurring property segments without a target label. K-Means clustering with K = 4 was selected after evaluating candidate cluster counts and comparing K-Means with Agglomerative Hierarchical Clustering. Second, supervised learning and deep learning are used to predict property price as a continuous regression target.</w:t>
      </w:r>
    </w:p>
    <w:p>
      <w:pPr>
        <w:spacing w:after="100" w:line="259" w:lineRule="auto"/>
      </w:pPr>
      <w:r>
        <w:rPr>
          <w:color w:val="222222"/>
          <w:sz w:val="19"/>
        </w:rPr>
        <w:t>Three conventional regression models were evaluated in Week 4. Random Forest was the strongest performer, achieving a held-out test R² of 69.86%, MAE of ₹11,532,540.78 and RMSE of ₹33,875,860.34, with a mean 5-fold cross-validation R² of 57.06%. Week 5 extended the same problem into deep learning through a compact Artificial Neural Network. The best neural-network configuration standardized the target and achieved a test R² of 45.09%, MAE of ₹17,913,580 and RMSE of ₹45,727,510.</w:t>
      </w:r>
    </w:p>
    <w:p>
      <w:pPr>
        <w:spacing w:after="100" w:line="259" w:lineRule="auto"/>
      </w:pPr>
      <w:r>
        <w:rPr>
          <w:color w:val="222222"/>
          <w:sz w:val="19"/>
        </w:rPr>
        <w:t>The integrated findings show that the dataset supports meaningful property segmentation and useful price prediction, but extreme property values and a limited baseline feature set remain important challenges. The project therefore demonstrates not only model building, but also data-quality control, leakage prevention, model comparison, critical evaluation, and translation of analytical outputs into practical recommendations.</w:t>
      </w:r>
    </w:p>
    <w:p>
      <w:pPr>
        <w:spacing w:before="20" w:after="100"/>
      </w:pPr>
      <w:r>
        <w:rPr>
          <w:b/>
          <w:color w:val="2F5597"/>
          <w:sz w:val="24"/>
        </w:rPr>
        <w:t>1.1 Capstone Objectives</w:t>
      </w:r>
    </w:p>
    <w:p>
      <w:pPr>
        <w:pStyle w:val="ListBullet"/>
        <w:spacing w:after="40"/>
        <w:ind w:left="317" w:hanging="173"/>
      </w:pPr>
      <w:r>
        <w:rPr>
          <w:color w:val="222222"/>
          <w:sz w:val="18"/>
        </w:rPr>
        <w:t>Demonstrate a complete and reproducible Data Science pipeline from raw data to final insights.</w:t>
      </w:r>
    </w:p>
    <w:p>
      <w:pPr>
        <w:pStyle w:val="ListBullet"/>
        <w:spacing w:after="40"/>
        <w:ind w:left="317" w:hanging="173"/>
      </w:pPr>
      <w:r>
        <w:rPr>
          <w:color w:val="222222"/>
          <w:sz w:val="18"/>
        </w:rPr>
        <w:t>Apply Python-based data cleaning and preprocessing to create a reliable analytical dataset.</w:t>
      </w:r>
    </w:p>
    <w:p>
      <w:pPr>
        <w:pStyle w:val="ListBullet"/>
        <w:spacing w:after="40"/>
        <w:ind w:left="317" w:hanging="173"/>
      </w:pPr>
      <w:r>
        <w:rPr>
          <w:color w:val="222222"/>
          <w:sz w:val="18"/>
        </w:rPr>
        <w:t>Use EDA to identify distributions, relationships, anomalies and important features.</w:t>
      </w:r>
    </w:p>
    <w:p>
      <w:pPr>
        <w:pStyle w:val="ListBullet"/>
        <w:spacing w:after="40"/>
        <w:ind w:left="317" w:hanging="173"/>
      </w:pPr>
      <w:r>
        <w:rPr>
          <w:color w:val="222222"/>
          <w:sz w:val="18"/>
        </w:rPr>
        <w:t>Apply unsupervised learning to discover meaningful property segments.</w:t>
      </w:r>
    </w:p>
    <w:p>
      <w:pPr>
        <w:pStyle w:val="ListBullet"/>
        <w:spacing w:after="40"/>
        <w:ind w:left="317" w:hanging="173"/>
      </w:pPr>
      <w:r>
        <w:rPr>
          <w:color w:val="222222"/>
          <w:sz w:val="18"/>
        </w:rPr>
        <w:t>Apply supervised regression and deep learning to predict property prices.</w:t>
      </w:r>
    </w:p>
    <w:p>
      <w:pPr>
        <w:pStyle w:val="ListBullet"/>
        <w:spacing w:after="40"/>
        <w:ind w:left="317" w:hanging="173"/>
      </w:pPr>
      <w:r>
        <w:rPr>
          <w:color w:val="222222"/>
          <w:sz w:val="18"/>
        </w:rPr>
        <w:t>Evaluate models using appropriate quantitative metrics and cross-validation where available.</w:t>
      </w:r>
    </w:p>
    <w:p>
      <w:pPr>
        <w:pStyle w:val="ListBullet"/>
        <w:spacing w:after="40"/>
        <w:ind w:left="317" w:hanging="173"/>
      </w:pPr>
      <w:r>
        <w:rPr>
          <w:color w:val="222222"/>
          <w:sz w:val="18"/>
        </w:rPr>
        <w:t>Compare methods critically and explain why the strongest model was selected.</w:t>
      </w:r>
    </w:p>
    <w:p>
      <w:pPr>
        <w:pStyle w:val="ListBullet"/>
        <w:spacing w:after="40"/>
        <w:ind w:left="317" w:hanging="173"/>
      </w:pPr>
      <w:r>
        <w:rPr>
          <w:color w:val="222222"/>
          <w:sz w:val="18"/>
        </w:rPr>
        <w:t>Translate findings into practical recommendations and future analytical improvements.</w:t>
      </w:r>
    </w:p>
    <w:p>
      <w:pPr>
        <w:spacing w:before="40" w:after="100"/>
      </w:pPr>
      <w:r>
        <w:rPr>
          <w:b/>
          <w:color w:val="17365D"/>
          <w:sz w:val="34"/>
        </w:rPr>
        <w:t>2. Problem Statement and Project Scope</w:t>
      </w:r>
    </w:p>
    <w:p>
      <w:pPr>
        <w:spacing w:after="100" w:line="259" w:lineRule="auto"/>
      </w:pPr>
      <w:r>
        <w:rPr>
          <w:color w:val="222222"/>
          <w:sz w:val="19"/>
        </w:rPr>
        <w:t>Real-estate datasets contain a mixture of numerical measurements, categorical attributes, regulatory indicators and descriptive text. The central analytical problem in this project is to understand what can be learned from structured Gurugram property listings and to build reliable analytical models without introducing avoidable data-quality or target-leakage problems.</w:t>
      </w:r>
    </w:p>
    <w:p>
      <w:pPr>
        <w:spacing w:before="20" w:after="100"/>
      </w:pPr>
      <w:r>
        <w:rPr>
          <w:b/>
          <w:color w:val="2F5597"/>
          <w:sz w:val="24"/>
        </w:rPr>
        <w:t>2.1 Problem Statement</w:t>
      </w:r>
    </w:p>
    <w:p>
      <w:pPr>
        <w:spacing w:after="100" w:line="259" w:lineRule="auto"/>
      </w:pPr>
      <w:r>
        <w:rPr>
          <w:color w:val="222222"/>
          <w:sz w:val="19"/>
        </w:rPr>
        <w:t>The project addresses two related questions: (1) Can the available property characteristics be used to identify distinct groups of properties with similar market characteristics? and (2) Can the available characteristics be used to estimate the price of a property with useful predictive accuracy?</w:t>
      </w:r>
    </w:p>
    <w:p>
      <w:pPr>
        <w:spacing w:before="20" w:after="100"/>
      </w:pPr>
      <w:r>
        <w:rPr>
          <w:b/>
          <w:color w:val="2F5597"/>
          <w:sz w:val="24"/>
        </w:rPr>
        <w:t>2.2 Analytical Scope</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3427"/>
        <w:gridCol w:w="3427"/>
        <w:gridCol w:w="3427"/>
      </w:tblGrid>
      <w:tr>
        <w:tc>
          <w:tcPr>
            <w:tcW w:type="dxa" w:w="3427"/>
            <w:vAlign w:val="center"/>
            <w:shd w:fill="17365D"/>
          </w:tcPr>
          <w:p>
            <w:pPr>
              <w:spacing w:after="0"/>
            </w:pPr>
            <w:r/>
            <w:r>
              <w:rPr>
                <w:b/>
                <w:color w:val="FFFFFF"/>
                <w:sz w:val="17"/>
              </w:rPr>
              <w:t>Stage</w:t>
            </w:r>
          </w:p>
        </w:tc>
        <w:tc>
          <w:tcPr>
            <w:tcW w:type="dxa" w:w="3427"/>
            <w:vAlign w:val="center"/>
            <w:shd w:fill="17365D"/>
          </w:tcPr>
          <w:p>
            <w:pPr>
              <w:spacing w:after="0"/>
            </w:pPr>
            <w:r/>
            <w:r>
              <w:rPr>
                <w:b/>
                <w:color w:val="FFFFFF"/>
                <w:sz w:val="17"/>
              </w:rPr>
              <w:t>Purpose</w:t>
            </w:r>
          </w:p>
        </w:tc>
        <w:tc>
          <w:tcPr>
            <w:tcW w:type="dxa" w:w="3427"/>
            <w:vAlign w:val="center"/>
            <w:shd w:fill="17365D"/>
          </w:tcPr>
          <w:p>
            <w:pPr>
              <w:spacing w:after="0"/>
            </w:pPr>
            <w:r/>
            <w:r>
              <w:rPr>
                <w:b/>
                <w:color w:val="FFFFFF"/>
                <w:sz w:val="17"/>
              </w:rPr>
              <w:t>Main Output</w:t>
            </w:r>
          </w:p>
        </w:tc>
      </w:tr>
      <w:tr>
        <w:tc>
          <w:tcPr>
            <w:tcW w:type="dxa" w:w="3427"/>
            <w:vAlign w:val="center"/>
            <w:shd w:fill="F7F9FC"/>
          </w:tcPr>
          <w:p>
            <w:pPr>
              <w:spacing w:after="0"/>
            </w:pPr>
            <w:r/>
            <w:r>
              <w:rPr>
                <w:b w:val="0"/>
                <w:color w:val="222222"/>
                <w:sz w:val="17"/>
              </w:rPr>
              <w:t>Data acquisition</w:t>
            </w:r>
          </w:p>
        </w:tc>
        <w:tc>
          <w:tcPr>
            <w:tcW w:type="dxa" w:w="3427"/>
            <w:vAlign w:val="center"/>
            <w:shd w:fill="F7F9FC"/>
          </w:tcPr>
          <w:p>
            <w:pPr>
              <w:spacing w:after="0"/>
            </w:pPr>
            <w:r/>
            <w:r>
              <w:rPr>
                <w:b w:val="0"/>
                <w:color w:val="222222"/>
                <w:sz w:val="17"/>
              </w:rPr>
              <w:t>Load and inspect the public/local CSV dataset</w:t>
            </w:r>
          </w:p>
        </w:tc>
        <w:tc>
          <w:tcPr>
            <w:tcW w:type="dxa" w:w="3427"/>
            <w:vAlign w:val="center"/>
            <w:shd w:fill="F7F9FC"/>
          </w:tcPr>
          <w:p>
            <w:pPr>
              <w:spacing w:after="0"/>
            </w:pPr>
            <w:r/>
            <w:r>
              <w:rPr>
                <w:b w:val="0"/>
                <w:color w:val="222222"/>
                <w:sz w:val="17"/>
              </w:rPr>
              <w:t>19,515 × 12 raw DataFrame</w:t>
            </w:r>
          </w:p>
        </w:tc>
      </w:tr>
      <w:tr>
        <w:tc>
          <w:tcPr>
            <w:tcW w:type="dxa" w:w="3427"/>
            <w:vAlign w:val="center"/>
            <w:shd w:fill="FFFFFF"/>
          </w:tcPr>
          <w:p>
            <w:pPr>
              <w:spacing w:after="0"/>
            </w:pPr>
            <w:r/>
            <w:r>
              <w:rPr>
                <w:b w:val="0"/>
                <w:color w:val="222222"/>
                <w:sz w:val="17"/>
              </w:rPr>
              <w:t>Cleaning</w:t>
            </w:r>
          </w:p>
        </w:tc>
        <w:tc>
          <w:tcPr>
            <w:tcW w:type="dxa" w:w="3427"/>
            <w:vAlign w:val="center"/>
            <w:shd w:fill="FFFFFF"/>
          </w:tcPr>
          <w:p>
            <w:pPr>
              <w:spacing w:after="0"/>
            </w:pPr>
            <w:r/>
            <w:r>
              <w:rPr>
                <w:b w:val="0"/>
                <w:color w:val="222222"/>
                <w:sz w:val="17"/>
              </w:rPr>
              <w:t>Standardize schema, types, text and duplicates</w:t>
            </w:r>
          </w:p>
        </w:tc>
        <w:tc>
          <w:tcPr>
            <w:tcW w:type="dxa" w:w="3427"/>
            <w:vAlign w:val="center"/>
            <w:shd w:fill="FFFFFF"/>
          </w:tcPr>
          <w:p>
            <w:pPr>
              <w:spacing w:after="0"/>
            </w:pPr>
            <w:r/>
            <w:r>
              <w:rPr>
                <w:b w:val="0"/>
                <w:color w:val="222222"/>
                <w:sz w:val="17"/>
              </w:rPr>
              <w:t>14,223 × 12 clean dataset</w:t>
            </w:r>
          </w:p>
        </w:tc>
      </w:tr>
      <w:tr>
        <w:tc>
          <w:tcPr>
            <w:tcW w:type="dxa" w:w="3427"/>
            <w:vAlign w:val="center"/>
            <w:shd w:fill="F7F9FC"/>
          </w:tcPr>
          <w:p>
            <w:pPr>
              <w:spacing w:after="0"/>
            </w:pPr>
            <w:r/>
            <w:r>
              <w:rPr>
                <w:b w:val="0"/>
                <w:color w:val="222222"/>
                <w:sz w:val="17"/>
              </w:rPr>
              <w:t>EDA</w:t>
            </w:r>
          </w:p>
        </w:tc>
        <w:tc>
          <w:tcPr>
            <w:tcW w:type="dxa" w:w="3427"/>
            <w:vAlign w:val="center"/>
            <w:shd w:fill="F7F9FC"/>
          </w:tcPr>
          <w:p>
            <w:pPr>
              <w:spacing w:after="0"/>
            </w:pPr>
            <w:r/>
            <w:r>
              <w:rPr>
                <w:b w:val="0"/>
                <w:color w:val="222222"/>
                <w:sz w:val="17"/>
              </w:rPr>
              <w:t>Understand distributions and relationships</w:t>
            </w:r>
          </w:p>
        </w:tc>
        <w:tc>
          <w:tcPr>
            <w:tcW w:type="dxa" w:w="3427"/>
            <w:vAlign w:val="center"/>
            <w:shd w:fill="F7F9FC"/>
          </w:tcPr>
          <w:p>
            <w:pPr>
              <w:spacing w:after="0"/>
            </w:pPr>
            <w:r/>
            <w:r>
              <w:rPr>
                <w:b w:val="0"/>
                <w:color w:val="222222"/>
                <w:sz w:val="17"/>
              </w:rPr>
              <w:t>Statistical and visual findings</w:t>
            </w:r>
          </w:p>
        </w:tc>
      </w:tr>
      <w:tr>
        <w:tc>
          <w:tcPr>
            <w:tcW w:type="dxa" w:w="3427"/>
            <w:vAlign w:val="center"/>
            <w:shd w:fill="FFFFFF"/>
          </w:tcPr>
          <w:p>
            <w:pPr>
              <w:spacing w:after="0"/>
            </w:pPr>
            <w:r/>
            <w:r>
              <w:rPr>
                <w:b w:val="0"/>
                <w:color w:val="222222"/>
                <w:sz w:val="17"/>
              </w:rPr>
              <w:t>Unsupervised learning</w:t>
            </w:r>
          </w:p>
        </w:tc>
        <w:tc>
          <w:tcPr>
            <w:tcW w:type="dxa" w:w="3427"/>
            <w:vAlign w:val="center"/>
            <w:shd w:fill="FFFFFF"/>
          </w:tcPr>
          <w:p>
            <w:pPr>
              <w:spacing w:after="0"/>
            </w:pPr>
            <w:r/>
            <w:r>
              <w:rPr>
                <w:b w:val="0"/>
                <w:color w:val="222222"/>
                <w:sz w:val="17"/>
              </w:rPr>
              <w:t>Discover property segments</w:t>
            </w:r>
          </w:p>
        </w:tc>
        <w:tc>
          <w:tcPr>
            <w:tcW w:type="dxa" w:w="3427"/>
            <w:vAlign w:val="center"/>
            <w:shd w:fill="FFFFFF"/>
          </w:tcPr>
          <w:p>
            <w:pPr>
              <w:spacing w:after="0"/>
            </w:pPr>
            <w:r/>
            <w:r>
              <w:rPr>
                <w:b w:val="0"/>
                <w:color w:val="222222"/>
                <w:sz w:val="17"/>
              </w:rPr>
              <w:t>4 K-Means clusters</w:t>
            </w:r>
          </w:p>
        </w:tc>
      </w:tr>
      <w:tr>
        <w:tc>
          <w:tcPr>
            <w:tcW w:type="dxa" w:w="3427"/>
            <w:vAlign w:val="center"/>
            <w:shd w:fill="F7F9FC"/>
          </w:tcPr>
          <w:p>
            <w:pPr>
              <w:spacing w:after="0"/>
            </w:pPr>
            <w:r/>
            <w:r>
              <w:rPr>
                <w:b w:val="0"/>
                <w:color w:val="222222"/>
                <w:sz w:val="17"/>
              </w:rPr>
              <w:t>Supervised learning</w:t>
            </w:r>
          </w:p>
        </w:tc>
        <w:tc>
          <w:tcPr>
            <w:tcW w:type="dxa" w:w="3427"/>
            <w:vAlign w:val="center"/>
            <w:shd w:fill="F7F9FC"/>
          </w:tcPr>
          <w:p>
            <w:pPr>
              <w:spacing w:after="0"/>
            </w:pPr>
            <w:r/>
            <w:r>
              <w:rPr>
                <w:b w:val="0"/>
                <w:color w:val="222222"/>
                <w:sz w:val="17"/>
              </w:rPr>
              <w:t>Predict property price</w:t>
            </w:r>
          </w:p>
        </w:tc>
        <w:tc>
          <w:tcPr>
            <w:tcW w:type="dxa" w:w="3427"/>
            <w:vAlign w:val="center"/>
            <w:shd w:fill="F7F9FC"/>
          </w:tcPr>
          <w:p>
            <w:pPr>
              <w:spacing w:after="0"/>
            </w:pPr>
            <w:r/>
            <w:r>
              <w:rPr>
                <w:b w:val="0"/>
                <w:color w:val="222222"/>
                <w:sz w:val="17"/>
              </w:rPr>
              <w:t>Random Forest final model</w:t>
            </w:r>
          </w:p>
        </w:tc>
      </w:tr>
      <w:tr>
        <w:tc>
          <w:tcPr>
            <w:tcW w:type="dxa" w:w="3427"/>
            <w:vAlign w:val="center"/>
            <w:shd w:fill="FFFFFF"/>
          </w:tcPr>
          <w:p>
            <w:pPr>
              <w:spacing w:after="0"/>
            </w:pPr>
            <w:r/>
            <w:r>
              <w:rPr>
                <w:b w:val="0"/>
                <w:color w:val="222222"/>
                <w:sz w:val="17"/>
              </w:rPr>
              <w:t>Deep learning</w:t>
            </w:r>
          </w:p>
        </w:tc>
        <w:tc>
          <w:tcPr>
            <w:tcW w:type="dxa" w:w="3427"/>
            <w:vAlign w:val="center"/>
            <w:shd w:fill="FFFFFF"/>
          </w:tcPr>
          <w:p>
            <w:pPr>
              <w:spacing w:after="0"/>
            </w:pPr>
            <w:r/>
            <w:r>
              <w:rPr>
                <w:b w:val="0"/>
                <w:color w:val="222222"/>
                <w:sz w:val="17"/>
              </w:rPr>
              <w:t>Test neural-network regression</w:t>
            </w:r>
          </w:p>
        </w:tc>
        <w:tc>
          <w:tcPr>
            <w:tcW w:type="dxa" w:w="3427"/>
            <w:vAlign w:val="center"/>
            <w:shd w:fill="FFFFFF"/>
          </w:tcPr>
          <w:p>
            <w:pPr>
              <w:spacing w:after="0"/>
            </w:pPr>
            <w:r/>
            <w:r>
              <w:rPr>
                <w:b w:val="0"/>
                <w:color w:val="222222"/>
                <w:sz w:val="17"/>
              </w:rPr>
              <w:t>Scaled-target ANN</w:t>
            </w:r>
          </w:p>
        </w:tc>
      </w:tr>
      <w:tr>
        <w:tc>
          <w:tcPr>
            <w:tcW w:type="dxa" w:w="3427"/>
            <w:vAlign w:val="center"/>
            <w:shd w:fill="F7F9FC"/>
          </w:tcPr>
          <w:p>
            <w:pPr>
              <w:spacing w:after="0"/>
            </w:pPr>
            <w:r/>
            <w:r>
              <w:rPr>
                <w:b w:val="0"/>
                <w:color w:val="222222"/>
                <w:sz w:val="17"/>
              </w:rPr>
              <w:t>Integration</w:t>
            </w:r>
          </w:p>
        </w:tc>
        <w:tc>
          <w:tcPr>
            <w:tcW w:type="dxa" w:w="3427"/>
            <w:vAlign w:val="center"/>
            <w:shd w:fill="F7F9FC"/>
          </w:tcPr>
          <w:p>
            <w:pPr>
              <w:spacing w:after="0"/>
            </w:pPr>
            <w:r/>
            <w:r>
              <w:rPr>
                <w:b w:val="0"/>
                <w:color w:val="222222"/>
                <w:sz w:val="17"/>
              </w:rPr>
              <w:t>Compare evidence and derive recommendations</w:t>
            </w:r>
          </w:p>
        </w:tc>
        <w:tc>
          <w:tcPr>
            <w:tcW w:type="dxa" w:w="3427"/>
            <w:vAlign w:val="center"/>
            <w:shd w:fill="F7F9FC"/>
          </w:tcPr>
          <w:p>
            <w:pPr>
              <w:spacing w:after="0"/>
            </w:pPr>
            <w:r/>
            <w:r>
              <w:rPr>
                <w:b w:val="0"/>
                <w:color w:val="222222"/>
                <w:sz w:val="17"/>
              </w:rPr>
              <w:t>End-to-end capstone conclusions</w:t>
            </w:r>
          </w:p>
        </w:tc>
      </w:tr>
    </w:tbl>
    <w:p>
      <w:pPr>
        <w:spacing w:after="20"/>
      </w:pPr>
    </w:p>
    <w:p>
      <w:pPr>
        <w:spacing w:before="20" w:after="100"/>
      </w:pPr>
      <w:r>
        <w:rPr>
          <w:b/>
          <w:color w:val="2F5597"/>
          <w:sz w:val="24"/>
        </w:rPr>
        <w:t>2.3 Dataset Snapshot</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5141"/>
        <w:gridCol w:w="5141"/>
      </w:tblGrid>
      <w:tr>
        <w:tc>
          <w:tcPr>
            <w:tcW w:type="dxa" w:w="5141"/>
            <w:vAlign w:val="center"/>
            <w:shd w:fill="17365D"/>
          </w:tcPr>
          <w:p>
            <w:pPr>
              <w:spacing w:after="0"/>
            </w:pPr>
            <w:r/>
            <w:r>
              <w:rPr>
                <w:b/>
                <w:color w:val="FFFFFF"/>
                <w:sz w:val="18"/>
              </w:rPr>
              <w:t>Attribute</w:t>
            </w:r>
          </w:p>
        </w:tc>
        <w:tc>
          <w:tcPr>
            <w:tcW w:type="dxa" w:w="5141"/>
            <w:vAlign w:val="center"/>
            <w:shd w:fill="17365D"/>
          </w:tcPr>
          <w:p>
            <w:pPr>
              <w:spacing w:after="0"/>
            </w:pPr>
            <w:r/>
            <w:r>
              <w:rPr>
                <w:b/>
                <w:color w:val="FFFFFF"/>
                <w:sz w:val="18"/>
              </w:rPr>
              <w:t>Verified Value</w:t>
            </w:r>
          </w:p>
        </w:tc>
      </w:tr>
      <w:tr>
        <w:tc>
          <w:tcPr>
            <w:tcW w:type="dxa" w:w="5141"/>
            <w:vAlign w:val="center"/>
            <w:shd w:fill="F7F9FC"/>
          </w:tcPr>
          <w:p>
            <w:pPr>
              <w:spacing w:after="0"/>
            </w:pPr>
            <w:r/>
            <w:r>
              <w:rPr>
                <w:b w:val="0"/>
                <w:color w:val="222222"/>
                <w:sz w:val="18"/>
              </w:rPr>
              <w:t>Raw records</w:t>
            </w:r>
          </w:p>
        </w:tc>
        <w:tc>
          <w:tcPr>
            <w:tcW w:type="dxa" w:w="5141"/>
            <w:vAlign w:val="center"/>
            <w:shd w:fill="F7F9FC"/>
          </w:tcPr>
          <w:p>
            <w:pPr>
              <w:spacing w:after="0"/>
            </w:pPr>
            <w:r/>
            <w:r>
              <w:rPr>
                <w:b w:val="0"/>
                <w:color w:val="222222"/>
                <w:sz w:val="18"/>
              </w:rPr>
              <w:t>19,515</w:t>
            </w:r>
          </w:p>
        </w:tc>
      </w:tr>
      <w:tr>
        <w:tc>
          <w:tcPr>
            <w:tcW w:type="dxa" w:w="5141"/>
            <w:vAlign w:val="center"/>
            <w:shd w:fill="FFFFFF"/>
          </w:tcPr>
          <w:p>
            <w:pPr>
              <w:spacing w:after="0"/>
            </w:pPr>
            <w:r/>
            <w:r>
              <w:rPr>
                <w:b w:val="0"/>
                <w:color w:val="222222"/>
                <w:sz w:val="18"/>
              </w:rPr>
              <w:t>Records after duplicate removal</w:t>
            </w:r>
          </w:p>
        </w:tc>
        <w:tc>
          <w:tcPr>
            <w:tcW w:type="dxa" w:w="5141"/>
            <w:vAlign w:val="center"/>
            <w:shd w:fill="FFFFFF"/>
          </w:tcPr>
          <w:p>
            <w:pPr>
              <w:spacing w:after="0"/>
            </w:pPr>
            <w:r/>
            <w:r>
              <w:rPr>
                <w:b w:val="0"/>
                <w:color w:val="222222"/>
                <w:sz w:val="18"/>
              </w:rPr>
              <w:t>14,223</w:t>
            </w:r>
          </w:p>
        </w:tc>
      </w:tr>
      <w:tr>
        <w:tc>
          <w:tcPr>
            <w:tcW w:type="dxa" w:w="5141"/>
            <w:vAlign w:val="center"/>
            <w:shd w:fill="F7F9FC"/>
          </w:tcPr>
          <w:p>
            <w:pPr>
              <w:spacing w:after="0"/>
            </w:pPr>
            <w:r/>
            <w:r>
              <w:rPr>
                <w:b w:val="0"/>
                <w:color w:val="222222"/>
                <w:sz w:val="18"/>
              </w:rPr>
              <w:t>Columns</w:t>
            </w:r>
          </w:p>
        </w:tc>
        <w:tc>
          <w:tcPr>
            <w:tcW w:type="dxa" w:w="5141"/>
            <w:vAlign w:val="center"/>
            <w:shd w:fill="F7F9FC"/>
          </w:tcPr>
          <w:p>
            <w:pPr>
              <w:spacing w:after="0"/>
            </w:pPr>
            <w:r/>
            <w:r>
              <w:rPr>
                <w:b w:val="0"/>
                <w:color w:val="222222"/>
                <w:sz w:val="18"/>
              </w:rPr>
              <w:t>12</w:t>
            </w:r>
          </w:p>
        </w:tc>
      </w:tr>
      <w:tr>
        <w:tc>
          <w:tcPr>
            <w:tcW w:type="dxa" w:w="5141"/>
            <w:vAlign w:val="center"/>
            <w:shd w:fill="FFFFFF"/>
          </w:tcPr>
          <w:p>
            <w:pPr>
              <w:spacing w:after="0"/>
            </w:pPr>
            <w:r/>
            <w:r>
              <w:rPr>
                <w:b w:val="0"/>
                <w:color w:val="222222"/>
                <w:sz w:val="18"/>
              </w:rPr>
              <w:t>Missing values after cleaning</w:t>
            </w:r>
          </w:p>
        </w:tc>
        <w:tc>
          <w:tcPr>
            <w:tcW w:type="dxa" w:w="5141"/>
            <w:vAlign w:val="center"/>
            <w:shd w:fill="FFFFFF"/>
          </w:tcPr>
          <w:p>
            <w:pPr>
              <w:spacing w:after="0"/>
            </w:pPr>
            <w:r/>
            <w:r>
              <w:rPr>
                <w:b w:val="0"/>
                <w:color w:val="222222"/>
                <w:sz w:val="18"/>
              </w:rPr>
              <w:t>0</w:t>
            </w:r>
          </w:p>
        </w:tc>
      </w:tr>
      <w:tr>
        <w:tc>
          <w:tcPr>
            <w:tcW w:type="dxa" w:w="5141"/>
            <w:vAlign w:val="center"/>
            <w:shd w:fill="F7F9FC"/>
          </w:tcPr>
          <w:p>
            <w:pPr>
              <w:spacing w:after="0"/>
            </w:pPr>
            <w:r/>
            <w:r>
              <w:rPr>
                <w:b w:val="0"/>
                <w:color w:val="222222"/>
                <w:sz w:val="18"/>
              </w:rPr>
              <w:t>Numerical focus</w:t>
            </w:r>
          </w:p>
        </w:tc>
        <w:tc>
          <w:tcPr>
            <w:tcW w:type="dxa" w:w="5141"/>
            <w:vAlign w:val="center"/>
            <w:shd w:fill="F7F9FC"/>
          </w:tcPr>
          <w:p>
            <w:pPr>
              <w:spacing w:after="0"/>
            </w:pPr>
            <w:r/>
            <w:r>
              <w:rPr>
                <w:b w:val="0"/>
                <w:color w:val="222222"/>
                <w:sz w:val="18"/>
              </w:rPr>
              <w:t>price, area, rate_per_sqft, bhk_count</w:t>
            </w:r>
          </w:p>
        </w:tc>
      </w:tr>
      <w:tr>
        <w:tc>
          <w:tcPr>
            <w:tcW w:type="dxa" w:w="5141"/>
            <w:vAlign w:val="center"/>
            <w:shd w:fill="FFFFFF"/>
          </w:tcPr>
          <w:p>
            <w:pPr>
              <w:spacing w:after="0"/>
            </w:pPr>
            <w:r/>
            <w:r>
              <w:rPr>
                <w:b w:val="0"/>
                <w:color w:val="222222"/>
                <w:sz w:val="18"/>
              </w:rPr>
              <w:t>Important categorical fields</w:t>
            </w:r>
          </w:p>
        </w:tc>
        <w:tc>
          <w:tcPr>
            <w:tcW w:type="dxa" w:w="5141"/>
            <w:vAlign w:val="center"/>
            <w:shd w:fill="FFFFFF"/>
          </w:tcPr>
          <w:p>
            <w:pPr>
              <w:spacing w:after="0"/>
            </w:pPr>
            <w:r/>
            <w:r>
              <w:rPr>
                <w:b w:val="0"/>
                <w:color w:val="222222"/>
                <w:sz w:val="18"/>
              </w:rPr>
              <w:t>status, property_type, locality, builder_name, society, company_name, flat_type</w:t>
            </w:r>
          </w:p>
        </w:tc>
      </w:tr>
      <w:tr>
        <w:tc>
          <w:tcPr>
            <w:tcW w:type="dxa" w:w="5141"/>
            <w:vAlign w:val="center"/>
            <w:shd w:fill="F7F9FC"/>
          </w:tcPr>
          <w:p>
            <w:pPr>
              <w:spacing w:after="0"/>
            </w:pPr>
            <w:r/>
            <w:r>
              <w:rPr>
                <w:b w:val="0"/>
                <w:color w:val="222222"/>
                <w:sz w:val="18"/>
              </w:rPr>
              <w:t>Model target</w:t>
            </w:r>
          </w:p>
        </w:tc>
        <w:tc>
          <w:tcPr>
            <w:tcW w:type="dxa" w:w="5141"/>
            <w:vAlign w:val="center"/>
            <w:shd w:fill="F7F9FC"/>
          </w:tcPr>
          <w:p>
            <w:pPr>
              <w:spacing w:after="0"/>
            </w:pPr>
            <w:r/>
            <w:r>
              <w:rPr>
                <w:b w:val="0"/>
                <w:color w:val="222222"/>
                <w:sz w:val="18"/>
              </w:rPr>
              <w:t>price</w:t>
            </w:r>
          </w:p>
        </w:tc>
      </w:tr>
      <w:tr>
        <w:tc>
          <w:tcPr>
            <w:tcW w:type="dxa" w:w="5141"/>
            <w:vAlign w:val="center"/>
            <w:shd w:fill="FFFFFF"/>
          </w:tcPr>
          <w:p>
            <w:pPr>
              <w:spacing w:after="0"/>
            </w:pPr>
            <w:r/>
            <w:r>
              <w:rPr>
                <w:b w:val="0"/>
                <w:color w:val="222222"/>
                <w:sz w:val="18"/>
              </w:rPr>
              <w:t>Core predictive features</w:t>
            </w:r>
          </w:p>
        </w:tc>
        <w:tc>
          <w:tcPr>
            <w:tcW w:type="dxa" w:w="5141"/>
            <w:vAlign w:val="center"/>
            <w:shd w:fill="FFFFFF"/>
          </w:tcPr>
          <w:p>
            <w:pPr>
              <w:spacing w:after="0"/>
            </w:pPr>
            <w:r/>
            <w:r>
              <w:rPr>
                <w:b w:val="0"/>
                <w:color w:val="222222"/>
                <w:sz w:val="18"/>
              </w:rPr>
              <w:t>area, bhk_count, rera_approval, status, flat_type</w:t>
            </w:r>
          </w:p>
        </w:tc>
      </w:tr>
    </w:tbl>
    <w:p>
      <w:pPr>
        <w:spacing w:after="20"/>
      </w:pPr>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Data source context: </w:t>
            </w:r>
            <w:r>
              <w:rPr>
                <w:color w:val="222222"/>
                <w:sz w:val="18"/>
              </w:rPr>
              <w:t>The supplied Week 1 report documents the raw file as real_estate.csv containing residential property listings across Gurugram, including apartments, independent floors and plots.</w:t>
            </w:r>
          </w:p>
        </w:tc>
      </w:tr>
    </w:tbl>
    <w:p>
      <w:pPr>
        <w:spacing w:after="20"/>
      </w:pPr>
    </w:p>
    <w:p>
      <w:pPr>
        <w:spacing w:before="40" w:after="100"/>
      </w:pPr>
      <w:r>
        <w:rPr>
          <w:b/>
          <w:color w:val="17365D"/>
          <w:sz w:val="34"/>
        </w:rPr>
        <w:t>3. Data Acquisition, Cleaning and Preprocessing</w:t>
      </w:r>
    </w:p>
    <w:p>
      <w:pPr>
        <w:spacing w:after="100" w:line="259" w:lineRule="auto"/>
      </w:pPr>
      <w:r>
        <w:rPr>
          <w:color w:val="222222"/>
          <w:sz w:val="19"/>
        </w:rPr>
        <w:t>The first project phase established data quality. The raw dataset contained 19,515 rows and 12 columns. Initial inspection identified mixed-case column names, string-encoded financial fields, textual RERA approval values, inconsistent categorical formatting and duplicate records. The cleaning workflow addressed these issues systematically.</w:t>
      </w:r>
    </w:p>
    <w:p>
      <w:pPr>
        <w:spacing w:before="20" w:after="100"/>
      </w:pPr>
      <w:r>
        <w:rPr>
          <w:b/>
          <w:color w:val="2F5597"/>
          <w:sz w:val="24"/>
        </w:rPr>
        <w:t>3.1 Cleaning Workflow</w:t>
      </w:r>
    </w:p>
    <w:p>
      <w:pPr>
        <w:pStyle w:val="ListBullet"/>
        <w:spacing w:after="40"/>
        <w:ind w:left="317" w:hanging="173"/>
      </w:pPr>
      <w:r>
        <w:rPr>
          <w:color w:val="222222"/>
          <w:sz w:val="18"/>
        </w:rPr>
        <w:t>Loaded the CSV into a Pandas DataFrame.</w:t>
      </w:r>
    </w:p>
    <w:p>
      <w:pPr>
        <w:pStyle w:val="ListBullet"/>
        <w:spacing w:after="40"/>
        <w:ind w:left="317" w:hanging="173"/>
      </w:pPr>
      <w:r>
        <w:rPr>
          <w:color w:val="222222"/>
          <w:sz w:val="18"/>
        </w:rPr>
        <w:t>Audited dimensions, columns, data types, missing values and duplicate records.</w:t>
      </w:r>
    </w:p>
    <w:p>
      <w:pPr>
        <w:pStyle w:val="ListBullet"/>
        <w:spacing w:after="40"/>
        <w:ind w:left="317" w:hanging="173"/>
      </w:pPr>
      <w:r>
        <w:rPr>
          <w:color w:val="222222"/>
          <w:sz w:val="18"/>
        </w:rPr>
        <w:t>Standardized column names to lowercase snake_case and corrected the Socity → society typo.</w:t>
      </w:r>
    </w:p>
    <w:p>
      <w:pPr>
        <w:pStyle w:val="ListBullet"/>
        <w:spacing w:after="40"/>
        <w:ind w:left="317" w:hanging="173"/>
      </w:pPr>
      <w:r>
        <w:rPr>
          <w:color w:val="222222"/>
          <w:sz w:val="18"/>
        </w:rPr>
        <w:t>Removed commas and whitespace from price and rate_per_sqft before converting them to float64.</w:t>
      </w:r>
    </w:p>
    <w:p>
      <w:pPr>
        <w:pStyle w:val="ListBullet"/>
        <w:spacing w:after="40"/>
        <w:ind w:left="317" w:hanging="173"/>
      </w:pPr>
      <w:r>
        <w:rPr>
          <w:color w:val="222222"/>
          <w:sz w:val="18"/>
        </w:rPr>
        <w:t>Removed exact duplicate rows, reducing the dataset from 19,515 to 14,223 records.</w:t>
      </w:r>
    </w:p>
    <w:p>
      <w:pPr>
        <w:pStyle w:val="ListBullet"/>
        <w:spacing w:after="40"/>
        <w:ind w:left="317" w:hanging="173"/>
      </w:pPr>
      <w:r>
        <w:rPr>
          <w:color w:val="222222"/>
          <w:sz w:val="18"/>
        </w:rPr>
        <w:t>Standardized categorical text using lowercase conversion and whitespace stripping.</w:t>
      </w:r>
    </w:p>
    <w:p>
      <w:pPr>
        <w:pStyle w:val="ListBullet"/>
        <w:spacing w:after="40"/>
        <w:ind w:left="317" w:hanging="173"/>
      </w:pPr>
      <w:r>
        <w:rPr>
          <w:color w:val="222222"/>
          <w:sz w:val="18"/>
        </w:rPr>
        <w:t>Mapped RERA approval text to Boolean values: approved by RERA → True and not approved by RERA → False.</w:t>
      </w:r>
    </w:p>
    <w:p>
      <w:pPr>
        <w:pStyle w:val="ListBullet"/>
        <w:spacing w:after="40"/>
        <w:ind w:left="317" w:hanging="173"/>
      </w:pPr>
      <w:r>
        <w:rPr>
          <w:color w:val="222222"/>
          <w:sz w:val="18"/>
        </w:rPr>
        <w:t>Validated the final schema and confirmed zero remaining duplicate records and zero null values.</w:t>
      </w:r>
    </w:p>
    <w:tbl>
      <w:tblPr>
        <w:tblW w:type="auto" w:w="0"/>
        <w:tblLook w:firstColumn="1" w:firstRow="1" w:lastColumn="0" w:lastRow="0" w:noHBand="0" w:noVBand="1" w:val="04A0"/>
      </w:tblPr>
      <w:tblGrid>
        <w:gridCol w:w="10282"/>
      </w:tblGrid>
      <w:tr>
        <w:tc>
          <w:tcPr>
            <w:tcW w:type="dxa" w:w="10282"/>
            <w:shd w:fill="172033"/>
          </w:tcPr>
          <w:p>
            <w:pPr>
              <w:spacing w:after="0"/>
              <w:ind w:left="80"/>
            </w:pPr>
            <w:r/>
            <w:r>
              <w:rPr>
                <w:rFonts w:ascii="Consolas" w:hAnsi="Consolas"/>
                <w:color w:val="F4F7FB"/>
                <w:sz w:val="16"/>
              </w:rPr>
              <w:t>df = pd.read_csv('real_estate.csv')</w:t>
              <w:br/>
              <w:br/>
              <w:t>df.columns = (df.columns.str.strip()</w:t>
              <w:br/>
              <w:t xml:space="preserve">              .str.lower()</w:t>
              <w:br/>
              <w:t xml:space="preserve">              .str.replace(' ', '_'))</w:t>
              <w:br/>
              <w:t>df = df.rename(columns={'socity': 'society'})</w:t>
              <w:br/>
              <w:br/>
              <w:t>df['price'] = (df['price'].str.strip()</w:t>
              <w:br/>
              <w:t xml:space="preserve">               .str.replace(',', '')</w:t>
              <w:br/>
              <w:t xml:space="preserve">               .astype(float))</w:t>
              <w:br/>
              <w:t>df['rate_per_sqft'] = (df['rate_per_sqft'].str.strip()</w:t>
              <w:br/>
              <w:t xml:space="preserve">                       .str.replace(',', '')</w:t>
              <w:br/>
              <w:t xml:space="preserve">                       .astype(float))</w:t>
              <w:br/>
              <w:br/>
              <w:t>df = df.drop_duplicates()</w:t>
            </w:r>
          </w:p>
        </w:tc>
      </w:tr>
    </w:tbl>
    <w:p>
      <w:pPr>
        <w:spacing w:after="20"/>
      </w:pPr>
    </w:p>
    <w:p>
      <w:pPr>
        <w:spacing w:before="20" w:after="100"/>
      </w:pPr>
      <w:r>
        <w:rPr>
          <w:b/>
          <w:color w:val="2F5597"/>
          <w:sz w:val="24"/>
        </w:rPr>
        <w:t>3.2 Final Data Quality Status</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3427"/>
        <w:gridCol w:w="3427"/>
        <w:gridCol w:w="3427"/>
      </w:tblGrid>
      <w:tr>
        <w:tc>
          <w:tcPr>
            <w:tcW w:type="dxa" w:w="3427"/>
            <w:vAlign w:val="center"/>
            <w:shd w:fill="17365D"/>
          </w:tcPr>
          <w:p>
            <w:pPr>
              <w:spacing w:after="0"/>
            </w:pPr>
            <w:r/>
            <w:r>
              <w:rPr>
                <w:b/>
                <w:color w:val="FFFFFF"/>
                <w:sz w:val="18"/>
              </w:rPr>
              <w:t>Quality Check</w:t>
            </w:r>
          </w:p>
        </w:tc>
        <w:tc>
          <w:tcPr>
            <w:tcW w:type="dxa" w:w="3427"/>
            <w:vAlign w:val="center"/>
            <w:shd w:fill="17365D"/>
          </w:tcPr>
          <w:p>
            <w:pPr>
              <w:spacing w:after="0"/>
            </w:pPr>
            <w:r/>
            <w:r>
              <w:rPr>
                <w:b/>
                <w:color w:val="FFFFFF"/>
                <w:sz w:val="18"/>
              </w:rPr>
              <w:t>Before Cleaning</w:t>
            </w:r>
          </w:p>
        </w:tc>
        <w:tc>
          <w:tcPr>
            <w:tcW w:type="dxa" w:w="3427"/>
            <w:vAlign w:val="center"/>
            <w:shd w:fill="17365D"/>
          </w:tcPr>
          <w:p>
            <w:pPr>
              <w:spacing w:after="0"/>
            </w:pPr>
            <w:r/>
            <w:r>
              <w:rPr>
                <w:b/>
                <w:color w:val="FFFFFF"/>
                <w:sz w:val="18"/>
              </w:rPr>
              <w:t>After Cleaning</w:t>
            </w:r>
          </w:p>
        </w:tc>
      </w:tr>
      <w:tr>
        <w:tc>
          <w:tcPr>
            <w:tcW w:type="dxa" w:w="3427"/>
            <w:vAlign w:val="center"/>
            <w:shd w:fill="F7F9FC"/>
          </w:tcPr>
          <w:p>
            <w:pPr>
              <w:spacing w:after="0"/>
            </w:pPr>
            <w:r/>
            <w:r>
              <w:rPr>
                <w:b w:val="0"/>
                <w:color w:val="222222"/>
                <w:sz w:val="18"/>
              </w:rPr>
              <w:t>Rows</w:t>
            </w:r>
          </w:p>
        </w:tc>
        <w:tc>
          <w:tcPr>
            <w:tcW w:type="dxa" w:w="3427"/>
            <w:vAlign w:val="center"/>
            <w:shd w:fill="F7F9FC"/>
          </w:tcPr>
          <w:p>
            <w:pPr>
              <w:spacing w:after="0"/>
            </w:pPr>
            <w:r/>
            <w:r>
              <w:rPr>
                <w:b w:val="0"/>
                <w:color w:val="222222"/>
                <w:sz w:val="18"/>
              </w:rPr>
              <w:t>19,515</w:t>
            </w:r>
          </w:p>
        </w:tc>
        <w:tc>
          <w:tcPr>
            <w:tcW w:type="dxa" w:w="3427"/>
            <w:vAlign w:val="center"/>
            <w:shd w:fill="F7F9FC"/>
          </w:tcPr>
          <w:p>
            <w:pPr>
              <w:spacing w:after="0"/>
            </w:pPr>
            <w:r/>
            <w:r>
              <w:rPr>
                <w:b w:val="0"/>
                <w:color w:val="222222"/>
                <w:sz w:val="18"/>
              </w:rPr>
              <w:t>14,223</w:t>
            </w:r>
          </w:p>
        </w:tc>
      </w:tr>
      <w:tr>
        <w:tc>
          <w:tcPr>
            <w:tcW w:type="dxa" w:w="3427"/>
            <w:vAlign w:val="center"/>
            <w:shd w:fill="FFFFFF"/>
          </w:tcPr>
          <w:p>
            <w:pPr>
              <w:spacing w:after="0"/>
            </w:pPr>
            <w:r/>
            <w:r>
              <w:rPr>
                <w:b w:val="0"/>
                <w:color w:val="222222"/>
                <w:sz w:val="18"/>
              </w:rPr>
              <w:t>Columns</w:t>
            </w:r>
          </w:p>
        </w:tc>
        <w:tc>
          <w:tcPr>
            <w:tcW w:type="dxa" w:w="3427"/>
            <w:vAlign w:val="center"/>
            <w:shd w:fill="FFFFFF"/>
          </w:tcPr>
          <w:p>
            <w:pPr>
              <w:spacing w:after="0"/>
            </w:pPr>
            <w:r/>
            <w:r>
              <w:rPr>
                <w:b w:val="0"/>
                <w:color w:val="222222"/>
                <w:sz w:val="18"/>
              </w:rPr>
              <w:t>12</w:t>
            </w:r>
          </w:p>
        </w:tc>
        <w:tc>
          <w:tcPr>
            <w:tcW w:type="dxa" w:w="3427"/>
            <w:vAlign w:val="center"/>
            <w:shd w:fill="FFFFFF"/>
          </w:tcPr>
          <w:p>
            <w:pPr>
              <w:spacing w:after="0"/>
            </w:pPr>
            <w:r/>
            <w:r>
              <w:rPr>
                <w:b w:val="0"/>
                <w:color w:val="222222"/>
                <w:sz w:val="18"/>
              </w:rPr>
              <w:t>12</w:t>
            </w:r>
          </w:p>
        </w:tc>
      </w:tr>
      <w:tr>
        <w:tc>
          <w:tcPr>
            <w:tcW w:type="dxa" w:w="3427"/>
            <w:vAlign w:val="center"/>
            <w:shd w:fill="F7F9FC"/>
          </w:tcPr>
          <w:p>
            <w:pPr>
              <w:spacing w:after="0"/>
            </w:pPr>
            <w:r/>
            <w:r>
              <w:rPr>
                <w:b w:val="0"/>
                <w:color w:val="222222"/>
                <w:sz w:val="18"/>
              </w:rPr>
              <w:t>Exact duplicates</w:t>
            </w:r>
          </w:p>
        </w:tc>
        <w:tc>
          <w:tcPr>
            <w:tcW w:type="dxa" w:w="3427"/>
            <w:vAlign w:val="center"/>
            <w:shd w:fill="F7F9FC"/>
          </w:tcPr>
          <w:p>
            <w:pPr>
              <w:spacing w:after="0"/>
            </w:pPr>
            <w:r/>
            <w:r>
              <w:rPr>
                <w:b w:val="0"/>
                <w:color w:val="222222"/>
                <w:sz w:val="18"/>
              </w:rPr>
              <w:t>5,292 duplicate records identified</w:t>
            </w:r>
          </w:p>
        </w:tc>
        <w:tc>
          <w:tcPr>
            <w:tcW w:type="dxa" w:w="3427"/>
            <w:vAlign w:val="center"/>
            <w:shd w:fill="F7F9FC"/>
          </w:tcPr>
          <w:p>
            <w:pPr>
              <w:spacing w:after="0"/>
            </w:pPr>
            <w:r/>
            <w:r>
              <w:rPr>
                <w:b w:val="0"/>
                <w:color w:val="222222"/>
                <w:sz w:val="18"/>
              </w:rPr>
              <w:t>0 remaining</w:t>
            </w:r>
          </w:p>
        </w:tc>
      </w:tr>
      <w:tr>
        <w:tc>
          <w:tcPr>
            <w:tcW w:type="dxa" w:w="3427"/>
            <w:vAlign w:val="center"/>
            <w:shd w:fill="FFFFFF"/>
          </w:tcPr>
          <w:p>
            <w:pPr>
              <w:spacing w:after="0"/>
            </w:pPr>
            <w:r/>
            <w:r>
              <w:rPr>
                <w:b w:val="0"/>
                <w:color w:val="222222"/>
                <w:sz w:val="18"/>
              </w:rPr>
              <w:t>Missing values</w:t>
            </w:r>
          </w:p>
        </w:tc>
        <w:tc>
          <w:tcPr>
            <w:tcW w:type="dxa" w:w="3427"/>
            <w:vAlign w:val="center"/>
            <w:shd w:fill="FFFFFF"/>
          </w:tcPr>
          <w:p>
            <w:pPr>
              <w:spacing w:after="0"/>
            </w:pPr>
            <w:r/>
            <w:r>
              <w:rPr>
                <w:b w:val="0"/>
                <w:color w:val="222222"/>
                <w:sz w:val="18"/>
              </w:rPr>
              <w:t>Audited</w:t>
            </w:r>
          </w:p>
        </w:tc>
        <w:tc>
          <w:tcPr>
            <w:tcW w:type="dxa" w:w="3427"/>
            <w:vAlign w:val="center"/>
            <w:shd w:fill="FFFFFF"/>
          </w:tcPr>
          <w:p>
            <w:pPr>
              <w:spacing w:after="0"/>
            </w:pPr>
            <w:r/>
            <w:r>
              <w:rPr>
                <w:b w:val="0"/>
                <w:color w:val="222222"/>
                <w:sz w:val="18"/>
              </w:rPr>
              <w:t>0</w:t>
            </w:r>
          </w:p>
        </w:tc>
      </w:tr>
      <w:tr>
        <w:tc>
          <w:tcPr>
            <w:tcW w:type="dxa" w:w="3427"/>
            <w:vAlign w:val="center"/>
            <w:shd w:fill="F7F9FC"/>
          </w:tcPr>
          <w:p>
            <w:pPr>
              <w:spacing w:after="0"/>
            </w:pPr>
            <w:r/>
            <w:r>
              <w:rPr>
                <w:b w:val="0"/>
                <w:color w:val="222222"/>
                <w:sz w:val="18"/>
              </w:rPr>
              <w:t>price datatype</w:t>
            </w:r>
          </w:p>
        </w:tc>
        <w:tc>
          <w:tcPr>
            <w:tcW w:type="dxa" w:w="3427"/>
            <w:vAlign w:val="center"/>
            <w:shd w:fill="F7F9FC"/>
          </w:tcPr>
          <w:p>
            <w:pPr>
              <w:spacing w:after="0"/>
            </w:pPr>
            <w:r/>
            <w:r>
              <w:rPr>
                <w:b w:val="0"/>
                <w:color w:val="222222"/>
                <w:sz w:val="18"/>
              </w:rPr>
              <w:t>String/object</w:t>
            </w:r>
          </w:p>
        </w:tc>
        <w:tc>
          <w:tcPr>
            <w:tcW w:type="dxa" w:w="3427"/>
            <w:vAlign w:val="center"/>
            <w:shd w:fill="F7F9FC"/>
          </w:tcPr>
          <w:p>
            <w:pPr>
              <w:spacing w:after="0"/>
            </w:pPr>
            <w:r/>
            <w:r>
              <w:rPr>
                <w:b w:val="0"/>
                <w:color w:val="222222"/>
                <w:sz w:val="18"/>
              </w:rPr>
              <w:t>float64</w:t>
            </w:r>
          </w:p>
        </w:tc>
      </w:tr>
      <w:tr>
        <w:tc>
          <w:tcPr>
            <w:tcW w:type="dxa" w:w="3427"/>
            <w:vAlign w:val="center"/>
            <w:shd w:fill="FFFFFF"/>
          </w:tcPr>
          <w:p>
            <w:pPr>
              <w:spacing w:after="0"/>
            </w:pPr>
            <w:r/>
            <w:r>
              <w:rPr>
                <w:b w:val="0"/>
                <w:color w:val="222222"/>
                <w:sz w:val="18"/>
              </w:rPr>
              <w:t>rate_per_sqft datatype</w:t>
            </w:r>
          </w:p>
        </w:tc>
        <w:tc>
          <w:tcPr>
            <w:tcW w:type="dxa" w:w="3427"/>
            <w:vAlign w:val="center"/>
            <w:shd w:fill="FFFFFF"/>
          </w:tcPr>
          <w:p>
            <w:pPr>
              <w:spacing w:after="0"/>
            </w:pPr>
            <w:r/>
            <w:r>
              <w:rPr>
                <w:b w:val="0"/>
                <w:color w:val="222222"/>
                <w:sz w:val="18"/>
              </w:rPr>
              <w:t>String/object</w:t>
            </w:r>
          </w:p>
        </w:tc>
        <w:tc>
          <w:tcPr>
            <w:tcW w:type="dxa" w:w="3427"/>
            <w:vAlign w:val="center"/>
            <w:shd w:fill="FFFFFF"/>
          </w:tcPr>
          <w:p>
            <w:pPr>
              <w:spacing w:after="0"/>
            </w:pPr>
            <w:r/>
            <w:r>
              <w:rPr>
                <w:b w:val="0"/>
                <w:color w:val="222222"/>
                <w:sz w:val="18"/>
              </w:rPr>
              <w:t>float64</w:t>
            </w:r>
          </w:p>
        </w:tc>
      </w:tr>
      <w:tr>
        <w:tc>
          <w:tcPr>
            <w:tcW w:type="dxa" w:w="3427"/>
            <w:vAlign w:val="center"/>
            <w:shd w:fill="F7F9FC"/>
          </w:tcPr>
          <w:p>
            <w:pPr>
              <w:spacing w:after="0"/>
            </w:pPr>
            <w:r/>
            <w:r>
              <w:rPr>
                <w:b w:val="0"/>
                <w:color w:val="222222"/>
                <w:sz w:val="18"/>
              </w:rPr>
              <w:t>RERA representation</w:t>
            </w:r>
          </w:p>
        </w:tc>
        <w:tc>
          <w:tcPr>
            <w:tcW w:type="dxa" w:w="3427"/>
            <w:vAlign w:val="center"/>
            <w:shd w:fill="F7F9FC"/>
          </w:tcPr>
          <w:p>
            <w:pPr>
              <w:spacing w:after="0"/>
            </w:pPr>
            <w:r/>
            <w:r>
              <w:rPr>
                <w:b w:val="0"/>
                <w:color w:val="222222"/>
                <w:sz w:val="18"/>
              </w:rPr>
              <w:t>Text status</w:t>
            </w:r>
          </w:p>
        </w:tc>
        <w:tc>
          <w:tcPr>
            <w:tcW w:type="dxa" w:w="3427"/>
            <w:vAlign w:val="center"/>
            <w:shd w:fill="F7F9FC"/>
          </w:tcPr>
          <w:p>
            <w:pPr>
              <w:spacing w:after="0"/>
            </w:pPr>
            <w:r/>
            <w:r>
              <w:rPr>
                <w:b w:val="0"/>
                <w:color w:val="222222"/>
                <w:sz w:val="18"/>
              </w:rPr>
              <w:t>Boolean</w:t>
            </w:r>
          </w:p>
        </w:tc>
      </w:tr>
      <w:tr>
        <w:tc>
          <w:tcPr>
            <w:tcW w:type="dxa" w:w="3427"/>
            <w:vAlign w:val="center"/>
            <w:shd w:fill="FFFFFF"/>
          </w:tcPr>
          <w:p>
            <w:pPr>
              <w:spacing w:after="0"/>
            </w:pPr>
            <w:r/>
            <w:r>
              <w:rPr>
                <w:b w:val="0"/>
                <w:color w:val="222222"/>
                <w:sz w:val="18"/>
              </w:rPr>
              <w:t>Column naming</w:t>
            </w:r>
          </w:p>
        </w:tc>
        <w:tc>
          <w:tcPr>
            <w:tcW w:type="dxa" w:w="3427"/>
            <w:vAlign w:val="center"/>
            <w:shd w:fill="FFFFFF"/>
          </w:tcPr>
          <w:p>
            <w:pPr>
              <w:spacing w:after="0"/>
            </w:pPr>
            <w:r/>
            <w:r>
              <w:rPr>
                <w:b w:val="0"/>
                <w:color w:val="222222"/>
                <w:sz w:val="18"/>
              </w:rPr>
              <w:t>Mixed case / spaces</w:t>
            </w:r>
          </w:p>
        </w:tc>
        <w:tc>
          <w:tcPr>
            <w:tcW w:type="dxa" w:w="3427"/>
            <w:vAlign w:val="center"/>
            <w:shd w:fill="FFFFFF"/>
          </w:tcPr>
          <w:p>
            <w:pPr>
              <w:spacing w:after="0"/>
            </w:pPr>
            <w:r/>
            <w:r>
              <w:rPr>
                <w:b w:val="0"/>
                <w:color w:val="222222"/>
                <w:sz w:val="18"/>
              </w:rPr>
              <w:t>lowercase snake_case</w:t>
            </w:r>
          </w:p>
        </w:tc>
      </w:tr>
    </w:tbl>
    <w:p>
      <w:pPr>
        <w:spacing w:after="20"/>
      </w:pPr>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Interpretation: </w:t>
            </w:r>
            <w:r>
              <w:rPr>
                <w:color w:val="222222"/>
                <w:sz w:val="18"/>
              </w:rPr>
              <w:t>The 5,292 removed rows were exact duplicates. Unusual values such as very high BHK counts were retained because the project documentation treats them as unusual source characteristics requiring contextual interpretation rather than automatic deletion.</w:t>
            </w:r>
          </w:p>
        </w:tc>
      </w:tr>
    </w:tbl>
    <w:p>
      <w:pPr>
        <w:spacing w:after="20"/>
      </w:pPr>
    </w:p>
    <w:p>
      <w:pPr>
        <w:spacing w:before="40" w:after="100"/>
      </w:pPr>
      <w:r>
        <w:rPr>
          <w:b/>
          <w:color w:val="17365D"/>
          <w:sz w:val="34"/>
        </w:rPr>
        <w:t>4. Exploratory Data Analysis</w:t>
      </w:r>
    </w:p>
    <w:p>
      <w:pPr>
        <w:spacing w:after="100" w:line="259" w:lineRule="auto"/>
      </w:pPr>
      <w:r>
        <w:rPr>
          <w:color w:val="222222"/>
          <w:sz w:val="19"/>
        </w:rPr>
        <w:t>EDA was used to transform the cleaned dataset into evidence about distributions, relationships and anomalies. The analysis deliberately focused on variables that were useful for later modeling rather than producing unrelated charts.</w:t>
      </w:r>
    </w:p>
    <w:p>
      <w:pPr>
        <w:spacing w:before="20" w:after="100"/>
      </w:pPr>
      <w:r>
        <w:rPr>
          <w:b/>
          <w:color w:val="2F5597"/>
          <w:sz w:val="24"/>
        </w:rPr>
        <w:t>4.1 Numerical Profile</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056"/>
        <w:gridCol w:w="2056"/>
        <w:gridCol w:w="2056"/>
        <w:gridCol w:w="2056"/>
        <w:gridCol w:w="2056"/>
      </w:tblGrid>
      <w:tr>
        <w:tc>
          <w:tcPr>
            <w:tcW w:type="dxa" w:w="2056"/>
            <w:vAlign w:val="center"/>
            <w:shd w:fill="17365D"/>
          </w:tcPr>
          <w:p>
            <w:pPr>
              <w:spacing w:after="0"/>
            </w:pPr>
            <w:r/>
            <w:r>
              <w:rPr>
                <w:b/>
                <w:color w:val="FFFFFF"/>
                <w:sz w:val="18"/>
              </w:rPr>
              <w:t>Variable</w:t>
            </w:r>
          </w:p>
        </w:tc>
        <w:tc>
          <w:tcPr>
            <w:tcW w:type="dxa" w:w="2056"/>
            <w:vAlign w:val="center"/>
            <w:shd w:fill="17365D"/>
          </w:tcPr>
          <w:p>
            <w:pPr>
              <w:spacing w:after="0"/>
            </w:pPr>
            <w:r/>
            <w:r>
              <w:rPr>
                <w:b/>
                <w:color w:val="FFFFFF"/>
                <w:sz w:val="18"/>
              </w:rPr>
              <w:t>Mean</w:t>
            </w:r>
          </w:p>
        </w:tc>
        <w:tc>
          <w:tcPr>
            <w:tcW w:type="dxa" w:w="2056"/>
            <w:vAlign w:val="center"/>
            <w:shd w:fill="17365D"/>
          </w:tcPr>
          <w:p>
            <w:pPr>
              <w:spacing w:after="0"/>
            </w:pPr>
            <w:r/>
            <w:r>
              <w:rPr>
                <w:b/>
                <w:color w:val="FFFFFF"/>
                <w:sz w:val="18"/>
              </w:rPr>
              <w:t>Median</w:t>
            </w:r>
          </w:p>
        </w:tc>
        <w:tc>
          <w:tcPr>
            <w:tcW w:type="dxa" w:w="2056"/>
            <w:vAlign w:val="center"/>
            <w:shd w:fill="17365D"/>
          </w:tcPr>
          <w:p>
            <w:pPr>
              <w:spacing w:after="0"/>
            </w:pPr>
            <w:r/>
            <w:r>
              <w:rPr>
                <w:b/>
                <w:color w:val="FFFFFF"/>
                <w:sz w:val="18"/>
              </w:rPr>
              <w:t>Minimum</w:t>
            </w:r>
          </w:p>
        </w:tc>
        <w:tc>
          <w:tcPr>
            <w:tcW w:type="dxa" w:w="2056"/>
            <w:vAlign w:val="center"/>
            <w:shd w:fill="17365D"/>
          </w:tcPr>
          <w:p>
            <w:pPr>
              <w:spacing w:after="0"/>
            </w:pPr>
            <w:r/>
            <w:r>
              <w:rPr>
                <w:b/>
                <w:color w:val="FFFFFF"/>
                <w:sz w:val="18"/>
              </w:rPr>
              <w:t>Maximum</w:t>
            </w:r>
          </w:p>
        </w:tc>
      </w:tr>
      <w:tr>
        <w:tc>
          <w:tcPr>
            <w:tcW w:type="dxa" w:w="2056"/>
            <w:vAlign w:val="center"/>
            <w:shd w:fill="F7F9FC"/>
          </w:tcPr>
          <w:p>
            <w:pPr>
              <w:spacing w:after="0"/>
            </w:pPr>
            <w:r/>
            <w:r>
              <w:rPr>
                <w:b w:val="0"/>
                <w:color w:val="222222"/>
                <w:sz w:val="18"/>
              </w:rPr>
              <w:t>Price</w:t>
            </w:r>
          </w:p>
        </w:tc>
        <w:tc>
          <w:tcPr>
            <w:tcW w:type="dxa" w:w="2056"/>
            <w:vAlign w:val="center"/>
            <w:shd w:fill="F7F9FC"/>
          </w:tcPr>
          <w:p>
            <w:pPr>
              <w:spacing w:after="0"/>
            </w:pPr>
            <w:r/>
            <w:r>
              <w:rPr>
                <w:b w:val="0"/>
                <w:color w:val="222222"/>
                <w:sz w:val="18"/>
              </w:rPr>
              <w:t>₹4.00 crore</w:t>
            </w:r>
          </w:p>
        </w:tc>
        <w:tc>
          <w:tcPr>
            <w:tcW w:type="dxa" w:w="2056"/>
            <w:vAlign w:val="center"/>
            <w:shd w:fill="F7F9FC"/>
          </w:tcPr>
          <w:p>
            <w:pPr>
              <w:spacing w:after="0"/>
            </w:pPr>
            <w:r/>
            <w:r>
              <w:rPr>
                <w:b w:val="0"/>
                <w:color w:val="222222"/>
                <w:sz w:val="18"/>
              </w:rPr>
              <w:t>₹2.62 crore</w:t>
            </w:r>
          </w:p>
        </w:tc>
        <w:tc>
          <w:tcPr>
            <w:tcW w:type="dxa" w:w="2056"/>
            <w:vAlign w:val="center"/>
            <w:shd w:fill="F7F9FC"/>
          </w:tcPr>
          <w:p>
            <w:pPr>
              <w:spacing w:after="0"/>
            </w:pPr>
            <w:r/>
            <w:r>
              <w:rPr>
                <w:b w:val="0"/>
                <w:color w:val="222222"/>
                <w:sz w:val="18"/>
              </w:rPr>
              <w:t>₹0.01 crore</w:t>
            </w:r>
          </w:p>
        </w:tc>
        <w:tc>
          <w:tcPr>
            <w:tcW w:type="dxa" w:w="2056"/>
            <w:vAlign w:val="center"/>
            <w:shd w:fill="F7F9FC"/>
          </w:tcPr>
          <w:p>
            <w:pPr>
              <w:spacing w:after="0"/>
            </w:pPr>
            <w:r/>
            <w:r>
              <w:rPr>
                <w:b w:val="0"/>
                <w:color w:val="222222"/>
                <w:sz w:val="18"/>
              </w:rPr>
              <w:t>₹122.63 crore</w:t>
            </w:r>
          </w:p>
        </w:tc>
      </w:tr>
      <w:tr>
        <w:tc>
          <w:tcPr>
            <w:tcW w:type="dxa" w:w="2056"/>
            <w:vAlign w:val="center"/>
            <w:shd w:fill="FFFFFF"/>
          </w:tcPr>
          <w:p>
            <w:pPr>
              <w:spacing w:after="0"/>
            </w:pPr>
            <w:r/>
            <w:r>
              <w:rPr>
                <w:b w:val="0"/>
                <w:color w:val="222222"/>
                <w:sz w:val="18"/>
              </w:rPr>
              <w:t>Area</w:t>
            </w:r>
          </w:p>
        </w:tc>
        <w:tc>
          <w:tcPr>
            <w:tcW w:type="dxa" w:w="2056"/>
            <w:vAlign w:val="center"/>
            <w:shd w:fill="FFFFFF"/>
          </w:tcPr>
          <w:p>
            <w:pPr>
              <w:spacing w:after="0"/>
            </w:pPr>
            <w:r/>
            <w:r>
              <w:rPr>
                <w:b w:val="0"/>
                <w:color w:val="222222"/>
                <w:sz w:val="18"/>
              </w:rPr>
              <w:t>2,621.8 sq ft</w:t>
            </w:r>
          </w:p>
        </w:tc>
        <w:tc>
          <w:tcPr>
            <w:tcW w:type="dxa" w:w="2056"/>
            <w:vAlign w:val="center"/>
            <w:shd w:fill="FFFFFF"/>
          </w:tcPr>
          <w:p>
            <w:pPr>
              <w:spacing w:after="0"/>
            </w:pPr>
            <w:r/>
            <w:r>
              <w:rPr>
                <w:b w:val="0"/>
                <w:color w:val="222222"/>
                <w:sz w:val="18"/>
              </w:rPr>
              <w:t>2,015 sq ft</w:t>
            </w:r>
          </w:p>
        </w:tc>
        <w:tc>
          <w:tcPr>
            <w:tcW w:type="dxa" w:w="2056"/>
            <w:vAlign w:val="center"/>
            <w:shd w:fill="FFFFFF"/>
          </w:tcPr>
          <w:p>
            <w:pPr>
              <w:spacing w:after="0"/>
            </w:pPr>
            <w:r/>
            <w:r>
              <w:rPr>
                <w:b w:val="0"/>
                <w:color w:val="222222"/>
                <w:sz w:val="18"/>
              </w:rPr>
              <w:t>60</w:t>
            </w:r>
          </w:p>
        </w:tc>
        <w:tc>
          <w:tcPr>
            <w:tcW w:type="dxa" w:w="2056"/>
            <w:vAlign w:val="center"/>
            <w:shd w:fill="FFFFFF"/>
          </w:tcPr>
          <w:p>
            <w:pPr>
              <w:spacing w:after="0"/>
            </w:pPr>
            <w:r/>
            <w:r>
              <w:rPr>
                <w:b w:val="0"/>
                <w:color w:val="222222"/>
                <w:sz w:val="18"/>
              </w:rPr>
              <w:t>958,320</w:t>
            </w:r>
          </w:p>
        </w:tc>
      </w:tr>
      <w:tr>
        <w:tc>
          <w:tcPr>
            <w:tcW w:type="dxa" w:w="2056"/>
            <w:vAlign w:val="center"/>
            <w:shd w:fill="F7F9FC"/>
          </w:tcPr>
          <w:p>
            <w:pPr>
              <w:spacing w:after="0"/>
            </w:pPr>
            <w:r/>
            <w:r>
              <w:rPr>
                <w:b w:val="0"/>
                <w:color w:val="222222"/>
                <w:sz w:val="18"/>
              </w:rPr>
              <w:t>Rate per sqft</w:t>
            </w:r>
          </w:p>
        </w:tc>
        <w:tc>
          <w:tcPr>
            <w:tcW w:type="dxa" w:w="2056"/>
            <w:vAlign w:val="center"/>
            <w:shd w:fill="F7F9FC"/>
          </w:tcPr>
          <w:p>
            <w:pPr>
              <w:spacing w:after="0"/>
            </w:pPr>
            <w:r/>
            <w:r>
              <w:rPr>
                <w:b w:val="0"/>
                <w:color w:val="222222"/>
                <w:sz w:val="18"/>
              </w:rPr>
              <w:t>₹15,296</w:t>
            </w:r>
          </w:p>
        </w:tc>
        <w:tc>
          <w:tcPr>
            <w:tcW w:type="dxa" w:w="2056"/>
            <w:vAlign w:val="center"/>
            <w:shd w:fill="F7F9FC"/>
          </w:tcPr>
          <w:p>
            <w:pPr>
              <w:spacing w:after="0"/>
            </w:pPr>
            <w:r/>
            <w:r>
              <w:rPr>
                <w:b w:val="0"/>
                <w:color w:val="222222"/>
                <w:sz w:val="18"/>
              </w:rPr>
              <w:t>₹12,380</w:t>
            </w:r>
          </w:p>
        </w:tc>
        <w:tc>
          <w:tcPr>
            <w:tcW w:type="dxa" w:w="2056"/>
            <w:vAlign w:val="center"/>
            <w:shd w:fill="F7F9FC"/>
          </w:tcPr>
          <w:p>
            <w:pPr>
              <w:spacing w:after="0"/>
            </w:pPr>
            <w:r/>
            <w:r>
              <w:rPr>
                <w:b w:val="0"/>
                <w:color w:val="222222"/>
                <w:sz w:val="18"/>
              </w:rPr>
              <w:t>₹100</w:t>
            </w:r>
          </w:p>
        </w:tc>
        <w:tc>
          <w:tcPr>
            <w:tcW w:type="dxa" w:w="2056"/>
            <w:vAlign w:val="center"/>
            <w:shd w:fill="F7F9FC"/>
          </w:tcPr>
          <w:p>
            <w:pPr>
              <w:spacing w:after="0"/>
            </w:pPr>
            <w:r/>
            <w:r>
              <w:rPr>
                <w:b w:val="0"/>
                <w:color w:val="222222"/>
                <w:sz w:val="18"/>
              </w:rPr>
              <w:t>₹310,000</w:t>
            </w:r>
          </w:p>
        </w:tc>
      </w:tr>
      <w:tr>
        <w:tc>
          <w:tcPr>
            <w:tcW w:type="dxa" w:w="2056"/>
            <w:vAlign w:val="center"/>
            <w:shd w:fill="FFFFFF"/>
          </w:tcPr>
          <w:p>
            <w:pPr>
              <w:spacing w:after="0"/>
            </w:pPr>
            <w:r/>
            <w:r>
              <w:rPr>
                <w:b w:val="0"/>
                <w:color w:val="222222"/>
                <w:sz w:val="18"/>
              </w:rPr>
              <w:t>BHK Count</w:t>
            </w:r>
          </w:p>
        </w:tc>
        <w:tc>
          <w:tcPr>
            <w:tcW w:type="dxa" w:w="2056"/>
            <w:vAlign w:val="center"/>
            <w:shd w:fill="FFFFFF"/>
          </w:tcPr>
          <w:p>
            <w:pPr>
              <w:spacing w:after="0"/>
            </w:pPr>
            <w:r/>
            <w:r>
              <w:rPr>
                <w:b w:val="0"/>
                <w:color w:val="222222"/>
                <w:sz w:val="18"/>
              </w:rPr>
              <w:t>3.27</w:t>
            </w:r>
          </w:p>
        </w:tc>
        <w:tc>
          <w:tcPr>
            <w:tcW w:type="dxa" w:w="2056"/>
            <w:vAlign w:val="center"/>
            <w:shd w:fill="FFFFFF"/>
          </w:tcPr>
          <w:p>
            <w:pPr>
              <w:spacing w:after="0"/>
            </w:pPr>
            <w:r/>
            <w:r>
              <w:rPr>
                <w:b w:val="0"/>
                <w:color w:val="222222"/>
                <w:sz w:val="18"/>
              </w:rPr>
              <w:t>3</w:t>
            </w:r>
          </w:p>
        </w:tc>
        <w:tc>
          <w:tcPr>
            <w:tcW w:type="dxa" w:w="2056"/>
            <w:vAlign w:val="center"/>
            <w:shd w:fill="FFFFFF"/>
          </w:tcPr>
          <w:p>
            <w:pPr>
              <w:spacing w:after="0"/>
            </w:pPr>
            <w:r/>
            <w:r>
              <w:rPr>
                <w:b w:val="0"/>
                <w:color w:val="222222"/>
                <w:sz w:val="18"/>
              </w:rPr>
              <w:t>0</w:t>
            </w:r>
          </w:p>
        </w:tc>
        <w:tc>
          <w:tcPr>
            <w:tcW w:type="dxa" w:w="2056"/>
            <w:vAlign w:val="center"/>
            <w:shd w:fill="FFFFFF"/>
          </w:tcPr>
          <w:p>
            <w:pPr>
              <w:spacing w:after="0"/>
            </w:pPr>
            <w:r/>
            <w:r>
              <w:rPr>
                <w:b w:val="0"/>
                <w:color w:val="222222"/>
                <w:sz w:val="18"/>
              </w:rPr>
              <w:t>132</w:t>
            </w:r>
          </w:p>
        </w:tc>
      </w:tr>
    </w:tbl>
    <w:p>
      <w:pPr>
        <w:spacing w:after="20"/>
      </w:pPr>
    </w:p>
    <w:p>
      <w:pPr>
        <w:jc w:val="center"/>
      </w:pPr>
      <w:r>
        <w:drawing>
          <wp:inline xmlns:a="http://schemas.openxmlformats.org/drawingml/2006/main" xmlns:pic="http://schemas.openxmlformats.org/drawingml/2006/picture">
            <wp:extent cx="5212080" cy="371479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212080" cy="3714791"/>
                    </a:xfrm>
                    <a:prstGeom prst="rect"/>
                  </pic:spPr>
                </pic:pic>
              </a:graphicData>
            </a:graphic>
          </wp:inline>
        </w:drawing>
      </w:r>
    </w:p>
    <w:p>
      <w:pPr>
        <w:spacing w:after="100"/>
        <w:jc w:val="center"/>
      </w:pPr>
      <w:r>
        <w:rPr>
          <w:i/>
          <w:color w:val="666666"/>
          <w:sz w:val="17"/>
        </w:rPr>
        <w:t>Figure 1. Distribution of property prices. The distribution is strongly right-skewed, with most observations at lower price levels and a long upper tail.</w:t>
      </w:r>
    </w:p>
    <w:p>
      <w:pPr>
        <w:jc w:val="center"/>
      </w:pPr>
      <w:r>
        <w:drawing>
          <wp:inline xmlns:a="http://schemas.openxmlformats.org/drawingml/2006/main" xmlns:pic="http://schemas.openxmlformats.org/drawingml/2006/picture">
            <wp:extent cx="5212080" cy="3708049"/>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212080" cy="3708049"/>
                    </a:xfrm>
                    <a:prstGeom prst="rect"/>
                  </pic:spPr>
                </pic:pic>
              </a:graphicData>
            </a:graphic>
          </wp:inline>
        </w:drawing>
      </w:r>
    </w:p>
    <w:p>
      <w:pPr>
        <w:spacing w:after="100"/>
        <w:jc w:val="center"/>
      </w:pPr>
      <w:r>
        <w:rPr>
          <w:i/>
          <w:color w:val="666666"/>
          <w:sz w:val="17"/>
        </w:rPr>
        <w:t>Figure 2. Distribution of property area for observations up to 10,000 sq ft. The plotting limit improves readability and does not modify the underlying dataset.</w:t>
      </w:r>
    </w:p>
    <w:p>
      <w:pPr>
        <w:spacing w:before="20" w:after="100"/>
      </w:pPr>
      <w:r>
        <w:rPr>
          <w:b/>
          <w:color w:val="2F5597"/>
          <w:sz w:val="24"/>
        </w:rPr>
        <w:t>4.2 EDA Interpretation</w:t>
      </w:r>
    </w:p>
    <w:p>
      <w:pPr>
        <w:pStyle w:val="ListBullet"/>
        <w:spacing w:after="40"/>
        <w:ind w:left="317" w:hanging="173"/>
      </w:pPr>
      <w:r>
        <w:rPr>
          <w:color w:val="222222"/>
          <w:sz w:val="18"/>
        </w:rPr>
        <w:t>Property price is strongly right-skewed; a relatively small number of expensive properties extend the upper tail.</w:t>
      </w:r>
    </w:p>
    <w:p>
      <w:pPr>
        <w:pStyle w:val="ListBullet"/>
        <w:spacing w:after="40"/>
        <w:ind w:left="317" w:hanging="173"/>
      </w:pPr>
      <w:r>
        <w:rPr>
          <w:color w:val="222222"/>
          <w:sz w:val="18"/>
        </w:rPr>
        <w:t>Area is also highly skewed because the dataset contains very large properties and plots.</w:t>
      </w:r>
    </w:p>
    <w:p>
      <w:pPr>
        <w:pStyle w:val="ListBullet"/>
        <w:spacing w:after="40"/>
        <w:ind w:left="317" w:hanging="173"/>
      </w:pPr>
      <w:r>
        <w:rPr>
          <w:color w:val="222222"/>
          <w:sz w:val="18"/>
        </w:rPr>
        <w:t>Common residential configurations are concentrated around 2–4 BHK, while unusual high BHK values require contextual interpretation.</w:t>
      </w:r>
    </w:p>
    <w:p>
      <w:pPr>
        <w:pStyle w:val="ListBullet"/>
        <w:spacing w:after="40"/>
        <w:ind w:left="317" w:hanging="173"/>
      </w:pPr>
      <w:r>
        <w:rPr>
          <w:color w:val="222222"/>
          <w:sz w:val="18"/>
        </w:rPr>
        <w:t>The EDA indicates that robust target treatment and careful model evaluation are important for price prediction.</w:t>
      </w:r>
    </w:p>
    <w:p>
      <w:pPr>
        <w:spacing w:before="40" w:after="100"/>
      </w:pPr>
      <w:r>
        <w:rPr>
          <w:b/>
          <w:color w:val="17365D"/>
          <w:sz w:val="34"/>
        </w:rPr>
        <w:t>5. Relationships, Categories and Anomalies</w:t>
      </w:r>
    </w:p>
    <w:p>
      <w:pPr>
        <w:spacing w:before="20" w:after="100"/>
      </w:pPr>
      <w:r>
        <w:rPr>
          <w:b/>
          <w:color w:val="2F5597"/>
          <w:sz w:val="24"/>
        </w:rPr>
        <w:t>5.1 Categorical Structure</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5141"/>
        <w:gridCol w:w="5141"/>
      </w:tblGrid>
      <w:tr>
        <w:tc>
          <w:tcPr>
            <w:tcW w:type="dxa" w:w="5141"/>
            <w:vAlign w:val="center"/>
            <w:shd w:fill="17365D"/>
          </w:tcPr>
          <w:p>
            <w:pPr>
              <w:spacing w:after="0"/>
            </w:pPr>
            <w:r/>
            <w:r>
              <w:rPr>
                <w:b/>
                <w:color w:val="FFFFFF"/>
                <w:sz w:val="18"/>
              </w:rPr>
              <w:t>Field</w:t>
            </w:r>
          </w:p>
        </w:tc>
        <w:tc>
          <w:tcPr>
            <w:tcW w:type="dxa" w:w="5141"/>
            <w:vAlign w:val="center"/>
            <w:shd w:fill="17365D"/>
          </w:tcPr>
          <w:p>
            <w:pPr>
              <w:spacing w:after="0"/>
            </w:pPr>
            <w:r/>
            <w:r>
              <w:rPr>
                <w:b/>
                <w:color w:val="FFFFFF"/>
                <w:sz w:val="18"/>
              </w:rPr>
              <w:t>Key Observation</w:t>
            </w:r>
          </w:p>
        </w:tc>
      </w:tr>
      <w:tr>
        <w:tc>
          <w:tcPr>
            <w:tcW w:type="dxa" w:w="5141"/>
            <w:vAlign w:val="center"/>
            <w:shd w:fill="F7F9FC"/>
          </w:tcPr>
          <w:p>
            <w:pPr>
              <w:spacing w:after="0"/>
            </w:pPr>
            <w:r/>
            <w:r>
              <w:rPr>
                <w:b w:val="0"/>
                <w:color w:val="222222"/>
                <w:sz w:val="18"/>
              </w:rPr>
              <w:t>Status</w:t>
            </w:r>
          </w:p>
        </w:tc>
        <w:tc>
          <w:tcPr>
            <w:tcW w:type="dxa" w:w="5141"/>
            <w:vAlign w:val="center"/>
            <w:shd w:fill="F7F9FC"/>
          </w:tcPr>
          <w:p>
            <w:pPr>
              <w:spacing w:after="0"/>
            </w:pPr>
            <w:r/>
            <w:r>
              <w:rPr>
                <w:b w:val="0"/>
                <w:color w:val="222222"/>
                <w:sz w:val="18"/>
              </w:rPr>
              <w:t>Ready to move: 7,823; under construction: 5,269; new: 834; resale: 297</w:t>
            </w:r>
          </w:p>
        </w:tc>
      </w:tr>
      <w:tr>
        <w:tc>
          <w:tcPr>
            <w:tcW w:type="dxa" w:w="5141"/>
            <w:vAlign w:val="center"/>
            <w:shd w:fill="FFFFFF"/>
          </w:tcPr>
          <w:p>
            <w:pPr>
              <w:spacing w:after="0"/>
            </w:pPr>
            <w:r/>
            <w:r>
              <w:rPr>
                <w:b w:val="0"/>
                <w:color w:val="222222"/>
                <w:sz w:val="18"/>
              </w:rPr>
              <w:t>Flat type</w:t>
            </w:r>
          </w:p>
        </w:tc>
        <w:tc>
          <w:tcPr>
            <w:tcW w:type="dxa" w:w="5141"/>
            <w:vAlign w:val="center"/>
            <w:shd w:fill="FFFFFF"/>
          </w:tcPr>
          <w:p>
            <w:pPr>
              <w:spacing w:after="0"/>
            </w:pPr>
            <w:r/>
            <w:r>
              <w:rPr>
                <w:b w:val="0"/>
                <w:color w:val="222222"/>
                <w:sz w:val="18"/>
              </w:rPr>
              <w:t>Apartment: 10,894; Plot: 2,166; Floor: 881; Villa: 205; House: 45; Penthouse: 32</w:t>
            </w:r>
          </w:p>
        </w:tc>
      </w:tr>
      <w:tr>
        <w:tc>
          <w:tcPr>
            <w:tcW w:type="dxa" w:w="5141"/>
            <w:vAlign w:val="center"/>
            <w:shd w:fill="F7F9FC"/>
          </w:tcPr>
          <w:p>
            <w:pPr>
              <w:spacing w:after="0"/>
            </w:pPr>
            <w:r/>
            <w:r>
              <w:rPr>
                <w:b w:val="0"/>
                <w:color w:val="222222"/>
                <w:sz w:val="18"/>
              </w:rPr>
              <w:t>RERA</w:t>
            </w:r>
          </w:p>
        </w:tc>
        <w:tc>
          <w:tcPr>
            <w:tcW w:type="dxa" w:w="5141"/>
            <w:vAlign w:val="center"/>
            <w:shd w:fill="F7F9FC"/>
          </w:tcPr>
          <w:p>
            <w:pPr>
              <w:spacing w:after="0"/>
            </w:pPr>
            <w:r/>
            <w:r>
              <w:rPr>
                <w:b w:val="0"/>
                <w:color w:val="222222"/>
                <w:sz w:val="18"/>
              </w:rPr>
              <w:t>False: 8,774; True: 5,449</w:t>
            </w:r>
          </w:p>
        </w:tc>
      </w:tr>
      <w:tr>
        <w:tc>
          <w:tcPr>
            <w:tcW w:type="dxa" w:w="5141"/>
            <w:vAlign w:val="center"/>
            <w:shd w:fill="FFFFFF"/>
          </w:tcPr>
          <w:p>
            <w:pPr>
              <w:spacing w:after="0"/>
            </w:pPr>
            <w:r/>
            <w:r>
              <w:rPr>
                <w:b w:val="0"/>
                <w:color w:val="222222"/>
                <w:sz w:val="18"/>
              </w:rPr>
              <w:t>Company concentration</w:t>
            </w:r>
          </w:p>
        </w:tc>
        <w:tc>
          <w:tcPr>
            <w:tcW w:type="dxa" w:w="5141"/>
            <w:vAlign w:val="center"/>
            <w:shd w:fill="FFFFFF"/>
          </w:tcPr>
          <w:p>
            <w:pPr>
              <w:spacing w:after="0"/>
            </w:pPr>
            <w:r/>
            <w:r>
              <w:rPr>
                <w:b w:val="0"/>
                <w:color w:val="222222"/>
                <w:sz w:val="18"/>
              </w:rPr>
              <w:t>M3M is the most frequent company category in the supplied EDA</w:t>
            </w:r>
          </w:p>
        </w:tc>
      </w:tr>
    </w:tbl>
    <w:p>
      <w:pPr>
        <w:spacing w:after="20"/>
      </w:pPr>
    </w:p>
    <w:p>
      <w:pPr>
        <w:jc w:val="center"/>
      </w:pPr>
      <w:r>
        <w:drawing>
          <wp:inline xmlns:a="http://schemas.openxmlformats.org/drawingml/2006/main" xmlns:pic="http://schemas.openxmlformats.org/drawingml/2006/picture">
            <wp:extent cx="4846320" cy="3927340"/>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4846320" cy="3927340"/>
                    </a:xfrm>
                    <a:prstGeom prst="rect"/>
                  </pic:spPr>
                </pic:pic>
              </a:graphicData>
            </a:graphic>
          </wp:inline>
        </w:drawing>
      </w:r>
    </w:p>
    <w:p>
      <w:pPr>
        <w:spacing w:after="100"/>
        <w:jc w:val="center"/>
      </w:pPr>
      <w:r>
        <w:rPr>
          <w:i/>
          <w:color w:val="666666"/>
          <w:sz w:val="17"/>
        </w:rPr>
        <w:t>Figure 3. Distribution of flat type. Apartments dominate the inventory, followed by plots and floors.</w:t>
      </w:r>
    </w:p>
    <w:p>
      <w:pPr>
        <w:spacing w:before="20" w:after="100"/>
      </w:pPr>
      <w:r>
        <w:rPr>
          <w:b/>
          <w:color w:val="2F5597"/>
          <w:sz w:val="24"/>
        </w:rPr>
        <w:t>5.2 Correlation Analysis</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3427"/>
        <w:gridCol w:w="3427"/>
        <w:gridCol w:w="3427"/>
      </w:tblGrid>
      <w:tr>
        <w:tc>
          <w:tcPr>
            <w:tcW w:type="dxa" w:w="3427"/>
            <w:vAlign w:val="center"/>
            <w:shd w:fill="17365D"/>
          </w:tcPr>
          <w:p>
            <w:pPr>
              <w:spacing w:after="0"/>
            </w:pPr>
            <w:r/>
            <w:r>
              <w:rPr>
                <w:b/>
                <w:color w:val="FFFFFF"/>
                <w:sz w:val="18"/>
              </w:rPr>
              <w:t>Relationship</w:t>
            </w:r>
          </w:p>
        </w:tc>
        <w:tc>
          <w:tcPr>
            <w:tcW w:type="dxa" w:w="3427"/>
            <w:vAlign w:val="center"/>
            <w:shd w:fill="17365D"/>
          </w:tcPr>
          <w:p>
            <w:pPr>
              <w:spacing w:after="0"/>
            </w:pPr>
            <w:r/>
            <w:r>
              <w:rPr>
                <w:b/>
                <w:color w:val="FFFFFF"/>
                <w:sz w:val="18"/>
              </w:rPr>
              <w:t>Pearson r</w:t>
            </w:r>
          </w:p>
        </w:tc>
        <w:tc>
          <w:tcPr>
            <w:tcW w:type="dxa" w:w="3427"/>
            <w:vAlign w:val="center"/>
            <w:shd w:fill="17365D"/>
          </w:tcPr>
          <w:p>
            <w:pPr>
              <w:spacing w:after="0"/>
            </w:pPr>
            <w:r/>
            <w:r>
              <w:rPr>
                <w:b/>
                <w:color w:val="FFFFFF"/>
                <w:sz w:val="18"/>
              </w:rPr>
              <w:t>Interpretation</w:t>
            </w:r>
          </w:p>
        </w:tc>
      </w:tr>
      <w:tr>
        <w:tc>
          <w:tcPr>
            <w:tcW w:type="dxa" w:w="3427"/>
            <w:vAlign w:val="center"/>
            <w:shd w:fill="F7F9FC"/>
          </w:tcPr>
          <w:p>
            <w:pPr>
              <w:spacing w:after="0"/>
            </w:pPr>
            <w:r/>
            <w:r>
              <w:rPr>
                <w:b w:val="0"/>
                <w:color w:val="222222"/>
                <w:sz w:val="18"/>
              </w:rPr>
              <w:t>Price vs Area</w:t>
            </w:r>
          </w:p>
        </w:tc>
        <w:tc>
          <w:tcPr>
            <w:tcW w:type="dxa" w:w="3427"/>
            <w:vAlign w:val="center"/>
            <w:shd w:fill="F7F9FC"/>
          </w:tcPr>
          <w:p>
            <w:pPr>
              <w:spacing w:after="0"/>
            </w:pPr>
            <w:r/>
            <w:r>
              <w:rPr>
                <w:b w:val="0"/>
                <w:color w:val="222222"/>
                <w:sz w:val="18"/>
              </w:rPr>
              <w:t>0.1974</w:t>
            </w:r>
          </w:p>
        </w:tc>
        <w:tc>
          <w:tcPr>
            <w:tcW w:type="dxa" w:w="3427"/>
            <w:vAlign w:val="center"/>
            <w:shd w:fill="F7F9FC"/>
          </w:tcPr>
          <w:p>
            <w:pPr>
              <w:spacing w:after="0"/>
            </w:pPr>
            <w:r/>
            <w:r>
              <w:rPr>
                <w:b w:val="0"/>
                <w:color w:val="222222"/>
                <w:sz w:val="18"/>
              </w:rPr>
              <w:t>Weak positive linear association</w:t>
            </w:r>
          </w:p>
        </w:tc>
      </w:tr>
      <w:tr>
        <w:tc>
          <w:tcPr>
            <w:tcW w:type="dxa" w:w="3427"/>
            <w:vAlign w:val="center"/>
            <w:shd w:fill="FFFFFF"/>
          </w:tcPr>
          <w:p>
            <w:pPr>
              <w:spacing w:after="0"/>
            </w:pPr>
            <w:r/>
            <w:r>
              <w:rPr>
                <w:b w:val="0"/>
                <w:color w:val="222222"/>
                <w:sz w:val="18"/>
              </w:rPr>
              <w:t>Price vs Rate per sqft</w:t>
            </w:r>
          </w:p>
        </w:tc>
        <w:tc>
          <w:tcPr>
            <w:tcW w:type="dxa" w:w="3427"/>
            <w:vAlign w:val="center"/>
            <w:shd w:fill="FFFFFF"/>
          </w:tcPr>
          <w:p>
            <w:pPr>
              <w:spacing w:after="0"/>
            </w:pPr>
            <w:r/>
            <w:r>
              <w:rPr>
                <w:b w:val="0"/>
                <w:color w:val="222222"/>
                <w:sz w:val="18"/>
              </w:rPr>
              <w:t>0.6153</w:t>
            </w:r>
          </w:p>
        </w:tc>
        <w:tc>
          <w:tcPr>
            <w:tcW w:type="dxa" w:w="3427"/>
            <w:vAlign w:val="center"/>
            <w:shd w:fill="FFFFFF"/>
          </w:tcPr>
          <w:p>
            <w:pPr>
              <w:spacing w:after="0"/>
            </w:pPr>
            <w:r/>
            <w:r>
              <w:rPr>
                <w:b w:val="0"/>
                <w:color w:val="222222"/>
                <w:sz w:val="18"/>
              </w:rPr>
              <w:t>Strongest simple linear association with price</w:t>
            </w:r>
          </w:p>
        </w:tc>
      </w:tr>
      <w:tr>
        <w:tc>
          <w:tcPr>
            <w:tcW w:type="dxa" w:w="3427"/>
            <w:vAlign w:val="center"/>
            <w:shd w:fill="F7F9FC"/>
          </w:tcPr>
          <w:p>
            <w:pPr>
              <w:spacing w:after="0"/>
            </w:pPr>
            <w:r/>
            <w:r>
              <w:rPr>
                <w:b w:val="0"/>
                <w:color w:val="222222"/>
                <w:sz w:val="18"/>
              </w:rPr>
              <w:t>Price vs BHK Count</w:t>
            </w:r>
          </w:p>
        </w:tc>
        <w:tc>
          <w:tcPr>
            <w:tcW w:type="dxa" w:w="3427"/>
            <w:vAlign w:val="center"/>
            <w:shd w:fill="F7F9FC"/>
          </w:tcPr>
          <w:p>
            <w:pPr>
              <w:spacing w:after="0"/>
            </w:pPr>
            <w:r/>
            <w:r>
              <w:rPr>
                <w:b w:val="0"/>
                <w:color w:val="222222"/>
                <w:sz w:val="18"/>
              </w:rPr>
              <w:t>0.0581</w:t>
            </w:r>
          </w:p>
        </w:tc>
        <w:tc>
          <w:tcPr>
            <w:tcW w:type="dxa" w:w="3427"/>
            <w:vAlign w:val="center"/>
            <w:shd w:fill="F7F9FC"/>
          </w:tcPr>
          <w:p>
            <w:pPr>
              <w:spacing w:after="0"/>
            </w:pPr>
            <w:r/>
            <w:r>
              <w:rPr>
                <w:b w:val="0"/>
                <w:color w:val="222222"/>
                <w:sz w:val="18"/>
              </w:rPr>
              <w:t>Very weak linear association</w:t>
            </w:r>
          </w:p>
        </w:tc>
      </w:tr>
    </w:tbl>
    <w:p>
      <w:pPr>
        <w:spacing w:after="20"/>
      </w:pPr>
    </w:p>
    <w:p>
      <w:pPr>
        <w:jc w:val="center"/>
      </w:pPr>
      <w:r>
        <w:drawing>
          <wp:inline xmlns:a="http://schemas.openxmlformats.org/drawingml/2006/main" xmlns:pic="http://schemas.openxmlformats.org/drawingml/2006/picture">
            <wp:extent cx="4480560" cy="3566926"/>
            <wp:docPr id="4" name="Picture 4"/>
            <wp:cNvGraphicFramePr>
              <a:graphicFrameLocks noChangeAspect="1"/>
            </wp:cNvGraphicFramePr>
            <a:graphic>
              <a:graphicData uri="http://schemas.openxmlformats.org/drawingml/2006/picture">
                <pic:pic>
                  <pic:nvPicPr>
                    <pic:cNvPr id="0" name="image11.png"/>
                    <pic:cNvPicPr/>
                  </pic:nvPicPr>
                  <pic:blipFill>
                    <a:blip r:embed="rId14"/>
                    <a:stretch>
                      <a:fillRect/>
                    </a:stretch>
                  </pic:blipFill>
                  <pic:spPr>
                    <a:xfrm>
                      <a:off x="0" y="0"/>
                      <a:ext cx="4480560" cy="3566926"/>
                    </a:xfrm>
                    <a:prstGeom prst="rect"/>
                  </pic:spPr>
                </pic:pic>
              </a:graphicData>
            </a:graphic>
          </wp:inline>
        </w:drawing>
      </w:r>
    </w:p>
    <w:p>
      <w:pPr>
        <w:spacing w:after="100"/>
        <w:jc w:val="center"/>
      </w:pPr>
      <w:r>
        <w:rPr>
          <w:i/>
          <w:color w:val="666666"/>
          <w:sz w:val="17"/>
        </w:rPr>
        <w:t>Figure 4. Correlation matrix of the four key numerical variables.</w:t>
      </w:r>
    </w:p>
    <w:p>
      <w:pPr>
        <w:spacing w:before="20" w:after="100"/>
      </w:pPr>
      <w:r>
        <w:rPr>
          <w:b/>
          <w:color w:val="2F5597"/>
          <w:sz w:val="24"/>
        </w:rPr>
        <w:t>5.3 Outlier and Anomaly Analysis</w:t>
      </w:r>
    </w:p>
    <w:p>
      <w:pPr>
        <w:spacing w:after="100" w:line="259" w:lineRule="auto"/>
      </w:pPr>
      <w:r>
        <w:rPr>
          <w:color w:val="222222"/>
          <w:sz w:val="19"/>
        </w:rPr>
        <w:t>The IQR analysis identified substantial upper-tail observations in price, area and rate per square foot. Approximately 6.8% of prices, 6.7% of areas and 3.3% of rate_per_sqft observations were beyond the corresponding IQR fences. These were treated as statistical outliers rather than automatically invalid records.</w:t>
      </w:r>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Important modeling decision: </w:t>
            </w:r>
            <w:r>
              <w:rPr>
                <w:color w:val="222222"/>
                <w:sz w:val="18"/>
              </w:rPr>
              <w:t>rate_per_sqft is useful for EDA and clustering, but it was excluded from the Week 4 supervised model and Week 5 neural network because it is derived from price and area and could expose target-derived information to a price-prediction model.</w:t>
            </w:r>
          </w:p>
        </w:tc>
      </w:tr>
    </w:tbl>
    <w:p>
      <w:pPr>
        <w:spacing w:after="20"/>
      </w:pPr>
    </w:p>
    <w:p>
      <w:pPr>
        <w:spacing w:before="40" w:after="100"/>
      </w:pPr>
      <w:r>
        <w:rPr>
          <w:b/>
          <w:color w:val="17365D"/>
          <w:sz w:val="34"/>
        </w:rPr>
        <w:t>6. Unsupervised Learning: Property Segmentation</w:t>
      </w:r>
    </w:p>
    <w:p>
      <w:pPr>
        <w:spacing w:after="100" w:line="259" w:lineRule="auto"/>
      </w:pPr>
      <w:r>
        <w:rPr>
          <w:color w:val="222222"/>
          <w:sz w:val="19"/>
        </w:rPr>
        <w:t>The unsupervised phase aimed to identify groups of properties without using a predefined target label. The final clustering matrix contained eight features: price, area, rate_per_sqft, bhk_count, rera_approval, and three one-hot status indicators. High-cardinality fields were excluded to avoid an excessively large and difficult-to-interpret feature space. Flat type was kept out of the clustering matrix because an earlier attempt showed that it could dominate the segmentation.</w:t>
      </w:r>
    </w:p>
    <w:p>
      <w:pPr>
        <w:spacing w:before="20" w:after="100"/>
      </w:pPr>
      <w:r>
        <w:rPr>
          <w:b/>
          <w:color w:val="2F5597"/>
          <w:sz w:val="24"/>
        </w:rPr>
        <w:t>6.1 Preprocessing for Clustering</w:t>
      </w:r>
    </w:p>
    <w:p>
      <w:pPr>
        <w:pStyle w:val="ListBullet"/>
        <w:spacing w:after="40"/>
        <w:ind w:left="317" w:hanging="173"/>
      </w:pPr>
      <w:r>
        <w:rPr>
          <w:color w:val="222222"/>
          <w:sz w:val="18"/>
        </w:rPr>
        <w:t>Converted RERA approval to integer 0/1.</w:t>
      </w:r>
    </w:p>
    <w:p>
      <w:pPr>
        <w:pStyle w:val="ListBullet"/>
        <w:spacing w:after="40"/>
        <w:ind w:left="317" w:hanging="173"/>
      </w:pPr>
      <w:r>
        <w:rPr>
          <w:color w:val="222222"/>
          <w:sz w:val="18"/>
        </w:rPr>
        <w:t>One-hot encoded property status using drop_first=True.</w:t>
      </w:r>
    </w:p>
    <w:p>
      <w:pPr>
        <w:pStyle w:val="ListBullet"/>
        <w:spacing w:after="40"/>
        <w:ind w:left="317" w:hanging="173"/>
      </w:pPr>
      <w:r>
        <w:rPr>
          <w:color w:val="222222"/>
          <w:sz w:val="18"/>
        </w:rPr>
        <w:t>Applied log1p transformation to price, area and rate_per_sqft to reduce the influence of extreme magnitudes.</w:t>
      </w:r>
    </w:p>
    <w:p>
      <w:pPr>
        <w:pStyle w:val="ListBullet"/>
        <w:spacing w:after="40"/>
        <w:ind w:left="317" w:hanging="173"/>
      </w:pPr>
      <w:r>
        <w:rPr>
          <w:color w:val="222222"/>
          <w:sz w:val="18"/>
        </w:rPr>
        <w:t>Standardized all eight clustering features with StandardScaler.</w:t>
      </w:r>
    </w:p>
    <w:p>
      <w:pPr>
        <w:pStyle w:val="ListBullet"/>
        <w:spacing w:after="40"/>
        <w:ind w:left="317" w:hanging="173"/>
      </w:pPr>
      <w:r>
        <w:rPr>
          <w:color w:val="222222"/>
          <w:sz w:val="18"/>
        </w:rPr>
        <w:t>Evaluated K values from 2 through 10 using the Elbow Method and Silhouette Score.</w:t>
      </w:r>
    </w:p>
    <w:p>
      <w:pPr>
        <w:jc w:val="center"/>
      </w:pPr>
      <w:r>
        <w:drawing>
          <wp:inline xmlns:a="http://schemas.openxmlformats.org/drawingml/2006/main" xmlns:pic="http://schemas.openxmlformats.org/drawingml/2006/picture">
            <wp:extent cx="4297680" cy="2840839"/>
            <wp:docPr id="5" name="Picture 5"/>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4297680" cy="2840839"/>
                    </a:xfrm>
                    <a:prstGeom prst="rect"/>
                  </pic:spPr>
                </pic:pic>
              </a:graphicData>
            </a:graphic>
          </wp:inline>
        </w:drawing>
      </w:r>
    </w:p>
    <w:p>
      <w:pPr>
        <w:spacing w:after="100"/>
        <w:jc w:val="center"/>
      </w:pPr>
      <w:r>
        <w:rPr>
          <w:i/>
          <w:color w:val="666666"/>
          <w:sz w:val="17"/>
        </w:rPr>
        <w:t>Figure 5. Elbow Method for selecting a suitable number of clusters.</w:t>
      </w:r>
    </w:p>
    <w:p>
      <w:pPr>
        <w:jc w:val="center"/>
      </w:pPr>
      <w:r>
        <w:drawing>
          <wp:inline xmlns:a="http://schemas.openxmlformats.org/drawingml/2006/main" xmlns:pic="http://schemas.openxmlformats.org/drawingml/2006/picture">
            <wp:extent cx="4297680" cy="2840839"/>
            <wp:docPr id="6" name="Picture 6"/>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4297680" cy="2840839"/>
                    </a:xfrm>
                    <a:prstGeom prst="rect"/>
                  </pic:spPr>
                </pic:pic>
              </a:graphicData>
            </a:graphic>
          </wp:inline>
        </w:drawing>
      </w:r>
    </w:p>
    <w:p>
      <w:pPr>
        <w:spacing w:after="100"/>
        <w:jc w:val="center"/>
      </w:pPr>
      <w:r>
        <w:rPr>
          <w:i/>
          <w:color w:val="666666"/>
          <w:sz w:val="17"/>
        </w:rPr>
        <w:t>Figure 6. Silhouette scores for K = 2 through 10. K = 4 gives the highest score of 0.5009.</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5141"/>
        <w:gridCol w:w="5141"/>
      </w:tblGrid>
      <w:tr>
        <w:tc>
          <w:tcPr>
            <w:tcW w:type="dxa" w:w="5141"/>
            <w:vAlign w:val="center"/>
            <w:shd w:fill="17365D"/>
          </w:tcPr>
          <w:p>
            <w:pPr>
              <w:spacing w:after="0"/>
            </w:pPr>
            <w:r/>
            <w:r>
              <w:rPr>
                <w:b/>
                <w:color w:val="FFFFFF"/>
                <w:sz w:val="16"/>
              </w:rPr>
              <w:t>K</w:t>
            </w:r>
          </w:p>
        </w:tc>
        <w:tc>
          <w:tcPr>
            <w:tcW w:type="dxa" w:w="5141"/>
            <w:vAlign w:val="center"/>
            <w:shd w:fill="17365D"/>
          </w:tcPr>
          <w:p>
            <w:pPr>
              <w:spacing w:after="0"/>
            </w:pPr>
            <w:r/>
            <w:r>
              <w:rPr>
                <w:b/>
                <w:color w:val="FFFFFF"/>
                <w:sz w:val="16"/>
              </w:rPr>
              <w:t>Silhouette</w:t>
            </w:r>
          </w:p>
        </w:tc>
      </w:tr>
      <w:tr>
        <w:tc>
          <w:tcPr>
            <w:tcW w:type="dxa" w:w="5141"/>
            <w:vAlign w:val="center"/>
            <w:shd w:fill="F7F9FC"/>
          </w:tcPr>
          <w:p>
            <w:pPr>
              <w:spacing w:after="0"/>
            </w:pPr>
            <w:r/>
            <w:r>
              <w:rPr>
                <w:b w:val="0"/>
                <w:color w:val="222222"/>
                <w:sz w:val="16"/>
              </w:rPr>
              <w:t>2</w:t>
            </w:r>
          </w:p>
        </w:tc>
        <w:tc>
          <w:tcPr>
            <w:tcW w:type="dxa" w:w="5141"/>
            <w:vAlign w:val="center"/>
            <w:shd w:fill="F7F9FC"/>
          </w:tcPr>
          <w:p>
            <w:pPr>
              <w:spacing w:after="0"/>
            </w:pPr>
            <w:r/>
            <w:r>
              <w:rPr>
                <w:b w:val="0"/>
                <w:color w:val="222222"/>
                <w:sz w:val="16"/>
              </w:rPr>
              <w:t>0.4588</w:t>
            </w:r>
          </w:p>
        </w:tc>
      </w:tr>
      <w:tr>
        <w:tc>
          <w:tcPr>
            <w:tcW w:type="dxa" w:w="5141"/>
            <w:vAlign w:val="center"/>
            <w:shd w:fill="FFFFFF"/>
          </w:tcPr>
          <w:p>
            <w:pPr>
              <w:spacing w:after="0"/>
            </w:pPr>
            <w:r/>
            <w:r>
              <w:rPr>
                <w:b w:val="0"/>
                <w:color w:val="222222"/>
                <w:sz w:val="16"/>
              </w:rPr>
              <w:t>3</w:t>
            </w:r>
          </w:p>
        </w:tc>
        <w:tc>
          <w:tcPr>
            <w:tcW w:type="dxa" w:w="5141"/>
            <w:vAlign w:val="center"/>
            <w:shd w:fill="FFFFFF"/>
          </w:tcPr>
          <w:p>
            <w:pPr>
              <w:spacing w:after="0"/>
            </w:pPr>
            <w:r/>
            <w:r>
              <w:rPr>
                <w:b w:val="0"/>
                <w:color w:val="222222"/>
                <w:sz w:val="16"/>
              </w:rPr>
              <w:t>0.4917</w:t>
            </w:r>
          </w:p>
        </w:tc>
      </w:tr>
      <w:tr>
        <w:tc>
          <w:tcPr>
            <w:tcW w:type="dxa" w:w="5141"/>
            <w:vAlign w:val="center"/>
            <w:shd w:fill="F7F9FC"/>
          </w:tcPr>
          <w:p>
            <w:pPr>
              <w:spacing w:after="0"/>
            </w:pPr>
            <w:r/>
            <w:r>
              <w:rPr>
                <w:b w:val="0"/>
                <w:color w:val="222222"/>
                <w:sz w:val="16"/>
              </w:rPr>
              <w:t>4</w:t>
            </w:r>
          </w:p>
        </w:tc>
        <w:tc>
          <w:tcPr>
            <w:tcW w:type="dxa" w:w="5141"/>
            <w:vAlign w:val="center"/>
            <w:shd w:fill="F7F9FC"/>
          </w:tcPr>
          <w:p>
            <w:pPr>
              <w:spacing w:after="0"/>
            </w:pPr>
            <w:r/>
            <w:r>
              <w:rPr>
                <w:b w:val="0"/>
                <w:color w:val="222222"/>
                <w:sz w:val="16"/>
              </w:rPr>
              <w:t>0.5009</w:t>
            </w:r>
          </w:p>
        </w:tc>
      </w:tr>
      <w:tr>
        <w:tc>
          <w:tcPr>
            <w:tcW w:type="dxa" w:w="5141"/>
            <w:vAlign w:val="center"/>
            <w:shd w:fill="FFFFFF"/>
          </w:tcPr>
          <w:p>
            <w:pPr>
              <w:spacing w:after="0"/>
            </w:pPr>
            <w:r/>
            <w:r>
              <w:rPr>
                <w:b w:val="0"/>
                <w:color w:val="222222"/>
                <w:sz w:val="16"/>
              </w:rPr>
              <w:t>5</w:t>
            </w:r>
          </w:p>
        </w:tc>
        <w:tc>
          <w:tcPr>
            <w:tcW w:type="dxa" w:w="5141"/>
            <w:vAlign w:val="center"/>
            <w:shd w:fill="FFFFFF"/>
          </w:tcPr>
          <w:p>
            <w:pPr>
              <w:spacing w:after="0"/>
            </w:pPr>
            <w:r/>
            <w:r>
              <w:rPr>
                <w:b w:val="0"/>
                <w:color w:val="222222"/>
                <w:sz w:val="16"/>
              </w:rPr>
              <w:t>0.4735</w:t>
            </w:r>
          </w:p>
        </w:tc>
      </w:tr>
      <w:tr>
        <w:tc>
          <w:tcPr>
            <w:tcW w:type="dxa" w:w="5141"/>
            <w:vAlign w:val="center"/>
            <w:shd w:fill="F7F9FC"/>
          </w:tcPr>
          <w:p>
            <w:pPr>
              <w:spacing w:after="0"/>
            </w:pPr>
            <w:r/>
            <w:r>
              <w:rPr>
                <w:b w:val="0"/>
                <w:color w:val="222222"/>
                <w:sz w:val="16"/>
              </w:rPr>
              <w:t>6</w:t>
            </w:r>
          </w:p>
        </w:tc>
        <w:tc>
          <w:tcPr>
            <w:tcW w:type="dxa" w:w="5141"/>
            <w:vAlign w:val="center"/>
            <w:shd w:fill="F7F9FC"/>
          </w:tcPr>
          <w:p>
            <w:pPr>
              <w:spacing w:after="0"/>
            </w:pPr>
            <w:r/>
            <w:r>
              <w:rPr>
                <w:b w:val="0"/>
                <w:color w:val="222222"/>
                <w:sz w:val="16"/>
              </w:rPr>
              <w:t>0.3972</w:t>
            </w:r>
          </w:p>
        </w:tc>
      </w:tr>
      <w:tr>
        <w:tc>
          <w:tcPr>
            <w:tcW w:type="dxa" w:w="5141"/>
            <w:vAlign w:val="center"/>
            <w:shd w:fill="FFFFFF"/>
          </w:tcPr>
          <w:p>
            <w:pPr>
              <w:spacing w:after="0"/>
            </w:pPr>
            <w:r/>
            <w:r>
              <w:rPr>
                <w:b w:val="0"/>
                <w:color w:val="222222"/>
                <w:sz w:val="16"/>
              </w:rPr>
              <w:t>7</w:t>
            </w:r>
          </w:p>
        </w:tc>
        <w:tc>
          <w:tcPr>
            <w:tcW w:type="dxa" w:w="5141"/>
            <w:vAlign w:val="center"/>
            <w:shd w:fill="FFFFFF"/>
          </w:tcPr>
          <w:p>
            <w:pPr>
              <w:spacing w:after="0"/>
            </w:pPr>
            <w:r/>
            <w:r>
              <w:rPr>
                <w:b w:val="0"/>
                <w:color w:val="222222"/>
                <w:sz w:val="16"/>
              </w:rPr>
              <w:t>0.3782</w:t>
            </w:r>
          </w:p>
        </w:tc>
      </w:tr>
      <w:tr>
        <w:tc>
          <w:tcPr>
            <w:tcW w:type="dxa" w:w="5141"/>
            <w:vAlign w:val="center"/>
            <w:shd w:fill="F7F9FC"/>
          </w:tcPr>
          <w:p>
            <w:pPr>
              <w:spacing w:after="0"/>
            </w:pPr>
            <w:r/>
            <w:r>
              <w:rPr>
                <w:b w:val="0"/>
                <w:color w:val="222222"/>
                <w:sz w:val="16"/>
              </w:rPr>
              <w:t>8</w:t>
            </w:r>
          </w:p>
        </w:tc>
        <w:tc>
          <w:tcPr>
            <w:tcW w:type="dxa" w:w="5141"/>
            <w:vAlign w:val="center"/>
            <w:shd w:fill="F7F9FC"/>
          </w:tcPr>
          <w:p>
            <w:pPr>
              <w:spacing w:after="0"/>
            </w:pPr>
            <w:r/>
            <w:r>
              <w:rPr>
                <w:b w:val="0"/>
                <w:color w:val="222222"/>
                <w:sz w:val="16"/>
              </w:rPr>
              <w:t>0.3532</w:t>
            </w:r>
          </w:p>
        </w:tc>
      </w:tr>
      <w:tr>
        <w:tc>
          <w:tcPr>
            <w:tcW w:type="dxa" w:w="5141"/>
            <w:vAlign w:val="center"/>
            <w:shd w:fill="FFFFFF"/>
          </w:tcPr>
          <w:p>
            <w:pPr>
              <w:spacing w:after="0"/>
            </w:pPr>
            <w:r/>
            <w:r>
              <w:rPr>
                <w:b w:val="0"/>
                <w:color w:val="222222"/>
                <w:sz w:val="16"/>
              </w:rPr>
              <w:t>9</w:t>
            </w:r>
          </w:p>
        </w:tc>
        <w:tc>
          <w:tcPr>
            <w:tcW w:type="dxa" w:w="5141"/>
            <w:vAlign w:val="center"/>
            <w:shd w:fill="FFFFFF"/>
          </w:tcPr>
          <w:p>
            <w:pPr>
              <w:spacing w:after="0"/>
            </w:pPr>
            <w:r/>
            <w:r>
              <w:rPr>
                <w:b w:val="0"/>
                <w:color w:val="222222"/>
                <w:sz w:val="16"/>
              </w:rPr>
              <w:t>0.3401</w:t>
            </w:r>
          </w:p>
        </w:tc>
      </w:tr>
      <w:tr>
        <w:tc>
          <w:tcPr>
            <w:tcW w:type="dxa" w:w="5141"/>
            <w:vAlign w:val="center"/>
            <w:shd w:fill="F7F9FC"/>
          </w:tcPr>
          <w:p>
            <w:pPr>
              <w:spacing w:after="0"/>
            </w:pPr>
            <w:r/>
            <w:r>
              <w:rPr>
                <w:b w:val="0"/>
                <w:color w:val="222222"/>
                <w:sz w:val="16"/>
              </w:rPr>
              <w:t>10</w:t>
            </w:r>
          </w:p>
        </w:tc>
        <w:tc>
          <w:tcPr>
            <w:tcW w:type="dxa" w:w="5141"/>
            <w:vAlign w:val="center"/>
            <w:shd w:fill="F7F9FC"/>
          </w:tcPr>
          <w:p>
            <w:pPr>
              <w:spacing w:after="0"/>
            </w:pPr>
            <w:r/>
            <w:r>
              <w:rPr>
                <w:b w:val="0"/>
                <w:color w:val="222222"/>
                <w:sz w:val="16"/>
              </w:rPr>
              <w:t>0.3512</w:t>
            </w:r>
          </w:p>
        </w:tc>
      </w:tr>
    </w:tbl>
    <w:p>
      <w:pPr>
        <w:spacing w:after="20"/>
      </w:pPr>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Selection: </w:t>
            </w:r>
            <w:r>
              <w:rPr>
                <w:color w:val="222222"/>
                <w:sz w:val="18"/>
              </w:rPr>
              <w:t>K = 4 was selected because it produced the highest Silhouette Score among the tested values, while the Elbow curve also showed diminishing reductions in inertia after the four-cluster region.</w:t>
            </w:r>
          </w:p>
        </w:tc>
      </w:tr>
    </w:tbl>
    <w:p>
      <w:pPr>
        <w:spacing w:after="20"/>
      </w:pPr>
    </w:p>
    <w:p>
      <w:pPr>
        <w:spacing w:before="40" w:after="100"/>
      </w:pPr>
      <w:r>
        <w:rPr>
          <w:b/>
          <w:color w:val="17365D"/>
          <w:sz w:val="34"/>
        </w:rPr>
        <w:t>7. Clustering Evaluation and Segment Profiles</w:t>
      </w:r>
    </w:p>
    <w:p>
      <w:pPr>
        <w:spacing w:before="20" w:after="100"/>
      </w:pPr>
      <w:r>
        <w:rPr>
          <w:b/>
          <w:color w:val="2F5597"/>
          <w:sz w:val="24"/>
        </w:rPr>
        <w:t>7.1 K-Means vs Hierarchical Clustering</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056"/>
        <w:gridCol w:w="2056"/>
        <w:gridCol w:w="2056"/>
        <w:gridCol w:w="2056"/>
        <w:gridCol w:w="2056"/>
      </w:tblGrid>
      <w:tr>
        <w:tc>
          <w:tcPr>
            <w:tcW w:type="dxa" w:w="2056"/>
            <w:vAlign w:val="center"/>
            <w:shd w:fill="17365D"/>
          </w:tcPr>
          <w:p>
            <w:pPr>
              <w:spacing w:after="0"/>
            </w:pPr>
            <w:r/>
            <w:r>
              <w:rPr>
                <w:b/>
                <w:color w:val="FFFFFF"/>
                <w:sz w:val="18"/>
              </w:rPr>
              <w:t>Model</w:t>
            </w:r>
          </w:p>
        </w:tc>
        <w:tc>
          <w:tcPr>
            <w:tcW w:type="dxa" w:w="2056"/>
            <w:vAlign w:val="center"/>
            <w:shd w:fill="17365D"/>
          </w:tcPr>
          <w:p>
            <w:pPr>
              <w:spacing w:after="0"/>
            </w:pPr>
            <w:r/>
            <w:r>
              <w:rPr>
                <w:b/>
                <w:color w:val="FFFFFF"/>
                <w:sz w:val="18"/>
              </w:rPr>
              <w:t>Silhouette</w:t>
            </w:r>
          </w:p>
        </w:tc>
        <w:tc>
          <w:tcPr>
            <w:tcW w:type="dxa" w:w="2056"/>
            <w:vAlign w:val="center"/>
            <w:shd w:fill="17365D"/>
          </w:tcPr>
          <w:p>
            <w:pPr>
              <w:spacing w:after="0"/>
            </w:pPr>
            <w:r/>
            <w:r>
              <w:rPr>
                <w:b/>
                <w:color w:val="FFFFFF"/>
                <w:sz w:val="18"/>
              </w:rPr>
              <w:t>Davies-Bouldin</w:t>
            </w:r>
          </w:p>
        </w:tc>
        <w:tc>
          <w:tcPr>
            <w:tcW w:type="dxa" w:w="2056"/>
            <w:vAlign w:val="center"/>
            <w:shd w:fill="17365D"/>
          </w:tcPr>
          <w:p>
            <w:pPr>
              <w:spacing w:after="0"/>
            </w:pPr>
            <w:r/>
            <w:r>
              <w:rPr>
                <w:b/>
                <w:color w:val="FFFFFF"/>
                <w:sz w:val="18"/>
              </w:rPr>
              <w:t>Calinski-Harabasz</w:t>
            </w:r>
          </w:p>
        </w:tc>
        <w:tc>
          <w:tcPr>
            <w:tcW w:type="dxa" w:w="2056"/>
            <w:vAlign w:val="center"/>
            <w:shd w:fill="17365D"/>
          </w:tcPr>
          <w:p>
            <w:pPr>
              <w:spacing w:after="0"/>
            </w:pPr>
            <w:r/>
            <w:r>
              <w:rPr>
                <w:b/>
                <w:color w:val="FFFFFF"/>
                <w:sz w:val="18"/>
              </w:rPr>
              <w:t>Decision</w:t>
            </w:r>
          </w:p>
        </w:tc>
      </w:tr>
      <w:tr>
        <w:tc>
          <w:tcPr>
            <w:tcW w:type="dxa" w:w="2056"/>
            <w:vAlign w:val="center"/>
            <w:shd w:fill="F7F9FC"/>
          </w:tcPr>
          <w:p>
            <w:pPr>
              <w:spacing w:after="0"/>
            </w:pPr>
            <w:r/>
            <w:r>
              <w:rPr>
                <w:b w:val="0"/>
                <w:color w:val="222222"/>
                <w:sz w:val="18"/>
              </w:rPr>
              <w:t>K-Means</w:t>
            </w:r>
          </w:p>
        </w:tc>
        <w:tc>
          <w:tcPr>
            <w:tcW w:type="dxa" w:w="2056"/>
            <w:vAlign w:val="center"/>
            <w:shd w:fill="F7F9FC"/>
          </w:tcPr>
          <w:p>
            <w:pPr>
              <w:spacing w:after="0"/>
            </w:pPr>
            <w:r/>
            <w:r>
              <w:rPr>
                <w:b w:val="0"/>
                <w:color w:val="222222"/>
                <w:sz w:val="18"/>
              </w:rPr>
              <w:t>0.5009</w:t>
            </w:r>
          </w:p>
        </w:tc>
        <w:tc>
          <w:tcPr>
            <w:tcW w:type="dxa" w:w="2056"/>
            <w:vAlign w:val="center"/>
            <w:shd w:fill="F7F9FC"/>
          </w:tcPr>
          <w:p>
            <w:pPr>
              <w:spacing w:after="0"/>
            </w:pPr>
            <w:r/>
            <w:r>
              <w:rPr>
                <w:b w:val="0"/>
                <w:color w:val="222222"/>
                <w:sz w:val="18"/>
              </w:rPr>
              <w:t>0.6154</w:t>
            </w:r>
          </w:p>
        </w:tc>
        <w:tc>
          <w:tcPr>
            <w:tcW w:type="dxa" w:w="2056"/>
            <w:vAlign w:val="center"/>
            <w:shd w:fill="F7F9FC"/>
          </w:tcPr>
          <w:p>
            <w:pPr>
              <w:spacing w:after="0"/>
            </w:pPr>
            <w:r/>
            <w:r>
              <w:rPr>
                <w:b w:val="0"/>
                <w:color w:val="222222"/>
                <w:sz w:val="18"/>
              </w:rPr>
              <w:t>6769.66</w:t>
            </w:r>
          </w:p>
        </w:tc>
        <w:tc>
          <w:tcPr>
            <w:tcW w:type="dxa" w:w="2056"/>
            <w:vAlign w:val="center"/>
            <w:shd w:fill="F7F9FC"/>
          </w:tcPr>
          <w:p>
            <w:pPr>
              <w:spacing w:after="0"/>
            </w:pPr>
            <w:r/>
            <w:r>
              <w:rPr>
                <w:b w:val="0"/>
                <w:color w:val="222222"/>
                <w:sz w:val="18"/>
              </w:rPr>
              <w:t>Selected</w:t>
            </w:r>
          </w:p>
        </w:tc>
      </w:tr>
      <w:tr>
        <w:tc>
          <w:tcPr>
            <w:tcW w:type="dxa" w:w="2056"/>
            <w:vAlign w:val="center"/>
            <w:shd w:fill="FFFFFF"/>
          </w:tcPr>
          <w:p>
            <w:pPr>
              <w:spacing w:after="0"/>
            </w:pPr>
            <w:r/>
            <w:r>
              <w:rPr>
                <w:b w:val="0"/>
                <w:color w:val="222222"/>
                <w:sz w:val="18"/>
              </w:rPr>
              <w:t>Agglomerative Hierarchical</w:t>
            </w:r>
          </w:p>
        </w:tc>
        <w:tc>
          <w:tcPr>
            <w:tcW w:type="dxa" w:w="2056"/>
            <w:vAlign w:val="center"/>
            <w:shd w:fill="FFFFFF"/>
          </w:tcPr>
          <w:p>
            <w:pPr>
              <w:spacing w:after="0"/>
            </w:pPr>
            <w:r/>
            <w:r>
              <w:rPr>
                <w:b w:val="0"/>
                <w:color w:val="222222"/>
                <w:sz w:val="18"/>
              </w:rPr>
              <w:t>0.4889</w:t>
            </w:r>
          </w:p>
        </w:tc>
        <w:tc>
          <w:tcPr>
            <w:tcW w:type="dxa" w:w="2056"/>
            <w:vAlign w:val="center"/>
            <w:shd w:fill="FFFFFF"/>
          </w:tcPr>
          <w:p>
            <w:pPr>
              <w:spacing w:after="0"/>
            </w:pPr>
            <w:r/>
            <w:r>
              <w:rPr>
                <w:b w:val="0"/>
                <w:color w:val="222222"/>
                <w:sz w:val="18"/>
              </w:rPr>
              <w:t>0.6326</w:t>
            </w:r>
          </w:p>
        </w:tc>
        <w:tc>
          <w:tcPr>
            <w:tcW w:type="dxa" w:w="2056"/>
            <w:vAlign w:val="center"/>
            <w:shd w:fill="FFFFFF"/>
          </w:tcPr>
          <w:p>
            <w:pPr>
              <w:spacing w:after="0"/>
            </w:pPr>
            <w:r/>
            <w:r>
              <w:rPr>
                <w:b w:val="0"/>
                <w:color w:val="222222"/>
                <w:sz w:val="18"/>
              </w:rPr>
              <w:t>6530.60</w:t>
            </w:r>
          </w:p>
        </w:tc>
        <w:tc>
          <w:tcPr>
            <w:tcW w:type="dxa" w:w="2056"/>
            <w:vAlign w:val="center"/>
            <w:shd w:fill="FFFFFF"/>
          </w:tcPr>
          <w:p>
            <w:pPr>
              <w:spacing w:after="0"/>
            </w:pPr>
            <w:r/>
            <w:r>
              <w:rPr>
                <w:b w:val="0"/>
                <w:color w:val="222222"/>
                <w:sz w:val="18"/>
              </w:rPr>
              <w:t>Not selected</w:t>
            </w:r>
          </w:p>
        </w:tc>
      </w:tr>
    </w:tbl>
    <w:p>
      <w:pPr>
        <w:spacing w:after="20"/>
      </w:pPr>
    </w:p>
    <w:p>
      <w:pPr>
        <w:spacing w:after="100" w:line="259" w:lineRule="auto"/>
      </w:pPr>
      <w:r>
        <w:rPr>
          <w:color w:val="222222"/>
          <w:sz w:val="19"/>
        </w:rPr>
        <w:t>K-Means outperformed hierarchical clustering on all three selected quality metrics: it had the higher Silhouette Score, lower Davies-Bouldin Index and higher Calinski-Harabasz Score. The four-cluster K-Means solution was therefore retained.</w:t>
      </w:r>
    </w:p>
    <w:p>
      <w:pPr>
        <w:jc w:val="center"/>
      </w:pPr>
      <w:r>
        <w:drawing>
          <wp:inline xmlns:a="http://schemas.openxmlformats.org/drawingml/2006/main" xmlns:pic="http://schemas.openxmlformats.org/drawingml/2006/picture">
            <wp:extent cx="5303520" cy="3578500"/>
            <wp:docPr id="7" name="Picture 7"/>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303520" cy="3578500"/>
                    </a:xfrm>
                    <a:prstGeom prst="rect"/>
                  </pic:spPr>
                </pic:pic>
              </a:graphicData>
            </a:graphic>
          </wp:inline>
        </w:drawing>
      </w:r>
    </w:p>
    <w:p>
      <w:pPr>
        <w:spacing w:after="100"/>
        <w:jc w:val="center"/>
      </w:pPr>
      <w:r>
        <w:rPr>
          <w:i/>
          <w:color w:val="666666"/>
          <w:sz w:val="17"/>
        </w:rPr>
        <w:t>Figure 7. PCA projection of the final K-Means clusters. PCA is used only for visualization; the clustering itself was performed in the standardized eight-dimensional feature space.</w:t>
      </w:r>
    </w:p>
    <w:p>
      <w:pPr>
        <w:spacing w:before="20" w:after="100"/>
      </w:pPr>
      <w:r>
        <w:rPr>
          <w:b/>
          <w:color w:val="2F5597"/>
          <w:sz w:val="24"/>
        </w:rPr>
        <w:t>7.2 Final Cluster Distribution</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570"/>
        <w:gridCol w:w="2570"/>
        <w:gridCol w:w="2570"/>
        <w:gridCol w:w="2570"/>
      </w:tblGrid>
      <w:tr>
        <w:tc>
          <w:tcPr>
            <w:tcW w:type="dxa" w:w="2570"/>
            <w:vAlign w:val="center"/>
            <w:shd w:fill="17365D"/>
          </w:tcPr>
          <w:p>
            <w:pPr>
              <w:spacing w:after="0"/>
            </w:pPr>
            <w:r/>
            <w:r>
              <w:rPr>
                <w:b/>
                <w:color w:val="FFFFFF"/>
                <w:sz w:val="18"/>
              </w:rPr>
              <w:t>Cluster</w:t>
            </w:r>
          </w:p>
        </w:tc>
        <w:tc>
          <w:tcPr>
            <w:tcW w:type="dxa" w:w="2570"/>
            <w:vAlign w:val="center"/>
            <w:shd w:fill="17365D"/>
          </w:tcPr>
          <w:p>
            <w:pPr>
              <w:spacing w:after="0"/>
            </w:pPr>
            <w:r/>
            <w:r>
              <w:rPr>
                <w:b/>
                <w:color w:val="FFFFFF"/>
                <w:sz w:val="18"/>
              </w:rPr>
              <w:t>Records</w:t>
            </w:r>
          </w:p>
        </w:tc>
        <w:tc>
          <w:tcPr>
            <w:tcW w:type="dxa" w:w="2570"/>
            <w:vAlign w:val="center"/>
            <w:shd w:fill="17365D"/>
          </w:tcPr>
          <w:p>
            <w:pPr>
              <w:spacing w:after="0"/>
            </w:pPr>
            <w:r/>
            <w:r>
              <w:rPr>
                <w:b/>
                <w:color w:val="FFFFFF"/>
                <w:sz w:val="18"/>
              </w:rPr>
              <w:t>Share</w:t>
            </w:r>
          </w:p>
        </w:tc>
        <w:tc>
          <w:tcPr>
            <w:tcW w:type="dxa" w:w="2570"/>
            <w:vAlign w:val="center"/>
            <w:shd w:fill="17365D"/>
          </w:tcPr>
          <w:p>
            <w:pPr>
              <w:spacing w:after="0"/>
            </w:pPr>
            <w:r/>
            <w:r>
              <w:rPr>
                <w:b/>
                <w:color w:val="FFFFFF"/>
                <w:sz w:val="18"/>
              </w:rPr>
              <w:t>High-Level Interpretation</w:t>
            </w:r>
          </w:p>
        </w:tc>
      </w:tr>
      <w:tr>
        <w:tc>
          <w:tcPr>
            <w:tcW w:type="dxa" w:w="2570"/>
            <w:vAlign w:val="center"/>
            <w:shd w:fill="F7F9FC"/>
          </w:tcPr>
          <w:p>
            <w:pPr>
              <w:spacing w:after="0"/>
            </w:pPr>
            <w:r/>
            <w:r>
              <w:rPr>
                <w:b w:val="0"/>
                <w:color w:val="222222"/>
                <w:sz w:val="18"/>
              </w:rPr>
              <w:t>0</w:t>
            </w:r>
          </w:p>
        </w:tc>
        <w:tc>
          <w:tcPr>
            <w:tcW w:type="dxa" w:w="2570"/>
            <w:vAlign w:val="center"/>
            <w:shd w:fill="F7F9FC"/>
          </w:tcPr>
          <w:p>
            <w:pPr>
              <w:spacing w:after="0"/>
            </w:pPr>
            <w:r/>
            <w:r>
              <w:rPr>
                <w:b w:val="0"/>
                <w:color w:val="222222"/>
                <w:sz w:val="18"/>
              </w:rPr>
              <w:t>8,302</w:t>
            </w:r>
          </w:p>
        </w:tc>
        <w:tc>
          <w:tcPr>
            <w:tcW w:type="dxa" w:w="2570"/>
            <w:vAlign w:val="center"/>
            <w:shd w:fill="F7F9FC"/>
          </w:tcPr>
          <w:p>
            <w:pPr>
              <w:spacing w:after="0"/>
            </w:pPr>
            <w:r/>
            <w:r>
              <w:rPr>
                <w:b w:val="0"/>
                <w:color w:val="222222"/>
                <w:sz w:val="18"/>
              </w:rPr>
              <w:t>58.37%</w:t>
            </w:r>
          </w:p>
        </w:tc>
        <w:tc>
          <w:tcPr>
            <w:tcW w:type="dxa" w:w="2570"/>
            <w:vAlign w:val="center"/>
            <w:shd w:fill="F7F9FC"/>
          </w:tcPr>
          <w:p>
            <w:pPr>
              <w:spacing w:after="0"/>
            </w:pPr>
            <w:r/>
            <w:r>
              <w:rPr>
                <w:b w:val="0"/>
                <w:color w:val="222222"/>
                <w:sz w:val="18"/>
              </w:rPr>
              <w:t>Ready-to-move mainstream segment</w:t>
            </w:r>
          </w:p>
        </w:tc>
      </w:tr>
      <w:tr>
        <w:tc>
          <w:tcPr>
            <w:tcW w:type="dxa" w:w="2570"/>
            <w:vAlign w:val="center"/>
            <w:shd w:fill="FFFFFF"/>
          </w:tcPr>
          <w:p>
            <w:pPr>
              <w:spacing w:after="0"/>
            </w:pPr>
            <w:r/>
            <w:r>
              <w:rPr>
                <w:b w:val="0"/>
                <w:color w:val="222222"/>
                <w:sz w:val="18"/>
              </w:rPr>
              <w:t>1</w:t>
            </w:r>
          </w:p>
        </w:tc>
        <w:tc>
          <w:tcPr>
            <w:tcW w:type="dxa" w:w="2570"/>
            <w:vAlign w:val="center"/>
            <w:shd w:fill="FFFFFF"/>
          </w:tcPr>
          <w:p>
            <w:pPr>
              <w:spacing w:after="0"/>
            </w:pPr>
            <w:r/>
            <w:r>
              <w:rPr>
                <w:b w:val="0"/>
                <w:color w:val="222222"/>
                <w:sz w:val="18"/>
              </w:rPr>
              <w:t>5,585</w:t>
            </w:r>
          </w:p>
        </w:tc>
        <w:tc>
          <w:tcPr>
            <w:tcW w:type="dxa" w:w="2570"/>
            <w:vAlign w:val="center"/>
            <w:shd w:fill="FFFFFF"/>
          </w:tcPr>
          <w:p>
            <w:pPr>
              <w:spacing w:after="0"/>
            </w:pPr>
            <w:r/>
            <w:r>
              <w:rPr>
                <w:b w:val="0"/>
                <w:color w:val="222222"/>
                <w:sz w:val="18"/>
              </w:rPr>
              <w:t>39.27%</w:t>
            </w:r>
          </w:p>
        </w:tc>
        <w:tc>
          <w:tcPr>
            <w:tcW w:type="dxa" w:w="2570"/>
            <w:vAlign w:val="center"/>
            <w:shd w:fill="FFFFFF"/>
          </w:tcPr>
          <w:p>
            <w:pPr>
              <w:spacing w:after="0"/>
            </w:pPr>
            <w:r/>
            <w:r>
              <w:rPr>
                <w:b w:val="0"/>
                <w:color w:val="222222"/>
                <w:sz w:val="18"/>
              </w:rPr>
              <w:t>RERA-approved under-construction segment</w:t>
            </w:r>
          </w:p>
        </w:tc>
      </w:tr>
      <w:tr>
        <w:tc>
          <w:tcPr>
            <w:tcW w:type="dxa" w:w="2570"/>
            <w:vAlign w:val="center"/>
            <w:shd w:fill="F7F9FC"/>
          </w:tcPr>
          <w:p>
            <w:pPr>
              <w:spacing w:after="0"/>
            </w:pPr>
            <w:r/>
            <w:r>
              <w:rPr>
                <w:b w:val="0"/>
                <w:color w:val="222222"/>
                <w:sz w:val="18"/>
              </w:rPr>
              <w:t>2</w:t>
            </w:r>
          </w:p>
        </w:tc>
        <w:tc>
          <w:tcPr>
            <w:tcW w:type="dxa" w:w="2570"/>
            <w:vAlign w:val="center"/>
            <w:shd w:fill="F7F9FC"/>
          </w:tcPr>
          <w:p>
            <w:pPr>
              <w:spacing w:after="0"/>
            </w:pPr>
            <w:r/>
            <w:r>
              <w:rPr>
                <w:b w:val="0"/>
                <w:color w:val="222222"/>
                <w:sz w:val="18"/>
              </w:rPr>
              <w:t>295</w:t>
            </w:r>
          </w:p>
        </w:tc>
        <w:tc>
          <w:tcPr>
            <w:tcW w:type="dxa" w:w="2570"/>
            <w:vAlign w:val="center"/>
            <w:shd w:fill="F7F9FC"/>
          </w:tcPr>
          <w:p>
            <w:pPr>
              <w:spacing w:after="0"/>
            </w:pPr>
            <w:r/>
            <w:r>
              <w:rPr>
                <w:b w:val="0"/>
                <w:color w:val="222222"/>
                <w:sz w:val="18"/>
              </w:rPr>
              <w:t>2.07%</w:t>
            </w:r>
          </w:p>
        </w:tc>
        <w:tc>
          <w:tcPr>
            <w:tcW w:type="dxa" w:w="2570"/>
            <w:vAlign w:val="center"/>
            <w:shd w:fill="F7F9FC"/>
          </w:tcPr>
          <w:p>
            <w:pPr>
              <w:spacing w:after="0"/>
            </w:pPr>
            <w:r/>
            <w:r>
              <w:rPr>
                <w:b w:val="0"/>
                <w:color w:val="222222"/>
                <w:sz w:val="18"/>
              </w:rPr>
              <w:t>Large, high-value resale plot segment</w:t>
            </w:r>
          </w:p>
        </w:tc>
      </w:tr>
      <w:tr>
        <w:tc>
          <w:tcPr>
            <w:tcW w:type="dxa" w:w="2570"/>
            <w:vAlign w:val="center"/>
            <w:shd w:fill="FFFFFF"/>
          </w:tcPr>
          <w:p>
            <w:pPr>
              <w:spacing w:after="0"/>
            </w:pPr>
            <w:r/>
            <w:r>
              <w:rPr>
                <w:b w:val="0"/>
                <w:color w:val="222222"/>
                <w:sz w:val="18"/>
              </w:rPr>
              <w:t>3</w:t>
            </w:r>
          </w:p>
        </w:tc>
        <w:tc>
          <w:tcPr>
            <w:tcW w:type="dxa" w:w="2570"/>
            <w:vAlign w:val="center"/>
            <w:shd w:fill="FFFFFF"/>
          </w:tcPr>
          <w:p>
            <w:pPr>
              <w:spacing w:after="0"/>
            </w:pPr>
            <w:r/>
            <w:r>
              <w:rPr>
                <w:b w:val="0"/>
                <w:color w:val="222222"/>
                <w:sz w:val="18"/>
              </w:rPr>
              <w:t>41</w:t>
            </w:r>
          </w:p>
        </w:tc>
        <w:tc>
          <w:tcPr>
            <w:tcW w:type="dxa" w:w="2570"/>
            <w:vAlign w:val="center"/>
            <w:shd w:fill="FFFFFF"/>
          </w:tcPr>
          <w:p>
            <w:pPr>
              <w:spacing w:after="0"/>
            </w:pPr>
            <w:r/>
            <w:r>
              <w:rPr>
                <w:b w:val="0"/>
                <w:color w:val="222222"/>
                <w:sz w:val="18"/>
              </w:rPr>
              <w:t>0.29%</w:t>
            </w:r>
          </w:p>
        </w:tc>
        <w:tc>
          <w:tcPr>
            <w:tcW w:type="dxa" w:w="2570"/>
            <w:vAlign w:val="center"/>
            <w:shd w:fill="FFFFFF"/>
          </w:tcPr>
          <w:p>
            <w:pPr>
              <w:spacing w:after="0"/>
            </w:pPr>
            <w:r/>
            <w:r>
              <w:rPr>
                <w:b w:val="0"/>
                <w:color w:val="222222"/>
                <w:sz w:val="18"/>
              </w:rPr>
              <w:t>Very small unusual plot segment with extreme BHK values</w:t>
            </w:r>
          </w:p>
        </w:tc>
      </w:tr>
    </w:tbl>
    <w:p>
      <w:pPr>
        <w:spacing w:after="20"/>
      </w:pPr>
    </w:p>
    <w:p>
      <w:pPr>
        <w:jc w:val="center"/>
      </w:pPr>
      <w:r>
        <w:drawing>
          <wp:inline xmlns:a="http://schemas.openxmlformats.org/drawingml/2006/main" xmlns:pic="http://schemas.openxmlformats.org/drawingml/2006/picture">
            <wp:extent cx="4389120" cy="2702282"/>
            <wp:docPr id="8" name="Picture 8"/>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4389120" cy="2702282"/>
                    </a:xfrm>
                    <a:prstGeom prst="rect"/>
                  </pic:spPr>
                </pic:pic>
              </a:graphicData>
            </a:graphic>
          </wp:inline>
        </w:drawing>
      </w:r>
    </w:p>
    <w:p>
      <w:pPr>
        <w:spacing w:after="100"/>
        <w:jc w:val="center"/>
      </w:pPr>
      <w:r>
        <w:rPr>
          <w:i/>
          <w:color w:val="666666"/>
          <w:sz w:val="17"/>
        </w:rPr>
        <w:t>Figure 8. Final cluster sizes.</w:t>
      </w:r>
    </w:p>
    <w:p>
      <w:pPr>
        <w:spacing w:before="40" w:after="100"/>
      </w:pPr>
      <w:r>
        <w:rPr>
          <w:b/>
          <w:color w:val="17365D"/>
          <w:sz w:val="34"/>
        </w:rPr>
        <w:t>8. Detailed Market Segmentation Insights</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1714"/>
        <w:gridCol w:w="1714"/>
        <w:gridCol w:w="1714"/>
        <w:gridCol w:w="1714"/>
        <w:gridCol w:w="1714"/>
        <w:gridCol w:w="1714"/>
      </w:tblGrid>
      <w:tr>
        <w:tc>
          <w:tcPr>
            <w:tcW w:type="dxa" w:w="1714"/>
            <w:vAlign w:val="center"/>
            <w:shd w:fill="17365D"/>
          </w:tcPr>
          <w:p>
            <w:pPr>
              <w:spacing w:after="0"/>
            </w:pPr>
            <w:r/>
            <w:r>
              <w:rPr>
                <w:b/>
                <w:color w:val="FFFFFF"/>
                <w:sz w:val="15"/>
              </w:rPr>
              <w:t>Cluster</w:t>
            </w:r>
          </w:p>
        </w:tc>
        <w:tc>
          <w:tcPr>
            <w:tcW w:type="dxa" w:w="1714"/>
            <w:vAlign w:val="center"/>
            <w:shd w:fill="17365D"/>
          </w:tcPr>
          <w:p>
            <w:pPr>
              <w:spacing w:after="0"/>
            </w:pPr>
            <w:r/>
            <w:r>
              <w:rPr>
                <w:b/>
                <w:color w:val="FFFFFF"/>
                <w:sz w:val="15"/>
              </w:rPr>
              <w:t>Average Price</w:t>
            </w:r>
          </w:p>
        </w:tc>
        <w:tc>
          <w:tcPr>
            <w:tcW w:type="dxa" w:w="1714"/>
            <w:vAlign w:val="center"/>
            <w:shd w:fill="17365D"/>
          </w:tcPr>
          <w:p>
            <w:pPr>
              <w:spacing w:after="0"/>
            </w:pPr>
            <w:r/>
            <w:r>
              <w:rPr>
                <w:b/>
                <w:color w:val="FFFFFF"/>
                <w:sz w:val="15"/>
              </w:rPr>
              <w:t>Average Area</w:t>
            </w:r>
          </w:p>
        </w:tc>
        <w:tc>
          <w:tcPr>
            <w:tcW w:type="dxa" w:w="1714"/>
            <w:vAlign w:val="center"/>
            <w:shd w:fill="17365D"/>
          </w:tcPr>
          <w:p>
            <w:pPr>
              <w:spacing w:after="0"/>
            </w:pPr>
            <w:r/>
            <w:r>
              <w:rPr>
                <w:b/>
                <w:color w:val="FFFFFF"/>
                <w:sz w:val="15"/>
              </w:rPr>
              <w:t>Avg Rate/sqft</w:t>
            </w:r>
          </w:p>
        </w:tc>
        <w:tc>
          <w:tcPr>
            <w:tcW w:type="dxa" w:w="1714"/>
            <w:vAlign w:val="center"/>
            <w:shd w:fill="17365D"/>
          </w:tcPr>
          <w:p>
            <w:pPr>
              <w:spacing w:after="0"/>
            </w:pPr>
            <w:r/>
            <w:r>
              <w:rPr>
                <w:b/>
                <w:color w:val="FFFFFF"/>
                <w:sz w:val="15"/>
              </w:rPr>
              <w:t>Avg BHK</w:t>
            </w:r>
          </w:p>
        </w:tc>
        <w:tc>
          <w:tcPr>
            <w:tcW w:type="dxa" w:w="1714"/>
            <w:vAlign w:val="center"/>
            <w:shd w:fill="17365D"/>
          </w:tcPr>
          <w:p>
            <w:pPr>
              <w:spacing w:after="0"/>
            </w:pPr>
            <w:r/>
            <w:r>
              <w:rPr>
                <w:b/>
                <w:color w:val="FFFFFF"/>
                <w:sz w:val="15"/>
              </w:rPr>
              <w:t>Key Characteristics</w:t>
            </w:r>
          </w:p>
        </w:tc>
      </w:tr>
      <w:tr>
        <w:tc>
          <w:tcPr>
            <w:tcW w:type="dxa" w:w="1714"/>
            <w:vAlign w:val="center"/>
            <w:shd w:fill="F7F9FC"/>
          </w:tcPr>
          <w:p>
            <w:pPr>
              <w:spacing w:after="0"/>
            </w:pPr>
            <w:r/>
            <w:r>
              <w:rPr>
                <w:b w:val="0"/>
                <w:color w:val="222222"/>
                <w:sz w:val="15"/>
              </w:rPr>
              <w:t>0</w:t>
            </w:r>
          </w:p>
        </w:tc>
        <w:tc>
          <w:tcPr>
            <w:tcW w:type="dxa" w:w="1714"/>
            <w:vAlign w:val="center"/>
            <w:shd w:fill="F7F9FC"/>
          </w:tcPr>
          <w:p>
            <w:pPr>
              <w:spacing w:after="0"/>
            </w:pPr>
            <w:r/>
            <w:r>
              <w:rPr>
                <w:b w:val="0"/>
                <w:color w:val="222222"/>
                <w:sz w:val="15"/>
              </w:rPr>
              <w:t>₹4.08 Cr</w:t>
            </w:r>
          </w:p>
        </w:tc>
        <w:tc>
          <w:tcPr>
            <w:tcW w:type="dxa" w:w="1714"/>
            <w:vAlign w:val="center"/>
            <w:shd w:fill="F7F9FC"/>
          </w:tcPr>
          <w:p>
            <w:pPr>
              <w:spacing w:after="0"/>
            </w:pPr>
            <w:r/>
            <w:r>
              <w:rPr>
                <w:b w:val="0"/>
                <w:color w:val="222222"/>
                <w:sz w:val="15"/>
              </w:rPr>
              <w:t>2,672.28</w:t>
            </w:r>
          </w:p>
        </w:tc>
        <w:tc>
          <w:tcPr>
            <w:tcW w:type="dxa" w:w="1714"/>
            <w:vAlign w:val="center"/>
            <w:shd w:fill="F7F9FC"/>
          </w:tcPr>
          <w:p>
            <w:pPr>
              <w:spacing w:after="0"/>
            </w:pPr>
            <w:r/>
            <w:r>
              <w:rPr>
                <w:b w:val="0"/>
                <w:color w:val="222222"/>
                <w:sz w:val="15"/>
              </w:rPr>
              <w:t>₹13,372.56</w:t>
            </w:r>
          </w:p>
        </w:tc>
        <w:tc>
          <w:tcPr>
            <w:tcW w:type="dxa" w:w="1714"/>
            <w:vAlign w:val="center"/>
            <w:shd w:fill="F7F9FC"/>
          </w:tcPr>
          <w:p>
            <w:pPr>
              <w:spacing w:after="0"/>
            </w:pPr>
            <w:r/>
            <w:r>
              <w:rPr>
                <w:b w:val="0"/>
                <w:color w:val="222222"/>
                <w:sz w:val="15"/>
              </w:rPr>
              <w:t>3.08</w:t>
            </w:r>
          </w:p>
        </w:tc>
        <w:tc>
          <w:tcPr>
            <w:tcW w:type="dxa" w:w="1714"/>
            <w:vAlign w:val="center"/>
            <w:shd w:fill="F7F9FC"/>
          </w:tcPr>
          <w:p>
            <w:pPr>
              <w:spacing w:after="0"/>
            </w:pPr>
            <w:r/>
            <w:r>
              <w:rPr>
                <w:b w:val="0"/>
                <w:color w:val="222222"/>
                <w:sz w:val="15"/>
              </w:rPr>
              <w:t>94.23% ready; 100% non-RERA; 71.32% apartment</w:t>
            </w:r>
          </w:p>
        </w:tc>
      </w:tr>
      <w:tr>
        <w:tc>
          <w:tcPr>
            <w:tcW w:type="dxa" w:w="1714"/>
            <w:vAlign w:val="center"/>
            <w:shd w:fill="FFFFFF"/>
          </w:tcPr>
          <w:p>
            <w:pPr>
              <w:spacing w:after="0"/>
            </w:pPr>
            <w:r/>
            <w:r>
              <w:rPr>
                <w:b w:val="0"/>
                <w:color w:val="222222"/>
                <w:sz w:val="15"/>
              </w:rPr>
              <w:t>1</w:t>
            </w:r>
          </w:p>
        </w:tc>
        <w:tc>
          <w:tcPr>
            <w:tcW w:type="dxa" w:w="1714"/>
            <w:vAlign w:val="center"/>
            <w:shd w:fill="FFFFFF"/>
          </w:tcPr>
          <w:p>
            <w:pPr>
              <w:spacing w:after="0"/>
            </w:pPr>
            <w:r/>
            <w:r>
              <w:rPr>
                <w:b w:val="0"/>
                <w:color w:val="222222"/>
                <w:sz w:val="15"/>
              </w:rPr>
              <w:t>₹3.82 Cr</w:t>
            </w:r>
          </w:p>
        </w:tc>
        <w:tc>
          <w:tcPr>
            <w:tcW w:type="dxa" w:w="1714"/>
            <w:vAlign w:val="center"/>
            <w:shd w:fill="FFFFFF"/>
          </w:tcPr>
          <w:p>
            <w:pPr>
              <w:spacing w:after="0"/>
            </w:pPr>
            <w:r/>
            <w:r>
              <w:rPr>
                <w:b w:val="0"/>
                <w:color w:val="222222"/>
                <w:sz w:val="15"/>
              </w:rPr>
              <w:t>2,077.46</w:t>
            </w:r>
          </w:p>
        </w:tc>
        <w:tc>
          <w:tcPr>
            <w:tcW w:type="dxa" w:w="1714"/>
            <w:vAlign w:val="center"/>
            <w:shd w:fill="FFFFFF"/>
          </w:tcPr>
          <w:p>
            <w:pPr>
              <w:spacing w:after="0"/>
            </w:pPr>
            <w:r/>
            <w:r>
              <w:rPr>
                <w:b w:val="0"/>
                <w:color w:val="222222"/>
                <w:sz w:val="15"/>
              </w:rPr>
              <w:t>₹17,604.45</w:t>
            </w:r>
          </w:p>
        </w:tc>
        <w:tc>
          <w:tcPr>
            <w:tcW w:type="dxa" w:w="1714"/>
            <w:vAlign w:val="center"/>
            <w:shd w:fill="FFFFFF"/>
          </w:tcPr>
          <w:p>
            <w:pPr>
              <w:spacing w:after="0"/>
            </w:pPr>
            <w:r/>
            <w:r>
              <w:rPr>
                <w:b w:val="0"/>
                <w:color w:val="222222"/>
                <w:sz w:val="15"/>
              </w:rPr>
              <w:t>2.93</w:t>
            </w:r>
          </w:p>
        </w:tc>
        <w:tc>
          <w:tcPr>
            <w:tcW w:type="dxa" w:w="1714"/>
            <w:vAlign w:val="center"/>
            <w:shd w:fill="FFFFFF"/>
          </w:tcPr>
          <w:p>
            <w:pPr>
              <w:spacing w:after="0"/>
            </w:pPr>
            <w:r/>
            <w:r>
              <w:rPr>
                <w:b w:val="0"/>
                <w:color w:val="222222"/>
                <w:sz w:val="15"/>
              </w:rPr>
              <w:t>94.34% under construction; 97.19% RERA; 89.04% apartment</w:t>
            </w:r>
          </w:p>
        </w:tc>
      </w:tr>
      <w:tr>
        <w:tc>
          <w:tcPr>
            <w:tcW w:type="dxa" w:w="1714"/>
            <w:vAlign w:val="center"/>
            <w:shd w:fill="F7F9FC"/>
          </w:tcPr>
          <w:p>
            <w:pPr>
              <w:spacing w:after="0"/>
            </w:pPr>
            <w:r/>
            <w:r>
              <w:rPr>
                <w:b w:val="0"/>
                <w:color w:val="222222"/>
                <w:sz w:val="15"/>
              </w:rPr>
              <w:t>2</w:t>
            </w:r>
          </w:p>
        </w:tc>
        <w:tc>
          <w:tcPr>
            <w:tcW w:type="dxa" w:w="1714"/>
            <w:vAlign w:val="center"/>
            <w:shd w:fill="F7F9FC"/>
          </w:tcPr>
          <w:p>
            <w:pPr>
              <w:spacing w:after="0"/>
            </w:pPr>
            <w:r/>
            <w:r>
              <w:rPr>
                <w:b w:val="0"/>
                <w:color w:val="222222"/>
                <w:sz w:val="15"/>
              </w:rPr>
              <w:t>₹4.95 Cr</w:t>
            </w:r>
          </w:p>
        </w:tc>
        <w:tc>
          <w:tcPr>
            <w:tcW w:type="dxa" w:w="1714"/>
            <w:vAlign w:val="center"/>
            <w:shd w:fill="F7F9FC"/>
          </w:tcPr>
          <w:p>
            <w:pPr>
              <w:spacing w:after="0"/>
            </w:pPr>
            <w:r/>
            <w:r>
              <w:rPr>
                <w:b w:val="0"/>
                <w:color w:val="222222"/>
                <w:sz w:val="15"/>
              </w:rPr>
              <w:t>11,439.55</w:t>
            </w:r>
          </w:p>
        </w:tc>
        <w:tc>
          <w:tcPr>
            <w:tcW w:type="dxa" w:w="1714"/>
            <w:vAlign w:val="center"/>
            <w:shd w:fill="F7F9FC"/>
          </w:tcPr>
          <w:p>
            <w:pPr>
              <w:spacing w:after="0"/>
            </w:pPr>
            <w:r/>
            <w:r>
              <w:rPr>
                <w:b w:val="0"/>
                <w:color w:val="222222"/>
                <w:sz w:val="15"/>
              </w:rPr>
              <w:t>₹26,272.45</w:t>
            </w:r>
          </w:p>
        </w:tc>
        <w:tc>
          <w:tcPr>
            <w:tcW w:type="dxa" w:w="1714"/>
            <w:vAlign w:val="center"/>
            <w:shd w:fill="F7F9FC"/>
          </w:tcPr>
          <w:p>
            <w:pPr>
              <w:spacing w:after="0"/>
            </w:pPr>
            <w:r/>
            <w:r>
              <w:rPr>
                <w:b w:val="0"/>
                <w:color w:val="222222"/>
                <w:sz w:val="15"/>
              </w:rPr>
              <w:t>1.00</w:t>
            </w:r>
          </w:p>
        </w:tc>
        <w:tc>
          <w:tcPr>
            <w:tcW w:type="dxa" w:w="1714"/>
            <w:vAlign w:val="center"/>
            <w:shd w:fill="F7F9FC"/>
          </w:tcPr>
          <w:p>
            <w:pPr>
              <w:spacing w:after="0"/>
            </w:pPr>
            <w:r/>
            <w:r>
              <w:rPr>
                <w:b w:val="0"/>
                <w:color w:val="222222"/>
                <w:sz w:val="15"/>
              </w:rPr>
              <w:t>100% resale; 95.93% non-RERA; 100% plot</w:t>
            </w:r>
          </w:p>
        </w:tc>
      </w:tr>
      <w:tr>
        <w:tc>
          <w:tcPr>
            <w:tcW w:type="dxa" w:w="1714"/>
            <w:vAlign w:val="center"/>
            <w:shd w:fill="FFFFFF"/>
          </w:tcPr>
          <w:p>
            <w:pPr>
              <w:spacing w:after="0"/>
            </w:pPr>
            <w:r/>
            <w:r>
              <w:rPr>
                <w:b w:val="0"/>
                <w:color w:val="222222"/>
                <w:sz w:val="15"/>
              </w:rPr>
              <w:t>3</w:t>
            </w:r>
          </w:p>
        </w:tc>
        <w:tc>
          <w:tcPr>
            <w:tcW w:type="dxa" w:w="1714"/>
            <w:vAlign w:val="center"/>
            <w:shd w:fill="FFFFFF"/>
          </w:tcPr>
          <w:p>
            <w:pPr>
              <w:spacing w:after="0"/>
            </w:pPr>
            <w:r/>
            <w:r>
              <w:rPr>
                <w:b w:val="0"/>
                <w:color w:val="222222"/>
                <w:sz w:val="15"/>
              </w:rPr>
              <w:t>₹2.64 Cr</w:t>
            </w:r>
          </w:p>
        </w:tc>
        <w:tc>
          <w:tcPr>
            <w:tcW w:type="dxa" w:w="1714"/>
            <w:vAlign w:val="center"/>
            <w:shd w:fill="FFFFFF"/>
          </w:tcPr>
          <w:p>
            <w:pPr>
              <w:spacing w:after="0"/>
            </w:pPr>
            <w:r/>
            <w:r>
              <w:rPr>
                <w:b w:val="0"/>
                <w:color w:val="222222"/>
                <w:sz w:val="15"/>
              </w:rPr>
              <w:t>3,090.32</w:t>
            </w:r>
          </w:p>
        </w:tc>
        <w:tc>
          <w:tcPr>
            <w:tcW w:type="dxa" w:w="1714"/>
            <w:vAlign w:val="center"/>
            <w:shd w:fill="FFFFFF"/>
          </w:tcPr>
          <w:p>
            <w:pPr>
              <w:spacing w:after="0"/>
            </w:pPr>
            <w:r/>
            <w:r>
              <w:rPr>
                <w:b w:val="0"/>
                <w:color w:val="222222"/>
                <w:sz w:val="15"/>
              </w:rPr>
              <w:t>₹11,385.71</w:t>
            </w:r>
          </w:p>
        </w:tc>
        <w:tc>
          <w:tcPr>
            <w:tcW w:type="dxa" w:w="1714"/>
            <w:vAlign w:val="center"/>
            <w:shd w:fill="FFFFFF"/>
          </w:tcPr>
          <w:p>
            <w:pPr>
              <w:spacing w:after="0"/>
            </w:pPr>
            <w:r/>
            <w:r>
              <w:rPr>
                <w:b w:val="0"/>
                <w:color w:val="222222"/>
                <w:sz w:val="15"/>
              </w:rPr>
              <w:t>101.93</w:t>
            </w:r>
          </w:p>
        </w:tc>
        <w:tc>
          <w:tcPr>
            <w:tcW w:type="dxa" w:w="1714"/>
            <w:vAlign w:val="center"/>
            <w:shd w:fill="FFFFFF"/>
          </w:tcPr>
          <w:p>
            <w:pPr>
              <w:spacing w:after="0"/>
            </w:pPr>
            <w:r/>
            <w:r>
              <w:rPr>
                <w:b w:val="0"/>
                <w:color w:val="222222"/>
                <w:sz w:val="15"/>
              </w:rPr>
              <w:t>95.12% new; 78.05% non-RERA; 100% plot</w:t>
            </w:r>
          </w:p>
        </w:tc>
      </w:tr>
    </w:tbl>
    <w:p>
      <w:pPr>
        <w:spacing w:after="20"/>
      </w:pPr>
    </w:p>
    <w:p>
      <w:pPr>
        <w:spacing w:before="20" w:after="100"/>
      </w:pPr>
      <w:r>
        <w:rPr>
          <w:b/>
          <w:color w:val="2F5597"/>
          <w:sz w:val="24"/>
        </w:rPr>
        <w:t>8.1 Interpretation</w:t>
      </w:r>
    </w:p>
    <w:p>
      <w:pPr>
        <w:spacing w:after="100" w:line="259" w:lineRule="auto"/>
      </w:pPr>
      <w:r>
        <w:rPr>
          <w:color w:val="222222"/>
          <w:sz w:val="19"/>
        </w:rPr>
        <w:t>Cluster 0 is the dominant ready-to-move segment and represents the majority of the inventory. Cluster 1 is another large mainstream segment but differs strongly through its under-construction and RERA-approved composition. Cluster 2 is a specialized premium plot segment with very large average area and the highest average unit rate. Cluster 3 is extremely small and contains unusually high BHK_Count values; these should not be interpreted as conventional bedroom counts.</w:t>
      </w:r>
    </w:p>
    <w:p>
      <w:pPr>
        <w:jc w:val="center"/>
      </w:pPr>
      <w:r>
        <w:drawing>
          <wp:inline xmlns:a="http://schemas.openxmlformats.org/drawingml/2006/main" xmlns:pic="http://schemas.openxmlformats.org/drawingml/2006/picture">
            <wp:extent cx="4480560" cy="2540245"/>
            <wp:docPr id="9" name="Picture 9"/>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4480560" cy="2540245"/>
                    </a:xfrm>
                    <a:prstGeom prst="rect"/>
                  </pic:spPr>
                </pic:pic>
              </a:graphicData>
            </a:graphic>
          </wp:inline>
        </w:drawing>
      </w:r>
    </w:p>
    <w:p>
      <w:pPr>
        <w:spacing w:after="100"/>
        <w:jc w:val="center"/>
      </w:pPr>
      <w:r>
        <w:rPr>
          <w:i/>
          <w:color w:val="666666"/>
          <w:sz w:val="17"/>
        </w:rPr>
        <w:t>Figure 9. RERA approval composition within each cluster.</w:t>
      </w:r>
    </w:p>
    <w:p>
      <w:pPr>
        <w:jc w:val="center"/>
      </w:pPr>
      <w:r>
        <w:drawing>
          <wp:inline xmlns:a="http://schemas.openxmlformats.org/drawingml/2006/main" xmlns:pic="http://schemas.openxmlformats.org/drawingml/2006/picture">
            <wp:extent cx="4480560" cy="2543313"/>
            <wp:docPr id="10" name="Picture 10"/>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4480560" cy="2543313"/>
                    </a:xfrm>
                    <a:prstGeom prst="rect"/>
                  </pic:spPr>
                </pic:pic>
              </a:graphicData>
            </a:graphic>
          </wp:inline>
        </w:drawing>
      </w:r>
    </w:p>
    <w:p>
      <w:pPr>
        <w:spacing w:after="100"/>
        <w:jc w:val="center"/>
      </w:pPr>
      <w:r>
        <w:rPr>
          <w:i/>
          <w:color w:val="666666"/>
          <w:sz w:val="17"/>
        </w:rPr>
        <w:t>Figure 10. Property-status composition within each cluster.</w:t>
      </w:r>
    </w:p>
    <w:p>
      <w:pPr>
        <w:spacing w:before="20" w:after="100"/>
      </w:pPr>
      <w:r>
        <w:rPr>
          <w:b/>
          <w:color w:val="2F5597"/>
          <w:sz w:val="24"/>
        </w:rPr>
        <w:t>8.2 Practical Value of Segmentation</w:t>
      </w:r>
    </w:p>
    <w:p>
      <w:pPr>
        <w:pStyle w:val="ListBullet"/>
        <w:spacing w:after="40"/>
        <w:ind w:left="317" w:hanging="173"/>
      </w:pPr>
      <w:r>
        <w:rPr>
          <w:color w:val="222222"/>
          <w:sz w:val="18"/>
        </w:rPr>
        <w:t>Customer segmentation can support different messaging for ready-to-move and under-construction inventory.</w:t>
      </w:r>
    </w:p>
    <w:p>
      <w:pPr>
        <w:pStyle w:val="ListBullet"/>
        <w:spacing w:after="40"/>
        <w:ind w:left="317" w:hanging="173"/>
      </w:pPr>
      <w:r>
        <w:rPr>
          <w:color w:val="222222"/>
          <w:sz w:val="18"/>
        </w:rPr>
        <w:t>RERA-related communication can be tailored because the large clusters have sharply different approval profiles.</w:t>
      </w:r>
    </w:p>
    <w:p>
      <w:pPr>
        <w:pStyle w:val="ListBullet"/>
        <w:spacing w:after="40"/>
        <w:ind w:left="317" w:hanging="173"/>
      </w:pPr>
      <w:r>
        <w:rPr>
          <w:color w:val="222222"/>
          <w:sz w:val="18"/>
        </w:rPr>
        <w:t>Plot-focused clusters can be treated separately from mainstream apartment inventory.</w:t>
      </w:r>
    </w:p>
    <w:p>
      <w:pPr>
        <w:pStyle w:val="ListBullet"/>
        <w:spacing w:after="40"/>
        <w:ind w:left="317" w:hanging="173"/>
      </w:pPr>
      <w:r>
        <w:rPr>
          <w:color w:val="222222"/>
          <w:sz w:val="18"/>
        </w:rPr>
        <w:t>Inventory planning can prioritize the two large clusters while maintaining specialized strategies for the smaller plot segments.</w:t>
      </w:r>
    </w:p>
    <w:p>
      <w:pPr>
        <w:spacing w:before="40" w:after="100"/>
      </w:pPr>
      <w:r>
        <w:rPr>
          <w:b/>
          <w:color w:val="17365D"/>
          <w:sz w:val="34"/>
        </w:rPr>
        <w:t>9. Supervised Learning: Property Price Prediction</w:t>
      </w:r>
    </w:p>
    <w:p>
      <w:pPr>
        <w:spacing w:after="100" w:line="259" w:lineRule="auto"/>
      </w:pPr>
      <w:r>
        <w:rPr>
          <w:color w:val="222222"/>
          <w:sz w:val="19"/>
        </w:rPr>
        <w:t>The supervised-learning stage formulated property price as a regression problem because the target is continuous. The selected predictors were area, BHK count, RERA approval, status and flat type. The modeling workflow used consistent preprocessing, a 20% held-out test set and 5-fold cross-validation.</w:t>
      </w:r>
    </w:p>
    <w:p>
      <w:pPr>
        <w:spacing w:before="20" w:after="100"/>
      </w:pPr>
      <w:r>
        <w:rPr>
          <w:b/>
          <w:color w:val="2F5597"/>
          <w:sz w:val="24"/>
        </w:rPr>
        <w:t>9.1 Feature Engineering and Leakage Control</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3427"/>
        <w:gridCol w:w="3427"/>
        <w:gridCol w:w="3427"/>
      </w:tblGrid>
      <w:tr>
        <w:tc>
          <w:tcPr>
            <w:tcW w:type="dxa" w:w="3427"/>
            <w:vAlign w:val="center"/>
            <w:shd w:fill="17365D"/>
          </w:tcPr>
          <w:p>
            <w:pPr>
              <w:spacing w:after="0"/>
            </w:pPr>
            <w:r/>
            <w:r>
              <w:rPr>
                <w:b/>
                <w:color w:val="FFFFFF"/>
                <w:sz w:val="18"/>
              </w:rPr>
              <w:t>Feature Group</w:t>
            </w:r>
          </w:p>
        </w:tc>
        <w:tc>
          <w:tcPr>
            <w:tcW w:type="dxa" w:w="3427"/>
            <w:vAlign w:val="center"/>
            <w:shd w:fill="17365D"/>
          </w:tcPr>
          <w:p>
            <w:pPr>
              <w:spacing w:after="0"/>
            </w:pPr>
            <w:r/>
            <w:r>
              <w:rPr>
                <w:b/>
                <w:color w:val="FFFFFF"/>
                <w:sz w:val="18"/>
              </w:rPr>
              <w:t>Variables</w:t>
            </w:r>
          </w:p>
        </w:tc>
        <w:tc>
          <w:tcPr>
            <w:tcW w:type="dxa" w:w="3427"/>
            <w:vAlign w:val="center"/>
            <w:shd w:fill="17365D"/>
          </w:tcPr>
          <w:p>
            <w:pPr>
              <w:spacing w:after="0"/>
            </w:pPr>
            <w:r/>
            <w:r>
              <w:rPr>
                <w:b/>
                <w:color w:val="FFFFFF"/>
                <w:sz w:val="18"/>
              </w:rPr>
              <w:t>Treatment</w:t>
            </w:r>
          </w:p>
        </w:tc>
      </w:tr>
      <w:tr>
        <w:tc>
          <w:tcPr>
            <w:tcW w:type="dxa" w:w="3427"/>
            <w:vAlign w:val="center"/>
            <w:shd w:fill="F7F9FC"/>
          </w:tcPr>
          <w:p>
            <w:pPr>
              <w:spacing w:after="0"/>
            </w:pPr>
            <w:r/>
            <w:r>
              <w:rPr>
                <w:b w:val="0"/>
                <w:color w:val="222222"/>
                <w:sz w:val="18"/>
              </w:rPr>
              <w:t>Numerical</w:t>
            </w:r>
          </w:p>
        </w:tc>
        <w:tc>
          <w:tcPr>
            <w:tcW w:type="dxa" w:w="3427"/>
            <w:vAlign w:val="center"/>
            <w:shd w:fill="F7F9FC"/>
          </w:tcPr>
          <w:p>
            <w:pPr>
              <w:spacing w:after="0"/>
            </w:pPr>
            <w:r/>
            <w:r>
              <w:rPr>
                <w:b w:val="0"/>
                <w:color w:val="222222"/>
                <w:sz w:val="18"/>
              </w:rPr>
              <w:t>area, bhk_count, rera_approval</w:t>
            </w:r>
          </w:p>
        </w:tc>
        <w:tc>
          <w:tcPr>
            <w:tcW w:type="dxa" w:w="3427"/>
            <w:vAlign w:val="center"/>
            <w:shd w:fill="F7F9FC"/>
          </w:tcPr>
          <w:p>
            <w:pPr>
              <w:spacing w:after="0"/>
            </w:pPr>
            <w:r/>
            <w:r>
              <w:rPr>
                <w:b w:val="0"/>
                <w:color w:val="222222"/>
                <w:sz w:val="18"/>
              </w:rPr>
              <w:t>Median imputation + StandardScaler</w:t>
            </w:r>
          </w:p>
        </w:tc>
      </w:tr>
      <w:tr>
        <w:tc>
          <w:tcPr>
            <w:tcW w:type="dxa" w:w="3427"/>
            <w:vAlign w:val="center"/>
            <w:shd w:fill="FFFFFF"/>
          </w:tcPr>
          <w:p>
            <w:pPr>
              <w:spacing w:after="0"/>
            </w:pPr>
            <w:r/>
            <w:r>
              <w:rPr>
                <w:b w:val="0"/>
                <w:color w:val="222222"/>
                <w:sz w:val="18"/>
              </w:rPr>
              <w:t>Categorical</w:t>
            </w:r>
          </w:p>
        </w:tc>
        <w:tc>
          <w:tcPr>
            <w:tcW w:type="dxa" w:w="3427"/>
            <w:vAlign w:val="center"/>
            <w:shd w:fill="FFFFFF"/>
          </w:tcPr>
          <w:p>
            <w:pPr>
              <w:spacing w:after="0"/>
            </w:pPr>
            <w:r/>
            <w:r>
              <w:rPr>
                <w:b w:val="0"/>
                <w:color w:val="222222"/>
                <w:sz w:val="18"/>
              </w:rPr>
              <w:t>status, flat_type</w:t>
            </w:r>
          </w:p>
        </w:tc>
        <w:tc>
          <w:tcPr>
            <w:tcW w:type="dxa" w:w="3427"/>
            <w:vAlign w:val="center"/>
            <w:shd w:fill="FFFFFF"/>
          </w:tcPr>
          <w:p>
            <w:pPr>
              <w:spacing w:after="0"/>
            </w:pPr>
            <w:r/>
            <w:r>
              <w:rPr>
                <w:b w:val="0"/>
                <w:color w:val="222222"/>
                <w:sz w:val="18"/>
              </w:rPr>
              <w:t>Most-frequent imputation + OneHotEncoder</w:t>
            </w:r>
          </w:p>
        </w:tc>
      </w:tr>
      <w:tr>
        <w:tc>
          <w:tcPr>
            <w:tcW w:type="dxa" w:w="3427"/>
            <w:vAlign w:val="center"/>
            <w:shd w:fill="F7F9FC"/>
          </w:tcPr>
          <w:p>
            <w:pPr>
              <w:spacing w:after="0"/>
            </w:pPr>
            <w:r/>
            <w:r>
              <w:rPr>
                <w:b w:val="0"/>
                <w:color w:val="222222"/>
                <w:sz w:val="18"/>
              </w:rPr>
              <w:t>Target</w:t>
            </w:r>
          </w:p>
        </w:tc>
        <w:tc>
          <w:tcPr>
            <w:tcW w:type="dxa" w:w="3427"/>
            <w:vAlign w:val="center"/>
            <w:shd w:fill="F7F9FC"/>
          </w:tcPr>
          <w:p>
            <w:pPr>
              <w:spacing w:after="0"/>
            </w:pPr>
            <w:r/>
            <w:r>
              <w:rPr>
                <w:b w:val="0"/>
                <w:color w:val="222222"/>
                <w:sz w:val="18"/>
              </w:rPr>
              <w:t>price</w:t>
            </w:r>
          </w:p>
        </w:tc>
        <w:tc>
          <w:tcPr>
            <w:tcW w:type="dxa" w:w="3427"/>
            <w:vAlign w:val="center"/>
            <w:shd w:fill="F7F9FC"/>
          </w:tcPr>
          <w:p>
            <w:pPr>
              <w:spacing w:after="0"/>
            </w:pPr>
            <w:r/>
            <w:r>
              <w:rPr>
                <w:b w:val="0"/>
                <w:color w:val="222222"/>
                <w:sz w:val="18"/>
              </w:rPr>
              <w:t>Continuous numerical target</w:t>
            </w:r>
          </w:p>
        </w:tc>
      </w:tr>
      <w:tr>
        <w:tc>
          <w:tcPr>
            <w:tcW w:type="dxa" w:w="3427"/>
            <w:vAlign w:val="center"/>
            <w:shd w:fill="FFFFFF"/>
          </w:tcPr>
          <w:p>
            <w:pPr>
              <w:spacing w:after="0"/>
            </w:pPr>
            <w:r/>
            <w:r>
              <w:rPr>
                <w:b w:val="0"/>
                <w:color w:val="222222"/>
                <w:sz w:val="18"/>
              </w:rPr>
              <w:t>Excluded</w:t>
            </w:r>
          </w:p>
        </w:tc>
        <w:tc>
          <w:tcPr>
            <w:tcW w:type="dxa" w:w="3427"/>
            <w:vAlign w:val="center"/>
            <w:shd w:fill="FFFFFF"/>
          </w:tcPr>
          <w:p>
            <w:pPr>
              <w:spacing w:after="0"/>
            </w:pPr>
            <w:r/>
            <w:r>
              <w:rPr>
                <w:b w:val="0"/>
                <w:color w:val="222222"/>
                <w:sz w:val="18"/>
              </w:rPr>
              <w:t>rate_per_sqft</w:t>
            </w:r>
          </w:p>
        </w:tc>
        <w:tc>
          <w:tcPr>
            <w:tcW w:type="dxa" w:w="3427"/>
            <w:vAlign w:val="center"/>
            <w:shd w:fill="FFFFFF"/>
          </w:tcPr>
          <w:p>
            <w:pPr>
              <w:spacing w:after="0"/>
            </w:pPr>
            <w:r/>
            <w:r>
              <w:rPr>
                <w:b w:val="0"/>
                <w:color w:val="222222"/>
                <w:sz w:val="18"/>
              </w:rPr>
              <w:t>Derived from price and area; potential target leakage</w:t>
            </w:r>
          </w:p>
        </w:tc>
      </w:tr>
      <w:tr>
        <w:tc>
          <w:tcPr>
            <w:tcW w:type="dxa" w:w="3427"/>
            <w:vAlign w:val="center"/>
            <w:shd w:fill="F7F9FC"/>
          </w:tcPr>
          <w:p>
            <w:pPr>
              <w:spacing w:after="0"/>
            </w:pPr>
            <w:r/>
            <w:r>
              <w:rPr>
                <w:b w:val="0"/>
                <w:color w:val="222222"/>
                <w:sz w:val="18"/>
              </w:rPr>
              <w:t>Excluded</w:t>
            </w:r>
          </w:p>
        </w:tc>
        <w:tc>
          <w:tcPr>
            <w:tcW w:type="dxa" w:w="3427"/>
            <w:vAlign w:val="center"/>
            <w:shd w:fill="F7F9FC"/>
          </w:tcPr>
          <w:p>
            <w:pPr>
              <w:spacing w:after="0"/>
            </w:pPr>
            <w:r/>
            <w:r>
              <w:rPr>
                <w:b w:val="0"/>
                <w:color w:val="222222"/>
                <w:sz w:val="18"/>
              </w:rPr>
              <w:t>property_type, locality, builder_name, society, company_name</w:t>
            </w:r>
          </w:p>
        </w:tc>
        <w:tc>
          <w:tcPr>
            <w:tcW w:type="dxa" w:w="3427"/>
            <w:vAlign w:val="center"/>
            <w:shd w:fill="F7F9FC"/>
          </w:tcPr>
          <w:p>
            <w:pPr>
              <w:spacing w:after="0"/>
            </w:pPr>
            <w:r/>
            <w:r>
              <w:rPr>
                <w:b w:val="0"/>
                <w:color w:val="222222"/>
                <w:sz w:val="18"/>
              </w:rPr>
              <w:t>High-cardinality baseline controls</w:t>
            </w:r>
          </w:p>
        </w:tc>
      </w:tr>
    </w:tbl>
    <w:p>
      <w:pPr>
        <w:spacing w:after="20"/>
      </w:pPr>
    </w:p>
    <w:tbl>
      <w:tblPr>
        <w:tblW w:type="auto" w:w="0"/>
        <w:tblLook w:firstColumn="1" w:firstRow="1" w:lastColumn="0" w:lastRow="0" w:noHBand="0" w:noVBand="1" w:val="04A0"/>
      </w:tblPr>
      <w:tblGrid>
        <w:gridCol w:w="10282"/>
      </w:tblGrid>
      <w:tr>
        <w:tc>
          <w:tcPr>
            <w:tcW w:type="dxa" w:w="10282"/>
            <w:shd w:fill="172033"/>
          </w:tcPr>
          <w:p>
            <w:pPr>
              <w:spacing w:after="0"/>
              <w:ind w:left="80"/>
            </w:pPr>
            <w:r/>
            <w:r>
              <w:rPr>
                <w:rFonts w:ascii="Consolas" w:hAnsi="Consolas"/>
                <w:color w:val="F4F7FB"/>
                <w:sz w:val="16"/>
              </w:rPr>
              <w:t>X = df[['area', 'bhk_count', 'rera_approval', 'status', 'flat_type']].copy()</w:t>
              <w:br/>
              <w:t>y = df['price'].copy()</w:t>
              <w:br/>
              <w:t>X['rera_approval'] = X['rera_approval'].astype(int)</w:t>
              <w:br/>
              <w:br/>
              <w:t>X_train, X_test, y_train, y_test = train_test_split(</w:t>
              <w:br/>
              <w:t xml:space="preserve">    X, y, test_size=0.20, random_state=42</w:t>
              <w:br/>
              <w:t>)</w:t>
            </w:r>
          </w:p>
        </w:tc>
      </w:tr>
    </w:tbl>
    <w:p>
      <w:pPr>
        <w:spacing w:after="20"/>
      </w:pPr>
    </w:p>
    <w:p>
      <w:pPr>
        <w:spacing w:before="20" w:after="100"/>
      </w:pPr>
      <w:r>
        <w:rPr>
          <w:b/>
          <w:color w:val="2F5597"/>
          <w:sz w:val="24"/>
        </w:rPr>
        <w:t>9.2 Models Evaluated</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3427"/>
        <w:gridCol w:w="3427"/>
        <w:gridCol w:w="3427"/>
      </w:tblGrid>
      <w:tr>
        <w:tc>
          <w:tcPr>
            <w:tcW w:type="dxa" w:w="3427"/>
            <w:vAlign w:val="center"/>
            <w:shd w:fill="17365D"/>
          </w:tcPr>
          <w:p>
            <w:pPr>
              <w:spacing w:after="0"/>
            </w:pPr>
            <w:r/>
            <w:r>
              <w:rPr>
                <w:b/>
                <w:color w:val="FFFFFF"/>
                <w:sz w:val="18"/>
              </w:rPr>
              <w:t>Model</w:t>
            </w:r>
          </w:p>
        </w:tc>
        <w:tc>
          <w:tcPr>
            <w:tcW w:type="dxa" w:w="3427"/>
            <w:vAlign w:val="center"/>
            <w:shd w:fill="17365D"/>
          </w:tcPr>
          <w:p>
            <w:pPr>
              <w:spacing w:after="0"/>
            </w:pPr>
            <w:r/>
            <w:r>
              <w:rPr>
                <w:b/>
                <w:color w:val="FFFFFF"/>
                <w:sz w:val="18"/>
              </w:rPr>
              <w:t>Role</w:t>
            </w:r>
          </w:p>
        </w:tc>
        <w:tc>
          <w:tcPr>
            <w:tcW w:type="dxa" w:w="3427"/>
            <w:vAlign w:val="center"/>
            <w:shd w:fill="17365D"/>
          </w:tcPr>
          <w:p>
            <w:pPr>
              <w:spacing w:after="0"/>
            </w:pPr>
            <w:r/>
            <w:r>
              <w:rPr>
                <w:b/>
                <w:color w:val="FFFFFF"/>
                <w:sz w:val="18"/>
              </w:rPr>
              <w:t>Why Included</w:t>
            </w:r>
          </w:p>
        </w:tc>
      </w:tr>
      <w:tr>
        <w:tc>
          <w:tcPr>
            <w:tcW w:type="dxa" w:w="3427"/>
            <w:vAlign w:val="center"/>
            <w:shd w:fill="F7F9FC"/>
          </w:tcPr>
          <w:p>
            <w:pPr>
              <w:spacing w:after="0"/>
            </w:pPr>
            <w:r/>
            <w:r>
              <w:rPr>
                <w:b w:val="0"/>
                <w:color w:val="222222"/>
                <w:sz w:val="18"/>
              </w:rPr>
              <w:t>Linear Regression</w:t>
            </w:r>
          </w:p>
        </w:tc>
        <w:tc>
          <w:tcPr>
            <w:tcW w:type="dxa" w:w="3427"/>
            <w:vAlign w:val="center"/>
            <w:shd w:fill="F7F9FC"/>
          </w:tcPr>
          <w:p>
            <w:pPr>
              <w:spacing w:after="0"/>
            </w:pPr>
            <w:r/>
            <w:r>
              <w:rPr>
                <w:b w:val="0"/>
                <w:color w:val="222222"/>
                <w:sz w:val="18"/>
              </w:rPr>
              <w:t>Baseline</w:t>
            </w:r>
          </w:p>
        </w:tc>
        <w:tc>
          <w:tcPr>
            <w:tcW w:type="dxa" w:w="3427"/>
            <w:vAlign w:val="center"/>
            <w:shd w:fill="F7F9FC"/>
          </w:tcPr>
          <w:p>
            <w:pPr>
              <w:spacing w:after="0"/>
            </w:pPr>
            <w:r/>
            <w:r>
              <w:rPr>
                <w:b w:val="0"/>
                <w:color w:val="222222"/>
                <w:sz w:val="18"/>
              </w:rPr>
              <w:t>Simple reference for linear relationships</w:t>
            </w:r>
          </w:p>
        </w:tc>
      </w:tr>
      <w:tr>
        <w:tc>
          <w:tcPr>
            <w:tcW w:type="dxa" w:w="3427"/>
            <w:vAlign w:val="center"/>
            <w:shd w:fill="FFFFFF"/>
          </w:tcPr>
          <w:p>
            <w:pPr>
              <w:spacing w:after="0"/>
            </w:pPr>
            <w:r/>
            <w:r>
              <w:rPr>
                <w:b w:val="0"/>
                <w:color w:val="222222"/>
                <w:sz w:val="18"/>
              </w:rPr>
              <w:t>Random Forest Regressor</w:t>
            </w:r>
          </w:p>
        </w:tc>
        <w:tc>
          <w:tcPr>
            <w:tcW w:type="dxa" w:w="3427"/>
            <w:vAlign w:val="center"/>
            <w:shd w:fill="FFFFFF"/>
          </w:tcPr>
          <w:p>
            <w:pPr>
              <w:spacing w:after="0"/>
            </w:pPr>
            <w:r/>
            <w:r>
              <w:rPr>
                <w:b w:val="0"/>
                <w:color w:val="222222"/>
                <w:sz w:val="18"/>
              </w:rPr>
              <w:t>Nonlinear ensemble</w:t>
            </w:r>
          </w:p>
        </w:tc>
        <w:tc>
          <w:tcPr>
            <w:tcW w:type="dxa" w:w="3427"/>
            <w:vAlign w:val="center"/>
            <w:shd w:fill="FFFFFF"/>
          </w:tcPr>
          <w:p>
            <w:pPr>
              <w:spacing w:after="0"/>
            </w:pPr>
            <w:r/>
            <w:r>
              <w:rPr>
                <w:b w:val="0"/>
                <w:color w:val="222222"/>
                <w:sz w:val="18"/>
              </w:rPr>
              <w:t>Captures nonlinear effects and interactions</w:t>
            </w:r>
          </w:p>
        </w:tc>
      </w:tr>
      <w:tr>
        <w:tc>
          <w:tcPr>
            <w:tcW w:type="dxa" w:w="3427"/>
            <w:vAlign w:val="center"/>
            <w:shd w:fill="F7F9FC"/>
          </w:tcPr>
          <w:p>
            <w:pPr>
              <w:spacing w:after="0"/>
            </w:pPr>
            <w:r/>
            <w:r>
              <w:rPr>
                <w:b w:val="0"/>
                <w:color w:val="222222"/>
                <w:sz w:val="18"/>
              </w:rPr>
              <w:t>Gradient Boosting Regressor</w:t>
            </w:r>
          </w:p>
        </w:tc>
        <w:tc>
          <w:tcPr>
            <w:tcW w:type="dxa" w:w="3427"/>
            <w:vAlign w:val="center"/>
            <w:shd w:fill="F7F9FC"/>
          </w:tcPr>
          <w:p>
            <w:pPr>
              <w:spacing w:after="0"/>
            </w:pPr>
            <w:r/>
            <w:r>
              <w:rPr>
                <w:b w:val="0"/>
                <w:color w:val="222222"/>
                <w:sz w:val="18"/>
              </w:rPr>
              <w:t>Nonlinear ensemble</w:t>
            </w:r>
          </w:p>
        </w:tc>
        <w:tc>
          <w:tcPr>
            <w:tcW w:type="dxa" w:w="3427"/>
            <w:vAlign w:val="center"/>
            <w:shd w:fill="F7F9FC"/>
          </w:tcPr>
          <w:p>
            <w:pPr>
              <w:spacing w:after="0"/>
            </w:pPr>
            <w:r/>
            <w:r>
              <w:rPr>
                <w:b w:val="0"/>
                <w:color w:val="222222"/>
                <w:sz w:val="18"/>
              </w:rPr>
              <w:t>Sequentially reduces residual errors</w:t>
            </w:r>
          </w:p>
        </w:tc>
      </w:tr>
    </w:tbl>
    <w:p>
      <w:pPr>
        <w:spacing w:after="20"/>
      </w:pPr>
    </w:p>
    <w:p>
      <w:pPr>
        <w:spacing w:before="20" w:after="100"/>
      </w:pPr>
      <w:r>
        <w:rPr>
          <w:b/>
          <w:color w:val="2F5597"/>
          <w:sz w:val="24"/>
        </w:rPr>
        <w:t>9.3 Evaluation Metrics</w:t>
      </w:r>
    </w:p>
    <w:p>
      <w:pPr>
        <w:spacing w:after="100" w:line="259" w:lineRule="auto"/>
      </w:pPr>
      <w:r>
        <w:rPr>
          <w:color w:val="222222"/>
          <w:sz w:val="19"/>
        </w:rPr>
        <w:t>MAE measures average absolute error in rupees; MSE penalizes large errors strongly; RMSE expresses the square root of MSE in price units; and R² measures the proportion of variation in held-out prices explained by the model. Because this is regression, classification accuracy is not an appropriate metric.</w:t>
      </w:r>
    </w:p>
    <w:p>
      <w:pPr>
        <w:spacing w:before="40" w:after="100"/>
      </w:pPr>
      <w:r>
        <w:rPr>
          <w:b/>
          <w:color w:val="17365D"/>
          <w:sz w:val="34"/>
        </w:rPr>
        <w:t>10. Supervised Model Evaluation</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056"/>
        <w:gridCol w:w="2056"/>
        <w:gridCol w:w="2056"/>
        <w:gridCol w:w="2056"/>
        <w:gridCol w:w="2056"/>
      </w:tblGrid>
      <w:tr>
        <w:tc>
          <w:tcPr>
            <w:tcW w:type="dxa" w:w="2056"/>
            <w:vAlign w:val="center"/>
            <w:shd w:fill="17365D"/>
          </w:tcPr>
          <w:p>
            <w:pPr>
              <w:spacing w:after="0"/>
            </w:pPr>
            <w:r/>
            <w:r>
              <w:rPr>
                <w:b/>
                <w:color w:val="FFFFFF"/>
                <w:sz w:val="17"/>
              </w:rPr>
              <w:t>Model</w:t>
            </w:r>
          </w:p>
        </w:tc>
        <w:tc>
          <w:tcPr>
            <w:tcW w:type="dxa" w:w="2056"/>
            <w:vAlign w:val="center"/>
            <w:shd w:fill="17365D"/>
          </w:tcPr>
          <w:p>
            <w:pPr>
              <w:spacing w:after="0"/>
            </w:pPr>
            <w:r/>
            <w:r>
              <w:rPr>
                <w:b/>
                <w:color w:val="FFFFFF"/>
                <w:sz w:val="17"/>
              </w:rPr>
              <w:t>MAE (₹)</w:t>
            </w:r>
          </w:p>
        </w:tc>
        <w:tc>
          <w:tcPr>
            <w:tcW w:type="dxa" w:w="2056"/>
            <w:vAlign w:val="center"/>
            <w:shd w:fill="17365D"/>
          </w:tcPr>
          <w:p>
            <w:pPr>
              <w:spacing w:after="0"/>
            </w:pPr>
            <w:r/>
            <w:r>
              <w:rPr>
                <w:b/>
                <w:color w:val="FFFFFF"/>
                <w:sz w:val="17"/>
              </w:rPr>
              <w:t>RMSE (₹)</w:t>
            </w:r>
          </w:p>
        </w:tc>
        <w:tc>
          <w:tcPr>
            <w:tcW w:type="dxa" w:w="2056"/>
            <w:vAlign w:val="center"/>
            <w:shd w:fill="17365D"/>
          </w:tcPr>
          <w:p>
            <w:pPr>
              <w:spacing w:after="0"/>
            </w:pPr>
            <w:r/>
            <w:r>
              <w:rPr>
                <w:b/>
                <w:color w:val="FFFFFF"/>
                <w:sz w:val="17"/>
              </w:rPr>
              <w:t>Test R²</w:t>
            </w:r>
          </w:p>
        </w:tc>
        <w:tc>
          <w:tcPr>
            <w:tcW w:type="dxa" w:w="2056"/>
            <w:vAlign w:val="center"/>
            <w:shd w:fill="17365D"/>
          </w:tcPr>
          <w:p>
            <w:pPr>
              <w:spacing w:after="0"/>
            </w:pPr>
            <w:r/>
            <w:r>
              <w:rPr>
                <w:b/>
                <w:color w:val="FFFFFF"/>
                <w:sz w:val="17"/>
              </w:rPr>
              <w:t>Mean 5-Fold CV R²</w:t>
            </w:r>
          </w:p>
        </w:tc>
      </w:tr>
      <w:tr>
        <w:tc>
          <w:tcPr>
            <w:tcW w:type="dxa" w:w="2056"/>
            <w:vAlign w:val="center"/>
            <w:shd w:fill="F7F9FC"/>
          </w:tcPr>
          <w:p>
            <w:pPr>
              <w:spacing w:after="0"/>
            </w:pPr>
            <w:r/>
            <w:r>
              <w:rPr>
                <w:b w:val="0"/>
                <w:color w:val="222222"/>
                <w:sz w:val="17"/>
              </w:rPr>
              <w:t>Linear Regression</w:t>
            </w:r>
          </w:p>
        </w:tc>
        <w:tc>
          <w:tcPr>
            <w:tcW w:type="dxa" w:w="2056"/>
            <w:vAlign w:val="center"/>
            <w:shd w:fill="F7F9FC"/>
          </w:tcPr>
          <w:p>
            <w:pPr>
              <w:spacing w:after="0"/>
            </w:pPr>
            <w:r/>
            <w:r>
              <w:rPr>
                <w:b w:val="0"/>
                <w:color w:val="222222"/>
                <w:sz w:val="17"/>
              </w:rPr>
              <w:t>26,157,218.16</w:t>
            </w:r>
          </w:p>
        </w:tc>
        <w:tc>
          <w:tcPr>
            <w:tcW w:type="dxa" w:w="2056"/>
            <w:vAlign w:val="center"/>
            <w:shd w:fill="F7F9FC"/>
          </w:tcPr>
          <w:p>
            <w:pPr>
              <w:spacing w:after="0"/>
            </w:pPr>
            <w:r/>
            <w:r>
              <w:rPr>
                <w:b w:val="0"/>
                <w:color w:val="222222"/>
                <w:sz w:val="17"/>
              </w:rPr>
              <w:t>59,533,165.64</w:t>
            </w:r>
          </w:p>
        </w:tc>
        <w:tc>
          <w:tcPr>
            <w:tcW w:type="dxa" w:w="2056"/>
            <w:vAlign w:val="center"/>
            <w:shd w:fill="F7F9FC"/>
          </w:tcPr>
          <w:p>
            <w:pPr>
              <w:spacing w:after="0"/>
            </w:pPr>
            <w:r/>
            <w:r>
              <w:rPr>
                <w:b w:val="0"/>
                <w:color w:val="222222"/>
                <w:sz w:val="17"/>
              </w:rPr>
              <w:t>6.93%</w:t>
            </w:r>
          </w:p>
        </w:tc>
        <w:tc>
          <w:tcPr>
            <w:tcW w:type="dxa" w:w="2056"/>
            <w:vAlign w:val="center"/>
            <w:shd w:fill="F7F9FC"/>
          </w:tcPr>
          <w:p>
            <w:pPr>
              <w:spacing w:after="0"/>
            </w:pPr>
            <w:r/>
            <w:r>
              <w:rPr>
                <w:b w:val="0"/>
                <w:color w:val="222222"/>
                <w:sz w:val="17"/>
              </w:rPr>
              <w:t>-16.67%</w:t>
            </w:r>
          </w:p>
        </w:tc>
      </w:tr>
      <w:tr>
        <w:tc>
          <w:tcPr>
            <w:tcW w:type="dxa" w:w="2056"/>
            <w:vAlign w:val="center"/>
            <w:shd w:fill="FFFFFF"/>
          </w:tcPr>
          <w:p>
            <w:pPr>
              <w:spacing w:after="0"/>
            </w:pPr>
            <w:r/>
            <w:r>
              <w:rPr>
                <w:b w:val="0"/>
                <w:color w:val="222222"/>
                <w:sz w:val="17"/>
              </w:rPr>
              <w:t>Random Forest</w:t>
            </w:r>
          </w:p>
        </w:tc>
        <w:tc>
          <w:tcPr>
            <w:tcW w:type="dxa" w:w="2056"/>
            <w:vAlign w:val="center"/>
            <w:shd w:fill="FFFFFF"/>
          </w:tcPr>
          <w:p>
            <w:pPr>
              <w:spacing w:after="0"/>
            </w:pPr>
            <w:r/>
            <w:r>
              <w:rPr>
                <w:b w:val="0"/>
                <w:color w:val="222222"/>
                <w:sz w:val="17"/>
              </w:rPr>
              <w:t>11,532,540.78</w:t>
            </w:r>
          </w:p>
        </w:tc>
        <w:tc>
          <w:tcPr>
            <w:tcW w:type="dxa" w:w="2056"/>
            <w:vAlign w:val="center"/>
            <w:shd w:fill="FFFFFF"/>
          </w:tcPr>
          <w:p>
            <w:pPr>
              <w:spacing w:after="0"/>
            </w:pPr>
            <w:r/>
            <w:r>
              <w:rPr>
                <w:b w:val="0"/>
                <w:color w:val="222222"/>
                <w:sz w:val="17"/>
              </w:rPr>
              <w:t>33,875,860.34</w:t>
            </w:r>
          </w:p>
        </w:tc>
        <w:tc>
          <w:tcPr>
            <w:tcW w:type="dxa" w:w="2056"/>
            <w:vAlign w:val="center"/>
            <w:shd w:fill="FFFFFF"/>
          </w:tcPr>
          <w:p>
            <w:pPr>
              <w:spacing w:after="0"/>
            </w:pPr>
            <w:r/>
            <w:r>
              <w:rPr>
                <w:b w:val="0"/>
                <w:color w:val="222222"/>
                <w:sz w:val="17"/>
              </w:rPr>
              <w:t>69.86%</w:t>
            </w:r>
          </w:p>
        </w:tc>
        <w:tc>
          <w:tcPr>
            <w:tcW w:type="dxa" w:w="2056"/>
            <w:vAlign w:val="center"/>
            <w:shd w:fill="FFFFFF"/>
          </w:tcPr>
          <w:p>
            <w:pPr>
              <w:spacing w:after="0"/>
            </w:pPr>
            <w:r/>
            <w:r>
              <w:rPr>
                <w:b w:val="0"/>
                <w:color w:val="222222"/>
                <w:sz w:val="17"/>
              </w:rPr>
              <w:t>57.06%</w:t>
            </w:r>
          </w:p>
        </w:tc>
      </w:tr>
      <w:tr>
        <w:tc>
          <w:tcPr>
            <w:tcW w:type="dxa" w:w="2056"/>
            <w:vAlign w:val="center"/>
            <w:shd w:fill="F7F9FC"/>
          </w:tcPr>
          <w:p>
            <w:pPr>
              <w:spacing w:after="0"/>
            </w:pPr>
            <w:r/>
            <w:r>
              <w:rPr>
                <w:b w:val="0"/>
                <w:color w:val="222222"/>
                <w:sz w:val="17"/>
              </w:rPr>
              <w:t>Gradient Boosting</w:t>
            </w:r>
          </w:p>
        </w:tc>
        <w:tc>
          <w:tcPr>
            <w:tcW w:type="dxa" w:w="2056"/>
            <w:vAlign w:val="center"/>
            <w:shd w:fill="F7F9FC"/>
          </w:tcPr>
          <w:p>
            <w:pPr>
              <w:spacing w:after="0"/>
            </w:pPr>
            <w:r/>
            <w:r>
              <w:rPr>
                <w:b w:val="0"/>
                <w:color w:val="222222"/>
                <w:sz w:val="17"/>
              </w:rPr>
              <w:t>14,983,084.75</w:t>
            </w:r>
          </w:p>
        </w:tc>
        <w:tc>
          <w:tcPr>
            <w:tcW w:type="dxa" w:w="2056"/>
            <w:vAlign w:val="center"/>
            <w:shd w:fill="F7F9FC"/>
          </w:tcPr>
          <w:p>
            <w:pPr>
              <w:spacing w:after="0"/>
            </w:pPr>
            <w:r/>
            <w:r>
              <w:rPr>
                <w:b w:val="0"/>
                <w:color w:val="222222"/>
                <w:sz w:val="17"/>
              </w:rPr>
              <w:t>36,405,272.39</w:t>
            </w:r>
          </w:p>
        </w:tc>
        <w:tc>
          <w:tcPr>
            <w:tcW w:type="dxa" w:w="2056"/>
            <w:vAlign w:val="center"/>
            <w:shd w:fill="F7F9FC"/>
          </w:tcPr>
          <w:p>
            <w:pPr>
              <w:spacing w:after="0"/>
            </w:pPr>
            <w:r/>
            <w:r>
              <w:rPr>
                <w:b w:val="0"/>
                <w:color w:val="222222"/>
                <w:sz w:val="17"/>
              </w:rPr>
              <w:t>65.20%</w:t>
            </w:r>
          </w:p>
        </w:tc>
        <w:tc>
          <w:tcPr>
            <w:tcW w:type="dxa" w:w="2056"/>
            <w:vAlign w:val="center"/>
            <w:shd w:fill="F7F9FC"/>
          </w:tcPr>
          <w:p>
            <w:pPr>
              <w:spacing w:after="0"/>
            </w:pPr>
            <w:r/>
            <w:r>
              <w:rPr>
                <w:b w:val="0"/>
                <w:color w:val="222222"/>
                <w:sz w:val="17"/>
              </w:rPr>
              <w:t>50.93%</w:t>
            </w:r>
          </w:p>
        </w:tc>
      </w:tr>
    </w:tbl>
    <w:p>
      <w:pPr>
        <w:spacing w:after="20"/>
      </w:pPr>
    </w:p>
    <w:p>
      <w:pPr>
        <w:spacing w:before="20" w:after="100"/>
      </w:pPr>
      <w:r>
        <w:rPr>
          <w:b/>
          <w:color w:val="2F5597"/>
          <w:sz w:val="24"/>
        </w:rPr>
        <w:t>10.1 Final Supervised Model</w:t>
      </w:r>
    </w:p>
    <w:p>
      <w:pPr>
        <w:spacing w:after="100" w:line="259" w:lineRule="auto"/>
      </w:pPr>
      <w:r>
        <w:rPr>
          <w:color w:val="222222"/>
          <w:sz w:val="19"/>
        </w:rPr>
        <w:t>Random Forest was selected because it achieved the lowest test MAE and RMSE, the highest test R², and the highest mean cross-validated R² among the tested models. Its held-out R² of 69.86% indicates that approximately 69.86% of the variation in the test-set property prices is explained by the fitted model.</w:t>
      </w:r>
    </w:p>
    <w:p>
      <w:pPr>
        <w:jc w:val="center"/>
      </w:pPr>
      <w:r>
        <w:drawing>
          <wp:inline xmlns:a="http://schemas.openxmlformats.org/drawingml/2006/main" xmlns:pic="http://schemas.openxmlformats.org/drawingml/2006/picture">
            <wp:extent cx="5120640" cy="3838032"/>
            <wp:docPr id="11" name="Picture 11"/>
            <wp:cNvGraphicFramePr>
              <a:graphicFrameLocks noChangeAspect="1"/>
            </wp:cNvGraphicFramePr>
            <a:graphic>
              <a:graphicData uri="http://schemas.openxmlformats.org/drawingml/2006/picture">
                <pic:pic>
                  <pic:nvPicPr>
                    <pic:cNvPr id="0" name="image1.png"/>
                    <pic:cNvPicPr/>
                  </pic:nvPicPr>
                  <pic:blipFill>
                    <a:blip r:embed="rId21"/>
                    <a:stretch>
                      <a:fillRect/>
                    </a:stretch>
                  </pic:blipFill>
                  <pic:spPr>
                    <a:xfrm>
                      <a:off x="0" y="0"/>
                      <a:ext cx="5120640" cy="3838032"/>
                    </a:xfrm>
                    <a:prstGeom prst="rect"/>
                  </pic:spPr>
                </pic:pic>
              </a:graphicData>
            </a:graphic>
          </wp:inline>
        </w:drawing>
      </w:r>
    </w:p>
    <w:p>
      <w:pPr>
        <w:spacing w:after="100"/>
        <w:jc w:val="center"/>
      </w:pPr>
      <w:r>
        <w:rPr>
          <w:i/>
          <w:color w:val="666666"/>
          <w:sz w:val="17"/>
        </w:rPr>
        <w:t>Figure 11. Random Forest actual versus predicted property prices on the test set.</w:t>
      </w:r>
    </w:p>
    <w:p>
      <w:pPr>
        <w:jc w:val="center"/>
      </w:pPr>
      <w:r>
        <w:drawing>
          <wp:inline xmlns:a="http://schemas.openxmlformats.org/drawingml/2006/main" xmlns:pic="http://schemas.openxmlformats.org/drawingml/2006/picture">
            <wp:extent cx="5120640" cy="3751946"/>
            <wp:docPr id="12" name="Picture 12"/>
            <wp:cNvGraphicFramePr>
              <a:graphicFrameLocks noChangeAspect="1"/>
            </wp:cNvGraphicFramePr>
            <a:graphic>
              <a:graphicData uri="http://schemas.openxmlformats.org/drawingml/2006/picture">
                <pic:pic>
                  <pic:nvPicPr>
                    <pic:cNvPr id="0" name="image2.png"/>
                    <pic:cNvPicPr/>
                  </pic:nvPicPr>
                  <pic:blipFill>
                    <a:blip r:embed="rId22"/>
                    <a:stretch>
                      <a:fillRect/>
                    </a:stretch>
                  </pic:blipFill>
                  <pic:spPr>
                    <a:xfrm>
                      <a:off x="0" y="0"/>
                      <a:ext cx="5120640" cy="3751946"/>
                    </a:xfrm>
                    <a:prstGeom prst="rect"/>
                  </pic:spPr>
                </pic:pic>
              </a:graphicData>
            </a:graphic>
          </wp:inline>
        </w:drawing>
      </w:r>
    </w:p>
    <w:p>
      <w:pPr>
        <w:spacing w:after="100"/>
        <w:jc w:val="center"/>
      </w:pPr>
      <w:r>
        <w:rPr>
          <w:i/>
          <w:color w:val="666666"/>
          <w:sz w:val="17"/>
        </w:rPr>
        <w:t>Figure 12. Random Forest residual analysis. Most residuals cluster around zero, while larger errors remain for some expensive properties.</w:t>
      </w:r>
    </w:p>
    <w:p>
      <w:pPr>
        <w:spacing w:before="20" w:after="100"/>
      </w:pPr>
      <w:r>
        <w:rPr>
          <w:b/>
          <w:color w:val="2F5597"/>
          <w:sz w:val="24"/>
        </w:rPr>
        <w:t>10.2 Feature Importance</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3427"/>
        <w:gridCol w:w="3427"/>
        <w:gridCol w:w="3427"/>
      </w:tblGrid>
      <w:tr>
        <w:tc>
          <w:tcPr>
            <w:tcW w:type="dxa" w:w="3427"/>
            <w:vAlign w:val="center"/>
            <w:shd w:fill="17365D"/>
          </w:tcPr>
          <w:p>
            <w:pPr>
              <w:spacing w:after="0"/>
            </w:pPr>
            <w:r/>
            <w:r>
              <w:rPr>
                <w:b/>
                <w:color w:val="FFFFFF"/>
                <w:sz w:val="18"/>
              </w:rPr>
              <w:t>Rank</w:t>
            </w:r>
          </w:p>
        </w:tc>
        <w:tc>
          <w:tcPr>
            <w:tcW w:type="dxa" w:w="3427"/>
            <w:vAlign w:val="center"/>
            <w:shd w:fill="17365D"/>
          </w:tcPr>
          <w:p>
            <w:pPr>
              <w:spacing w:after="0"/>
            </w:pPr>
            <w:r/>
            <w:r>
              <w:rPr>
                <w:b/>
                <w:color w:val="FFFFFF"/>
                <w:sz w:val="18"/>
              </w:rPr>
              <w:t>Feature</w:t>
            </w:r>
          </w:p>
        </w:tc>
        <w:tc>
          <w:tcPr>
            <w:tcW w:type="dxa" w:w="3427"/>
            <w:vAlign w:val="center"/>
            <w:shd w:fill="17365D"/>
          </w:tcPr>
          <w:p>
            <w:pPr>
              <w:spacing w:after="0"/>
            </w:pPr>
            <w:r/>
            <w:r>
              <w:rPr>
                <w:b/>
                <w:color w:val="FFFFFF"/>
                <w:sz w:val="18"/>
              </w:rPr>
              <w:t>Importance</w:t>
            </w:r>
          </w:p>
        </w:tc>
      </w:tr>
      <w:tr>
        <w:tc>
          <w:tcPr>
            <w:tcW w:type="dxa" w:w="3427"/>
            <w:vAlign w:val="center"/>
            <w:shd w:fill="F7F9FC"/>
          </w:tcPr>
          <w:p>
            <w:pPr>
              <w:spacing w:after="0"/>
            </w:pPr>
            <w:r/>
            <w:r>
              <w:rPr>
                <w:b w:val="0"/>
                <w:color w:val="222222"/>
                <w:sz w:val="18"/>
              </w:rPr>
              <w:t>1</w:t>
            </w:r>
          </w:p>
        </w:tc>
        <w:tc>
          <w:tcPr>
            <w:tcW w:type="dxa" w:w="3427"/>
            <w:vAlign w:val="center"/>
            <w:shd w:fill="F7F9FC"/>
          </w:tcPr>
          <w:p>
            <w:pPr>
              <w:spacing w:after="0"/>
            </w:pPr>
            <w:r/>
            <w:r>
              <w:rPr>
                <w:b w:val="0"/>
                <w:color w:val="222222"/>
                <w:sz w:val="18"/>
              </w:rPr>
              <w:t>area</w:t>
            </w:r>
          </w:p>
        </w:tc>
        <w:tc>
          <w:tcPr>
            <w:tcW w:type="dxa" w:w="3427"/>
            <w:vAlign w:val="center"/>
            <w:shd w:fill="F7F9FC"/>
          </w:tcPr>
          <w:p>
            <w:pPr>
              <w:spacing w:after="0"/>
            </w:pPr>
            <w:r/>
            <w:r>
              <w:rPr>
                <w:b w:val="0"/>
                <w:color w:val="222222"/>
                <w:sz w:val="18"/>
              </w:rPr>
              <w:t>86.31%</w:t>
            </w:r>
          </w:p>
        </w:tc>
      </w:tr>
      <w:tr>
        <w:tc>
          <w:tcPr>
            <w:tcW w:type="dxa" w:w="3427"/>
            <w:vAlign w:val="center"/>
            <w:shd w:fill="FFFFFF"/>
          </w:tcPr>
          <w:p>
            <w:pPr>
              <w:spacing w:after="0"/>
            </w:pPr>
            <w:r/>
            <w:r>
              <w:rPr>
                <w:b w:val="0"/>
                <w:color w:val="222222"/>
                <w:sz w:val="18"/>
              </w:rPr>
              <w:t>2</w:t>
            </w:r>
          </w:p>
        </w:tc>
        <w:tc>
          <w:tcPr>
            <w:tcW w:type="dxa" w:w="3427"/>
            <w:vAlign w:val="center"/>
            <w:shd w:fill="FFFFFF"/>
          </w:tcPr>
          <w:p>
            <w:pPr>
              <w:spacing w:after="0"/>
            </w:pPr>
            <w:r/>
            <w:r>
              <w:rPr>
                <w:b w:val="0"/>
                <w:color w:val="222222"/>
                <w:sz w:val="18"/>
              </w:rPr>
              <w:t>bhk_count</w:t>
            </w:r>
          </w:p>
        </w:tc>
        <w:tc>
          <w:tcPr>
            <w:tcW w:type="dxa" w:w="3427"/>
            <w:vAlign w:val="center"/>
            <w:shd w:fill="FFFFFF"/>
          </w:tcPr>
          <w:p>
            <w:pPr>
              <w:spacing w:after="0"/>
            </w:pPr>
            <w:r/>
            <w:r>
              <w:rPr>
                <w:b w:val="0"/>
                <w:color w:val="222222"/>
                <w:sz w:val="18"/>
              </w:rPr>
              <w:t>6.62%</w:t>
            </w:r>
          </w:p>
        </w:tc>
      </w:tr>
      <w:tr>
        <w:tc>
          <w:tcPr>
            <w:tcW w:type="dxa" w:w="3427"/>
            <w:vAlign w:val="center"/>
            <w:shd w:fill="F7F9FC"/>
          </w:tcPr>
          <w:p>
            <w:pPr>
              <w:spacing w:after="0"/>
            </w:pPr>
            <w:r/>
            <w:r>
              <w:rPr>
                <w:b w:val="0"/>
                <w:color w:val="222222"/>
                <w:sz w:val="18"/>
              </w:rPr>
              <w:t>3</w:t>
            </w:r>
          </w:p>
        </w:tc>
        <w:tc>
          <w:tcPr>
            <w:tcW w:type="dxa" w:w="3427"/>
            <w:vAlign w:val="center"/>
            <w:shd w:fill="F7F9FC"/>
          </w:tcPr>
          <w:p>
            <w:pPr>
              <w:spacing w:after="0"/>
            </w:pPr>
            <w:r/>
            <w:r>
              <w:rPr>
                <w:b w:val="0"/>
                <w:color w:val="222222"/>
                <w:sz w:val="18"/>
              </w:rPr>
              <w:t>rera_approval</w:t>
            </w:r>
          </w:p>
        </w:tc>
        <w:tc>
          <w:tcPr>
            <w:tcW w:type="dxa" w:w="3427"/>
            <w:vAlign w:val="center"/>
            <w:shd w:fill="F7F9FC"/>
          </w:tcPr>
          <w:p>
            <w:pPr>
              <w:spacing w:after="0"/>
            </w:pPr>
            <w:r/>
            <w:r>
              <w:rPr>
                <w:b w:val="0"/>
                <w:color w:val="222222"/>
                <w:sz w:val="18"/>
              </w:rPr>
              <w:t>1.23%</w:t>
            </w:r>
          </w:p>
        </w:tc>
      </w:tr>
      <w:tr>
        <w:tc>
          <w:tcPr>
            <w:tcW w:type="dxa" w:w="3427"/>
            <w:vAlign w:val="center"/>
            <w:shd w:fill="FFFFFF"/>
          </w:tcPr>
          <w:p>
            <w:pPr>
              <w:spacing w:after="0"/>
            </w:pPr>
            <w:r/>
            <w:r>
              <w:rPr>
                <w:b w:val="0"/>
                <w:color w:val="222222"/>
                <w:sz w:val="18"/>
              </w:rPr>
              <w:t>4</w:t>
            </w:r>
          </w:p>
        </w:tc>
        <w:tc>
          <w:tcPr>
            <w:tcW w:type="dxa" w:w="3427"/>
            <w:vAlign w:val="center"/>
            <w:shd w:fill="FFFFFF"/>
          </w:tcPr>
          <w:p>
            <w:pPr>
              <w:spacing w:after="0"/>
            </w:pPr>
            <w:r/>
            <w:r>
              <w:rPr>
                <w:b w:val="0"/>
                <w:color w:val="222222"/>
                <w:sz w:val="18"/>
              </w:rPr>
              <w:t>status — ready to move</w:t>
            </w:r>
          </w:p>
        </w:tc>
        <w:tc>
          <w:tcPr>
            <w:tcW w:type="dxa" w:w="3427"/>
            <w:vAlign w:val="center"/>
            <w:shd w:fill="FFFFFF"/>
          </w:tcPr>
          <w:p>
            <w:pPr>
              <w:spacing w:after="0"/>
            </w:pPr>
            <w:r/>
            <w:r>
              <w:rPr>
                <w:b w:val="0"/>
                <w:color w:val="222222"/>
                <w:sz w:val="18"/>
              </w:rPr>
              <w:t>1.14%</w:t>
            </w:r>
          </w:p>
        </w:tc>
      </w:tr>
      <w:tr>
        <w:tc>
          <w:tcPr>
            <w:tcW w:type="dxa" w:w="3427"/>
            <w:vAlign w:val="center"/>
            <w:shd w:fill="F7F9FC"/>
          </w:tcPr>
          <w:p>
            <w:pPr>
              <w:spacing w:after="0"/>
            </w:pPr>
            <w:r/>
            <w:r>
              <w:rPr>
                <w:b w:val="0"/>
                <w:color w:val="222222"/>
                <w:sz w:val="18"/>
              </w:rPr>
              <w:t>5</w:t>
            </w:r>
          </w:p>
        </w:tc>
        <w:tc>
          <w:tcPr>
            <w:tcW w:type="dxa" w:w="3427"/>
            <w:vAlign w:val="center"/>
            <w:shd w:fill="F7F9FC"/>
          </w:tcPr>
          <w:p>
            <w:pPr>
              <w:spacing w:after="0"/>
            </w:pPr>
            <w:r/>
            <w:r>
              <w:rPr>
                <w:b w:val="0"/>
                <w:color w:val="222222"/>
                <w:sz w:val="18"/>
              </w:rPr>
              <w:t>flat_type — plot</w:t>
            </w:r>
          </w:p>
        </w:tc>
        <w:tc>
          <w:tcPr>
            <w:tcW w:type="dxa" w:w="3427"/>
            <w:vAlign w:val="center"/>
            <w:shd w:fill="F7F9FC"/>
          </w:tcPr>
          <w:p>
            <w:pPr>
              <w:spacing w:after="0"/>
            </w:pPr>
            <w:r/>
            <w:r>
              <w:rPr>
                <w:b w:val="0"/>
                <w:color w:val="222222"/>
                <w:sz w:val="18"/>
              </w:rPr>
              <w:t>0.99%</w:t>
            </w:r>
          </w:p>
        </w:tc>
      </w:tr>
    </w:tbl>
    <w:p>
      <w:pPr>
        <w:spacing w:after="20"/>
      </w:pPr>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Interpretation caution: </w:t>
            </w:r>
            <w:r>
              <w:rPr>
                <w:color w:val="222222"/>
                <w:sz w:val="18"/>
              </w:rPr>
              <w:t>Random Forest feature importance describes how the model used variables for tree splits. It is not a causal statement and should not be interpreted as a literal percentage contribution to property price.</w:t>
            </w:r>
          </w:p>
        </w:tc>
      </w:tr>
    </w:tbl>
    <w:p>
      <w:pPr>
        <w:spacing w:after="20"/>
      </w:pPr>
    </w:p>
    <w:p>
      <w:pPr>
        <w:spacing w:before="40" w:after="100"/>
      </w:pPr>
      <w:r>
        <w:rPr>
          <w:b/>
          <w:color w:val="17365D"/>
          <w:sz w:val="34"/>
        </w:rPr>
        <w:t>11. Deep Learning Application</w:t>
      </w:r>
    </w:p>
    <w:p>
      <w:pPr>
        <w:spacing w:after="100" w:line="259" w:lineRule="auto"/>
      </w:pPr>
      <w:r>
        <w:rPr>
          <w:color w:val="222222"/>
          <w:sz w:val="19"/>
        </w:rPr>
        <w:t>The deep-learning stage extended the same regression problem into an Artificial Neural Network implemented with TensorFlow/Keras. The network used the same five core predictors as the supervised baseline, with numerical standardization and categorical one-hot encoding. The rate_per_sqft variable remained excluded to preserve leakage control.</w:t>
      </w:r>
    </w:p>
    <w:p>
      <w:pPr>
        <w:spacing w:before="20" w:after="100"/>
      </w:pPr>
      <w:r>
        <w:rPr>
          <w:b/>
          <w:color w:val="2F5597"/>
          <w:sz w:val="24"/>
        </w:rPr>
        <w:t>11.1 Final ANN Architecture</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3427"/>
        <w:gridCol w:w="3427"/>
        <w:gridCol w:w="3427"/>
      </w:tblGrid>
      <w:tr>
        <w:tc>
          <w:tcPr>
            <w:tcW w:type="dxa" w:w="3427"/>
            <w:vAlign w:val="center"/>
            <w:shd w:fill="17365D"/>
          </w:tcPr>
          <w:p>
            <w:pPr>
              <w:spacing w:after="0"/>
            </w:pPr>
            <w:r/>
            <w:r>
              <w:rPr>
                <w:b/>
                <w:color w:val="FFFFFF"/>
                <w:sz w:val="18"/>
              </w:rPr>
              <w:t>Layer</w:t>
            </w:r>
          </w:p>
        </w:tc>
        <w:tc>
          <w:tcPr>
            <w:tcW w:type="dxa" w:w="3427"/>
            <w:vAlign w:val="center"/>
            <w:shd w:fill="17365D"/>
          </w:tcPr>
          <w:p>
            <w:pPr>
              <w:spacing w:after="0"/>
            </w:pPr>
            <w:r/>
            <w:r>
              <w:rPr>
                <w:b/>
                <w:color w:val="FFFFFF"/>
                <w:sz w:val="18"/>
              </w:rPr>
              <w:t>Configuration</w:t>
            </w:r>
          </w:p>
        </w:tc>
        <w:tc>
          <w:tcPr>
            <w:tcW w:type="dxa" w:w="3427"/>
            <w:vAlign w:val="center"/>
            <w:shd w:fill="17365D"/>
          </w:tcPr>
          <w:p>
            <w:pPr>
              <w:spacing w:after="0"/>
            </w:pPr>
            <w:r/>
            <w:r>
              <w:rPr>
                <w:b/>
                <w:color w:val="FFFFFF"/>
                <w:sz w:val="18"/>
              </w:rPr>
              <w:t>Purpose</w:t>
            </w:r>
          </w:p>
        </w:tc>
      </w:tr>
      <w:tr>
        <w:tc>
          <w:tcPr>
            <w:tcW w:type="dxa" w:w="3427"/>
            <w:vAlign w:val="center"/>
            <w:shd w:fill="F7F9FC"/>
          </w:tcPr>
          <w:p>
            <w:pPr>
              <w:spacing w:after="0"/>
            </w:pPr>
            <w:r/>
            <w:r>
              <w:rPr>
                <w:b w:val="0"/>
                <w:color w:val="222222"/>
                <w:sz w:val="18"/>
              </w:rPr>
              <w:t>Input</w:t>
            </w:r>
          </w:p>
        </w:tc>
        <w:tc>
          <w:tcPr>
            <w:tcW w:type="dxa" w:w="3427"/>
            <w:vAlign w:val="center"/>
            <w:shd w:fill="F7F9FC"/>
          </w:tcPr>
          <w:p>
            <w:pPr>
              <w:spacing w:after="0"/>
            </w:pPr>
            <w:r/>
            <w:r>
              <w:rPr>
                <w:b w:val="0"/>
                <w:color w:val="222222"/>
                <w:sz w:val="18"/>
              </w:rPr>
              <w:t>11 processed features</w:t>
            </w:r>
          </w:p>
        </w:tc>
        <w:tc>
          <w:tcPr>
            <w:tcW w:type="dxa" w:w="3427"/>
            <w:vAlign w:val="center"/>
            <w:shd w:fill="F7F9FC"/>
          </w:tcPr>
          <w:p>
            <w:pPr>
              <w:spacing w:after="0"/>
            </w:pPr>
            <w:r/>
            <w:r>
              <w:rPr>
                <w:b w:val="0"/>
                <w:color w:val="222222"/>
                <w:sz w:val="18"/>
              </w:rPr>
              <w:t>Receives numerical and encoded categorical predictors</w:t>
            </w:r>
          </w:p>
        </w:tc>
      </w:tr>
      <w:tr>
        <w:tc>
          <w:tcPr>
            <w:tcW w:type="dxa" w:w="3427"/>
            <w:vAlign w:val="center"/>
            <w:shd w:fill="FFFFFF"/>
          </w:tcPr>
          <w:p>
            <w:pPr>
              <w:spacing w:after="0"/>
            </w:pPr>
            <w:r/>
            <w:r>
              <w:rPr>
                <w:b w:val="0"/>
                <w:color w:val="222222"/>
                <w:sz w:val="18"/>
              </w:rPr>
              <w:t>Dense 1</w:t>
            </w:r>
          </w:p>
        </w:tc>
        <w:tc>
          <w:tcPr>
            <w:tcW w:type="dxa" w:w="3427"/>
            <w:vAlign w:val="center"/>
            <w:shd w:fill="FFFFFF"/>
          </w:tcPr>
          <w:p>
            <w:pPr>
              <w:spacing w:after="0"/>
            </w:pPr>
            <w:r/>
            <w:r>
              <w:rPr>
                <w:b w:val="0"/>
                <w:color w:val="222222"/>
                <w:sz w:val="18"/>
              </w:rPr>
              <w:t>64 neurons, ReLU</w:t>
            </w:r>
          </w:p>
        </w:tc>
        <w:tc>
          <w:tcPr>
            <w:tcW w:type="dxa" w:w="3427"/>
            <w:vAlign w:val="center"/>
            <w:shd w:fill="FFFFFF"/>
          </w:tcPr>
          <w:p>
            <w:pPr>
              <w:spacing w:after="0"/>
            </w:pPr>
            <w:r/>
            <w:r>
              <w:rPr>
                <w:b w:val="0"/>
                <w:color w:val="222222"/>
                <w:sz w:val="18"/>
              </w:rPr>
              <w:t>Learns nonlinear representations</w:t>
            </w:r>
          </w:p>
        </w:tc>
      </w:tr>
      <w:tr>
        <w:tc>
          <w:tcPr>
            <w:tcW w:type="dxa" w:w="3427"/>
            <w:vAlign w:val="center"/>
            <w:shd w:fill="F7F9FC"/>
          </w:tcPr>
          <w:p>
            <w:pPr>
              <w:spacing w:after="0"/>
            </w:pPr>
            <w:r/>
            <w:r>
              <w:rPr>
                <w:b w:val="0"/>
                <w:color w:val="222222"/>
                <w:sz w:val="18"/>
              </w:rPr>
              <w:t>Dropout</w:t>
            </w:r>
          </w:p>
        </w:tc>
        <w:tc>
          <w:tcPr>
            <w:tcW w:type="dxa" w:w="3427"/>
            <w:vAlign w:val="center"/>
            <w:shd w:fill="F7F9FC"/>
          </w:tcPr>
          <w:p>
            <w:pPr>
              <w:spacing w:after="0"/>
            </w:pPr>
            <w:r/>
            <w:r>
              <w:rPr>
                <w:b w:val="0"/>
                <w:color w:val="222222"/>
                <w:sz w:val="18"/>
              </w:rPr>
              <w:t>20%</w:t>
            </w:r>
          </w:p>
        </w:tc>
        <w:tc>
          <w:tcPr>
            <w:tcW w:type="dxa" w:w="3427"/>
            <w:vAlign w:val="center"/>
            <w:shd w:fill="F7F9FC"/>
          </w:tcPr>
          <w:p>
            <w:pPr>
              <w:spacing w:after="0"/>
            </w:pPr>
            <w:r/>
            <w:r>
              <w:rPr>
                <w:b w:val="0"/>
                <w:color w:val="222222"/>
                <w:sz w:val="18"/>
              </w:rPr>
              <w:t>Regularization</w:t>
            </w:r>
          </w:p>
        </w:tc>
      </w:tr>
      <w:tr>
        <w:tc>
          <w:tcPr>
            <w:tcW w:type="dxa" w:w="3427"/>
            <w:vAlign w:val="center"/>
            <w:shd w:fill="FFFFFF"/>
          </w:tcPr>
          <w:p>
            <w:pPr>
              <w:spacing w:after="0"/>
            </w:pPr>
            <w:r/>
            <w:r>
              <w:rPr>
                <w:b w:val="0"/>
                <w:color w:val="222222"/>
                <w:sz w:val="18"/>
              </w:rPr>
              <w:t>Dense 2</w:t>
            </w:r>
          </w:p>
        </w:tc>
        <w:tc>
          <w:tcPr>
            <w:tcW w:type="dxa" w:w="3427"/>
            <w:vAlign w:val="center"/>
            <w:shd w:fill="FFFFFF"/>
          </w:tcPr>
          <w:p>
            <w:pPr>
              <w:spacing w:after="0"/>
            </w:pPr>
            <w:r/>
            <w:r>
              <w:rPr>
                <w:b w:val="0"/>
                <w:color w:val="222222"/>
                <w:sz w:val="18"/>
              </w:rPr>
              <w:t>32 neurons, ReLU</w:t>
            </w:r>
          </w:p>
        </w:tc>
        <w:tc>
          <w:tcPr>
            <w:tcW w:type="dxa" w:w="3427"/>
            <w:vAlign w:val="center"/>
            <w:shd w:fill="FFFFFF"/>
          </w:tcPr>
          <w:p>
            <w:pPr>
              <w:spacing w:after="0"/>
            </w:pPr>
            <w:r/>
            <w:r>
              <w:rPr>
                <w:b w:val="0"/>
                <w:color w:val="222222"/>
                <w:sz w:val="18"/>
              </w:rPr>
              <w:t>Progressively smaller representation</w:t>
            </w:r>
          </w:p>
        </w:tc>
      </w:tr>
      <w:tr>
        <w:tc>
          <w:tcPr>
            <w:tcW w:type="dxa" w:w="3427"/>
            <w:vAlign w:val="center"/>
            <w:shd w:fill="F7F9FC"/>
          </w:tcPr>
          <w:p>
            <w:pPr>
              <w:spacing w:after="0"/>
            </w:pPr>
            <w:r/>
            <w:r>
              <w:rPr>
                <w:b w:val="0"/>
                <w:color w:val="222222"/>
                <w:sz w:val="18"/>
              </w:rPr>
              <w:t>Dropout</w:t>
            </w:r>
          </w:p>
        </w:tc>
        <w:tc>
          <w:tcPr>
            <w:tcW w:type="dxa" w:w="3427"/>
            <w:vAlign w:val="center"/>
            <w:shd w:fill="F7F9FC"/>
          </w:tcPr>
          <w:p>
            <w:pPr>
              <w:spacing w:after="0"/>
            </w:pPr>
            <w:r/>
            <w:r>
              <w:rPr>
                <w:b w:val="0"/>
                <w:color w:val="222222"/>
                <w:sz w:val="18"/>
              </w:rPr>
              <w:t>20%</w:t>
            </w:r>
          </w:p>
        </w:tc>
        <w:tc>
          <w:tcPr>
            <w:tcW w:type="dxa" w:w="3427"/>
            <w:vAlign w:val="center"/>
            <w:shd w:fill="F7F9FC"/>
          </w:tcPr>
          <w:p>
            <w:pPr>
              <w:spacing w:after="0"/>
            </w:pPr>
            <w:r/>
            <w:r>
              <w:rPr>
                <w:b w:val="0"/>
                <w:color w:val="222222"/>
                <w:sz w:val="18"/>
              </w:rPr>
              <w:t>Regularization</w:t>
            </w:r>
          </w:p>
        </w:tc>
      </w:tr>
      <w:tr>
        <w:tc>
          <w:tcPr>
            <w:tcW w:type="dxa" w:w="3427"/>
            <w:vAlign w:val="center"/>
            <w:shd w:fill="FFFFFF"/>
          </w:tcPr>
          <w:p>
            <w:pPr>
              <w:spacing w:after="0"/>
            </w:pPr>
            <w:r/>
            <w:r>
              <w:rPr>
                <w:b w:val="0"/>
                <w:color w:val="222222"/>
                <w:sz w:val="18"/>
              </w:rPr>
              <w:t>Dense 3</w:t>
            </w:r>
          </w:p>
        </w:tc>
        <w:tc>
          <w:tcPr>
            <w:tcW w:type="dxa" w:w="3427"/>
            <w:vAlign w:val="center"/>
            <w:shd w:fill="FFFFFF"/>
          </w:tcPr>
          <w:p>
            <w:pPr>
              <w:spacing w:after="0"/>
            </w:pPr>
            <w:r/>
            <w:r>
              <w:rPr>
                <w:b w:val="0"/>
                <w:color w:val="222222"/>
                <w:sz w:val="18"/>
              </w:rPr>
              <w:t>16 neurons, ReLU</w:t>
            </w:r>
          </w:p>
        </w:tc>
        <w:tc>
          <w:tcPr>
            <w:tcW w:type="dxa" w:w="3427"/>
            <w:vAlign w:val="center"/>
            <w:shd w:fill="FFFFFF"/>
          </w:tcPr>
          <w:p>
            <w:pPr>
              <w:spacing w:after="0"/>
            </w:pPr>
            <w:r/>
            <w:r>
              <w:rPr>
                <w:b w:val="0"/>
                <w:color w:val="222222"/>
                <w:sz w:val="18"/>
              </w:rPr>
              <w:t>Compact nonlinear representation</w:t>
            </w:r>
          </w:p>
        </w:tc>
      </w:tr>
      <w:tr>
        <w:tc>
          <w:tcPr>
            <w:tcW w:type="dxa" w:w="3427"/>
            <w:vAlign w:val="center"/>
            <w:shd w:fill="F7F9FC"/>
          </w:tcPr>
          <w:p>
            <w:pPr>
              <w:spacing w:after="0"/>
            </w:pPr>
            <w:r/>
            <w:r>
              <w:rPr>
                <w:b w:val="0"/>
                <w:color w:val="222222"/>
                <w:sz w:val="18"/>
              </w:rPr>
              <w:t>Output</w:t>
            </w:r>
          </w:p>
        </w:tc>
        <w:tc>
          <w:tcPr>
            <w:tcW w:type="dxa" w:w="3427"/>
            <w:vAlign w:val="center"/>
            <w:shd w:fill="F7F9FC"/>
          </w:tcPr>
          <w:p>
            <w:pPr>
              <w:spacing w:after="0"/>
            </w:pPr>
            <w:r/>
            <w:r>
              <w:rPr>
                <w:b w:val="0"/>
                <w:color w:val="222222"/>
                <w:sz w:val="18"/>
              </w:rPr>
              <w:t>1 linear neuron</w:t>
            </w:r>
          </w:p>
        </w:tc>
        <w:tc>
          <w:tcPr>
            <w:tcW w:type="dxa" w:w="3427"/>
            <w:vAlign w:val="center"/>
            <w:shd w:fill="F7F9FC"/>
          </w:tcPr>
          <w:p>
            <w:pPr>
              <w:spacing w:after="0"/>
            </w:pPr>
            <w:r/>
            <w:r>
              <w:rPr>
                <w:b w:val="0"/>
                <w:color w:val="222222"/>
                <w:sz w:val="18"/>
              </w:rPr>
              <w:t>Continuous price prediction</w:t>
            </w:r>
          </w:p>
        </w:tc>
      </w:tr>
    </w:tbl>
    <w:p>
      <w:pPr>
        <w:spacing w:after="20"/>
      </w:pPr>
    </w:p>
    <w:tbl>
      <w:tblPr>
        <w:tblW w:type="auto" w:w="0"/>
        <w:tblLook w:firstColumn="1" w:firstRow="1" w:lastColumn="0" w:lastRow="0" w:noHBand="0" w:noVBand="1" w:val="04A0"/>
      </w:tblPr>
      <w:tblGrid>
        <w:gridCol w:w="10282"/>
      </w:tblGrid>
      <w:tr>
        <w:tc>
          <w:tcPr>
            <w:tcW w:type="dxa" w:w="10282"/>
            <w:shd w:fill="172033"/>
          </w:tcPr>
          <w:p>
            <w:pPr>
              <w:spacing w:after="0"/>
              <w:ind w:left="80"/>
            </w:pPr>
            <w:r/>
            <w:r>
              <w:rPr>
                <w:rFonts w:ascii="Consolas" w:hAnsi="Consolas"/>
                <w:color w:val="F4F7FB"/>
                <w:sz w:val="16"/>
              </w:rPr>
              <w:t>final_model = Sequential([</w:t>
              <w:br/>
              <w:t xml:space="preserve">    Dense(64, activation='relu', input_shape=(X_train_processed.shape[1],)),</w:t>
              <w:br/>
              <w:t xml:space="preserve">    Dropout(0.20),</w:t>
              <w:br/>
              <w:t xml:space="preserve">    Dense(32, activation='relu'),</w:t>
              <w:br/>
              <w:t xml:space="preserve">    Dropout(0.20),</w:t>
              <w:br/>
              <w:t xml:space="preserve">    Dense(16, activation='relu'),</w:t>
              <w:br/>
              <w:t xml:space="preserve">    Dense(1)</w:t>
              <w:br/>
              <w:t>])</w:t>
              <w:br/>
              <w:t>final_model.compile(optimizer='adam', loss='mse', metrics=['mae'])</w:t>
            </w:r>
          </w:p>
        </w:tc>
      </w:tr>
    </w:tbl>
    <w:p>
      <w:pPr>
        <w:spacing w:after="20"/>
      </w:pPr>
    </w:p>
    <w:p>
      <w:pPr>
        <w:spacing w:before="20" w:after="100"/>
      </w:pPr>
      <w:r>
        <w:rPr>
          <w:b/>
          <w:color w:val="2F5597"/>
          <w:sz w:val="24"/>
        </w:rPr>
        <w:t>11.2 Training Design</w:t>
      </w:r>
    </w:p>
    <w:p>
      <w:pPr>
        <w:pStyle w:val="ListBullet"/>
        <w:spacing w:after="40"/>
        <w:ind w:left="317" w:hanging="173"/>
      </w:pPr>
      <w:r>
        <w:rPr>
          <w:color w:val="222222"/>
          <w:sz w:val="18"/>
        </w:rPr>
        <w:t>Training/test split: 80% / 20% = 11,378 / 2,845 observations.</w:t>
      </w:r>
    </w:p>
    <w:p>
      <w:pPr>
        <w:pStyle w:val="ListBullet"/>
        <w:spacing w:after="40"/>
        <w:ind w:left="317" w:hanging="173"/>
      </w:pPr>
      <w:r>
        <w:rPr>
          <w:color w:val="222222"/>
          <w:sz w:val="18"/>
        </w:rPr>
        <w:t>Validation split: 20% of the training data.</w:t>
      </w:r>
    </w:p>
    <w:p>
      <w:pPr>
        <w:pStyle w:val="ListBullet"/>
        <w:spacing w:after="40"/>
        <w:ind w:left="317" w:hanging="173"/>
      </w:pPr>
      <w:r>
        <w:rPr>
          <w:color w:val="222222"/>
          <w:sz w:val="18"/>
        </w:rPr>
        <w:t>Maximum epochs: 100.</w:t>
      </w:r>
    </w:p>
    <w:p>
      <w:pPr>
        <w:pStyle w:val="ListBullet"/>
        <w:spacing w:after="40"/>
        <w:ind w:left="317" w:hanging="173"/>
      </w:pPr>
      <w:r>
        <w:rPr>
          <w:color w:val="222222"/>
          <w:sz w:val="18"/>
        </w:rPr>
        <w:t>Batch size: 32.</w:t>
      </w:r>
    </w:p>
    <w:p>
      <w:pPr>
        <w:pStyle w:val="ListBullet"/>
        <w:spacing w:after="40"/>
        <w:ind w:left="317" w:hanging="173"/>
      </w:pPr>
      <w:r>
        <w:rPr>
          <w:color w:val="222222"/>
          <w:sz w:val="18"/>
        </w:rPr>
        <w:t>Optimizer: Adam.</w:t>
      </w:r>
    </w:p>
    <w:p>
      <w:pPr>
        <w:pStyle w:val="ListBullet"/>
        <w:spacing w:after="40"/>
        <w:ind w:left="317" w:hanging="173"/>
      </w:pPr>
      <w:r>
        <w:rPr>
          <w:color w:val="222222"/>
          <w:sz w:val="18"/>
        </w:rPr>
        <w:t>Loss: Mean Squared Error.</w:t>
      </w:r>
    </w:p>
    <w:p>
      <w:pPr>
        <w:pStyle w:val="ListBullet"/>
        <w:spacing w:after="40"/>
        <w:ind w:left="317" w:hanging="173"/>
      </w:pPr>
      <w:r>
        <w:rPr>
          <w:color w:val="222222"/>
          <w:sz w:val="18"/>
        </w:rPr>
        <w:t>Early Stopping: patience = 10 with restore_best_weights=True.</w:t>
      </w:r>
    </w:p>
    <w:p>
      <w:pPr>
        <w:pStyle w:val="ListBullet"/>
        <w:spacing w:after="40"/>
        <w:ind w:left="317" w:hanging="173"/>
      </w:pPr>
      <w:r>
        <w:rPr>
          <w:color w:val="222222"/>
          <w:sz w:val="18"/>
        </w:rPr>
        <w:t>Final training history: 37 executed epochs; lowest validation loss 0.5543 at epoch 27.</w:t>
      </w:r>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Resource constraint: </w:t>
            </w:r>
            <w:r>
              <w:rPr>
                <w:color w:val="222222"/>
                <w:sz w:val="18"/>
              </w:rPr>
              <w:t>Training was performed on CPU because the supplied environment used native Windows TensorFlow without the standard CUDA GPU path for TensorFlow 2.11 and later. The compact network and Early Stopping kept the experiment manageable.</w:t>
            </w:r>
          </w:p>
        </w:tc>
      </w:tr>
    </w:tbl>
    <w:p>
      <w:pPr>
        <w:spacing w:after="20"/>
      </w:pPr>
    </w:p>
    <w:p>
      <w:pPr>
        <w:spacing w:before="40" w:after="100"/>
      </w:pPr>
      <w:r>
        <w:rPr>
          <w:b/>
          <w:color w:val="17365D"/>
          <w:sz w:val="34"/>
        </w:rPr>
        <w:t>12. Deep Learning Experiments and Evaluation</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056"/>
        <w:gridCol w:w="2056"/>
        <w:gridCol w:w="2056"/>
        <w:gridCol w:w="2056"/>
        <w:gridCol w:w="2056"/>
      </w:tblGrid>
      <w:tr>
        <w:tc>
          <w:tcPr>
            <w:tcW w:type="dxa" w:w="2056"/>
            <w:vAlign w:val="center"/>
            <w:shd w:fill="17365D"/>
          </w:tcPr>
          <w:p>
            <w:pPr>
              <w:spacing w:after="0"/>
            </w:pPr>
            <w:r/>
            <w:r>
              <w:rPr>
                <w:b/>
                <w:color w:val="FFFFFF"/>
                <w:sz w:val="16"/>
              </w:rPr>
              <w:t>Experiment</w:t>
            </w:r>
          </w:p>
        </w:tc>
        <w:tc>
          <w:tcPr>
            <w:tcW w:type="dxa" w:w="2056"/>
            <w:vAlign w:val="center"/>
            <w:shd w:fill="17365D"/>
          </w:tcPr>
          <w:p>
            <w:pPr>
              <w:spacing w:after="0"/>
            </w:pPr>
            <w:r/>
            <w:r>
              <w:rPr>
                <w:b/>
                <w:color w:val="FFFFFF"/>
                <w:sz w:val="16"/>
              </w:rPr>
              <w:t>MAE (₹)</w:t>
            </w:r>
          </w:p>
        </w:tc>
        <w:tc>
          <w:tcPr>
            <w:tcW w:type="dxa" w:w="2056"/>
            <w:vAlign w:val="center"/>
            <w:shd w:fill="17365D"/>
          </w:tcPr>
          <w:p>
            <w:pPr>
              <w:spacing w:after="0"/>
            </w:pPr>
            <w:r/>
            <w:r>
              <w:rPr>
                <w:b/>
                <w:color w:val="FFFFFF"/>
                <w:sz w:val="16"/>
              </w:rPr>
              <w:t>RMSE (₹)</w:t>
            </w:r>
          </w:p>
        </w:tc>
        <w:tc>
          <w:tcPr>
            <w:tcW w:type="dxa" w:w="2056"/>
            <w:vAlign w:val="center"/>
            <w:shd w:fill="17365D"/>
          </w:tcPr>
          <w:p>
            <w:pPr>
              <w:spacing w:after="0"/>
            </w:pPr>
            <w:r/>
            <w:r>
              <w:rPr>
                <w:b/>
                <w:color w:val="FFFFFF"/>
                <w:sz w:val="16"/>
              </w:rPr>
              <w:t>R²</w:t>
            </w:r>
          </w:p>
        </w:tc>
        <w:tc>
          <w:tcPr>
            <w:tcW w:type="dxa" w:w="2056"/>
            <w:vAlign w:val="center"/>
            <w:shd w:fill="17365D"/>
          </w:tcPr>
          <w:p>
            <w:pPr>
              <w:spacing w:after="0"/>
            </w:pPr>
            <w:r/>
            <w:r>
              <w:rPr>
                <w:b/>
                <w:color w:val="FFFFFF"/>
                <w:sz w:val="16"/>
              </w:rPr>
              <w:t>Decision</w:t>
            </w:r>
          </w:p>
        </w:tc>
      </w:tr>
      <w:tr>
        <w:tc>
          <w:tcPr>
            <w:tcW w:type="dxa" w:w="2056"/>
            <w:vAlign w:val="center"/>
            <w:shd w:fill="F7F9FC"/>
          </w:tcPr>
          <w:p>
            <w:pPr>
              <w:spacing w:after="0"/>
            </w:pPr>
            <w:r/>
            <w:r>
              <w:rPr>
                <w:b w:val="0"/>
                <w:color w:val="222222"/>
                <w:sz w:val="16"/>
              </w:rPr>
              <w:t>Baseline Neural Network</w:t>
            </w:r>
          </w:p>
        </w:tc>
        <w:tc>
          <w:tcPr>
            <w:tcW w:type="dxa" w:w="2056"/>
            <w:vAlign w:val="center"/>
            <w:shd w:fill="F7F9FC"/>
          </w:tcPr>
          <w:p>
            <w:pPr>
              <w:spacing w:after="0"/>
            </w:pPr>
            <w:r/>
            <w:r>
              <w:rPr>
                <w:b w:val="0"/>
                <w:color w:val="222222"/>
                <w:sz w:val="16"/>
              </w:rPr>
              <w:t>26,499,670</w:t>
            </w:r>
          </w:p>
        </w:tc>
        <w:tc>
          <w:tcPr>
            <w:tcW w:type="dxa" w:w="2056"/>
            <w:vAlign w:val="center"/>
            <w:shd w:fill="F7F9FC"/>
          </w:tcPr>
          <w:p>
            <w:pPr>
              <w:spacing w:after="0"/>
            </w:pPr>
            <w:r/>
            <w:r>
              <w:rPr>
                <w:b w:val="0"/>
                <w:color w:val="222222"/>
                <w:sz w:val="16"/>
              </w:rPr>
              <w:t>60,081,280</w:t>
            </w:r>
          </w:p>
        </w:tc>
        <w:tc>
          <w:tcPr>
            <w:tcW w:type="dxa" w:w="2056"/>
            <w:vAlign w:val="center"/>
            <w:shd w:fill="F7F9FC"/>
          </w:tcPr>
          <w:p>
            <w:pPr>
              <w:spacing w:after="0"/>
            </w:pPr>
            <w:r/>
            <w:r>
              <w:rPr>
                <w:b w:val="0"/>
                <w:color w:val="222222"/>
                <w:sz w:val="16"/>
              </w:rPr>
              <w:t>5.20%</w:t>
            </w:r>
          </w:p>
        </w:tc>
        <w:tc>
          <w:tcPr>
            <w:tcW w:type="dxa" w:w="2056"/>
            <w:vAlign w:val="center"/>
            <w:shd w:fill="F7F9FC"/>
          </w:tcPr>
          <w:p>
            <w:pPr>
              <w:spacing w:after="0"/>
            </w:pPr>
            <w:r/>
            <w:r>
              <w:rPr>
                <w:b w:val="0"/>
                <w:color w:val="222222"/>
                <w:sz w:val="16"/>
              </w:rPr>
              <w:t>Baseline</w:t>
            </w:r>
          </w:p>
        </w:tc>
      </w:tr>
      <w:tr>
        <w:tc>
          <w:tcPr>
            <w:tcW w:type="dxa" w:w="2056"/>
            <w:vAlign w:val="center"/>
            <w:shd w:fill="FFFFFF"/>
          </w:tcPr>
          <w:p>
            <w:pPr>
              <w:spacing w:after="0"/>
            </w:pPr>
            <w:r/>
            <w:r>
              <w:rPr>
                <w:b w:val="0"/>
                <w:color w:val="222222"/>
                <w:sz w:val="16"/>
              </w:rPr>
              <w:t>Log-Transformed Neural Network</w:t>
            </w:r>
          </w:p>
        </w:tc>
        <w:tc>
          <w:tcPr>
            <w:tcW w:type="dxa" w:w="2056"/>
            <w:vAlign w:val="center"/>
            <w:shd w:fill="FFFFFF"/>
          </w:tcPr>
          <w:p>
            <w:pPr>
              <w:spacing w:after="0"/>
            </w:pPr>
            <w:r/>
            <w:r>
              <w:rPr>
                <w:b w:val="0"/>
                <w:color w:val="222222"/>
                <w:sz w:val="16"/>
              </w:rPr>
              <w:t>25,269,770</w:t>
            </w:r>
          </w:p>
        </w:tc>
        <w:tc>
          <w:tcPr>
            <w:tcW w:type="dxa" w:w="2056"/>
            <w:vAlign w:val="center"/>
            <w:shd w:fill="FFFFFF"/>
          </w:tcPr>
          <w:p>
            <w:pPr>
              <w:spacing w:after="0"/>
            </w:pPr>
            <w:r/>
            <w:r>
              <w:rPr>
                <w:b w:val="0"/>
                <w:color w:val="222222"/>
                <w:sz w:val="16"/>
              </w:rPr>
              <w:t>61,653,280</w:t>
            </w:r>
          </w:p>
        </w:tc>
        <w:tc>
          <w:tcPr>
            <w:tcW w:type="dxa" w:w="2056"/>
            <w:vAlign w:val="center"/>
            <w:shd w:fill="FFFFFF"/>
          </w:tcPr>
          <w:p>
            <w:pPr>
              <w:spacing w:after="0"/>
            </w:pPr>
            <w:r/>
            <w:r>
              <w:rPr>
                <w:b w:val="0"/>
                <w:color w:val="222222"/>
                <w:sz w:val="16"/>
              </w:rPr>
              <w:t>0.18%</w:t>
            </w:r>
          </w:p>
        </w:tc>
        <w:tc>
          <w:tcPr>
            <w:tcW w:type="dxa" w:w="2056"/>
            <w:vAlign w:val="center"/>
            <w:shd w:fill="FFFFFF"/>
          </w:tcPr>
          <w:p>
            <w:pPr>
              <w:spacing w:after="0"/>
            </w:pPr>
            <w:r/>
            <w:r>
              <w:rPr>
                <w:b w:val="0"/>
                <w:color w:val="222222"/>
                <w:sz w:val="16"/>
              </w:rPr>
              <w:t>Rejected</w:t>
            </w:r>
          </w:p>
        </w:tc>
      </w:tr>
      <w:tr>
        <w:tc>
          <w:tcPr>
            <w:tcW w:type="dxa" w:w="2056"/>
            <w:vAlign w:val="center"/>
            <w:shd w:fill="F7F9FC"/>
          </w:tcPr>
          <w:p>
            <w:pPr>
              <w:spacing w:after="0"/>
            </w:pPr>
            <w:r/>
            <w:r>
              <w:rPr>
                <w:b w:val="0"/>
                <w:color w:val="222222"/>
                <w:sz w:val="16"/>
              </w:rPr>
              <w:t>Scaled-Target Neural Network</w:t>
            </w:r>
          </w:p>
        </w:tc>
        <w:tc>
          <w:tcPr>
            <w:tcW w:type="dxa" w:w="2056"/>
            <w:vAlign w:val="center"/>
            <w:shd w:fill="F7F9FC"/>
          </w:tcPr>
          <w:p>
            <w:pPr>
              <w:spacing w:after="0"/>
            </w:pPr>
            <w:r/>
            <w:r>
              <w:rPr>
                <w:b w:val="0"/>
                <w:color w:val="222222"/>
                <w:sz w:val="16"/>
              </w:rPr>
              <w:t>17,913,580</w:t>
            </w:r>
          </w:p>
        </w:tc>
        <w:tc>
          <w:tcPr>
            <w:tcW w:type="dxa" w:w="2056"/>
            <w:vAlign w:val="center"/>
            <w:shd w:fill="F7F9FC"/>
          </w:tcPr>
          <w:p>
            <w:pPr>
              <w:spacing w:after="0"/>
            </w:pPr>
            <w:r/>
            <w:r>
              <w:rPr>
                <w:b w:val="0"/>
                <w:color w:val="222222"/>
                <w:sz w:val="16"/>
              </w:rPr>
              <w:t>45,727,510</w:t>
            </w:r>
          </w:p>
        </w:tc>
        <w:tc>
          <w:tcPr>
            <w:tcW w:type="dxa" w:w="2056"/>
            <w:vAlign w:val="center"/>
            <w:shd w:fill="F7F9FC"/>
          </w:tcPr>
          <w:p>
            <w:pPr>
              <w:spacing w:after="0"/>
            </w:pPr>
            <w:r/>
            <w:r>
              <w:rPr>
                <w:b w:val="0"/>
                <w:color w:val="222222"/>
                <w:sz w:val="16"/>
              </w:rPr>
              <w:t>45.09%</w:t>
            </w:r>
          </w:p>
        </w:tc>
        <w:tc>
          <w:tcPr>
            <w:tcW w:type="dxa" w:w="2056"/>
            <w:vAlign w:val="center"/>
            <w:shd w:fill="F7F9FC"/>
          </w:tcPr>
          <w:p>
            <w:pPr>
              <w:spacing w:after="0"/>
            </w:pPr>
            <w:r/>
            <w:r>
              <w:rPr>
                <w:b w:val="0"/>
                <w:color w:val="222222"/>
                <w:sz w:val="16"/>
              </w:rPr>
              <w:t>Selected</w:t>
            </w:r>
          </w:p>
        </w:tc>
      </w:tr>
    </w:tbl>
    <w:p>
      <w:pPr>
        <w:spacing w:after="20"/>
      </w:pPr>
    </w:p>
    <w:p>
      <w:pPr>
        <w:spacing w:after="100" w:line="259" w:lineRule="auto"/>
      </w:pPr>
      <w:r>
        <w:rPr>
          <w:color w:val="222222"/>
          <w:sz w:val="19"/>
        </w:rPr>
        <w:t>The baseline neural network was trained directly on raw price values and achieved only 5.20% R². A log1p(price) experiment slightly improved MAE but increased RMSE and reduced R² to 0.18%, so it was rejected. Standardizing the target before training produced a substantial improvement and became the final deep-learning configuration.</w:t>
      </w:r>
    </w:p>
    <w:p>
      <w:pPr>
        <w:jc w:val="center"/>
      </w:pPr>
      <w:r>
        <w:drawing>
          <wp:inline xmlns:a="http://schemas.openxmlformats.org/drawingml/2006/main" xmlns:pic="http://schemas.openxmlformats.org/drawingml/2006/picture">
            <wp:extent cx="5029200" cy="3678072"/>
            <wp:docPr id="13" name="Picture 13"/>
            <wp:cNvGraphicFramePr>
              <a:graphicFrameLocks noChangeAspect="1"/>
            </wp:cNvGraphicFramePr>
            <a:graphic>
              <a:graphicData uri="http://schemas.openxmlformats.org/drawingml/2006/picture">
                <pic:pic>
                  <pic:nvPicPr>
                    <pic:cNvPr id="0" name="image1.png"/>
                    <pic:cNvPicPr/>
                  </pic:nvPicPr>
                  <pic:blipFill>
                    <a:blip r:embed="rId23"/>
                    <a:stretch>
                      <a:fillRect/>
                    </a:stretch>
                  </pic:blipFill>
                  <pic:spPr>
                    <a:xfrm>
                      <a:off x="0" y="0"/>
                      <a:ext cx="5029200" cy="3678072"/>
                    </a:xfrm>
                    <a:prstGeom prst="rect"/>
                  </pic:spPr>
                </pic:pic>
              </a:graphicData>
            </a:graphic>
          </wp:inline>
        </w:drawing>
      </w:r>
    </w:p>
    <w:p>
      <w:pPr>
        <w:spacing w:after="100"/>
        <w:jc w:val="center"/>
      </w:pPr>
      <w:r>
        <w:rPr>
          <w:i/>
          <w:color w:val="666666"/>
          <w:sz w:val="17"/>
        </w:rPr>
        <w:t>Figure 13. Final ANN training and validation MSE loss over 37 executed epochs. The curves stabilize without a sustained late-stage divergence.</w:t>
      </w:r>
    </w:p>
    <w:p>
      <w:pPr>
        <w:jc w:val="center"/>
      </w:pPr>
      <w:r>
        <w:drawing>
          <wp:inline xmlns:a="http://schemas.openxmlformats.org/drawingml/2006/main" xmlns:pic="http://schemas.openxmlformats.org/drawingml/2006/picture">
            <wp:extent cx="5029200" cy="3678072"/>
            <wp:docPr id="14" name="Picture 14"/>
            <wp:cNvGraphicFramePr>
              <a:graphicFrameLocks noChangeAspect="1"/>
            </wp:cNvGraphicFramePr>
            <a:graphic>
              <a:graphicData uri="http://schemas.openxmlformats.org/drawingml/2006/picture">
                <pic:pic>
                  <pic:nvPicPr>
                    <pic:cNvPr id="0" name="image2.png"/>
                    <pic:cNvPicPr/>
                  </pic:nvPicPr>
                  <pic:blipFill>
                    <a:blip r:embed="rId24"/>
                    <a:stretch>
                      <a:fillRect/>
                    </a:stretch>
                  </pic:blipFill>
                  <pic:spPr>
                    <a:xfrm>
                      <a:off x="0" y="0"/>
                      <a:ext cx="5029200" cy="3678072"/>
                    </a:xfrm>
                    <a:prstGeom prst="rect"/>
                  </pic:spPr>
                </pic:pic>
              </a:graphicData>
            </a:graphic>
          </wp:inline>
        </w:drawing>
      </w:r>
    </w:p>
    <w:p>
      <w:pPr>
        <w:spacing w:after="100"/>
        <w:jc w:val="center"/>
      </w:pPr>
      <w:r>
        <w:rPr>
          <w:i/>
          <w:color w:val="666666"/>
          <w:sz w:val="17"/>
        </w:rPr>
        <w:t>Figure 14. Final scaled-target ANN actual versus predicted prices.</w:t>
      </w:r>
    </w:p>
    <w:p>
      <w:pPr>
        <w:jc w:val="center"/>
      </w:pPr>
      <w:r>
        <w:drawing>
          <wp:inline xmlns:a="http://schemas.openxmlformats.org/drawingml/2006/main" xmlns:pic="http://schemas.openxmlformats.org/drawingml/2006/picture">
            <wp:extent cx="5029200" cy="3684947"/>
            <wp:docPr id="15" name="Picture 15"/>
            <wp:cNvGraphicFramePr>
              <a:graphicFrameLocks noChangeAspect="1"/>
            </wp:cNvGraphicFramePr>
            <a:graphic>
              <a:graphicData uri="http://schemas.openxmlformats.org/drawingml/2006/picture">
                <pic:pic>
                  <pic:nvPicPr>
                    <pic:cNvPr id="0" name="image3.png"/>
                    <pic:cNvPicPr/>
                  </pic:nvPicPr>
                  <pic:blipFill>
                    <a:blip r:embed="rId25"/>
                    <a:stretch>
                      <a:fillRect/>
                    </a:stretch>
                  </pic:blipFill>
                  <pic:spPr>
                    <a:xfrm>
                      <a:off x="0" y="0"/>
                      <a:ext cx="5029200" cy="3684947"/>
                    </a:xfrm>
                    <a:prstGeom prst="rect"/>
                  </pic:spPr>
                </pic:pic>
              </a:graphicData>
            </a:graphic>
          </wp:inline>
        </w:drawing>
      </w:r>
    </w:p>
    <w:p>
      <w:pPr>
        <w:spacing w:after="100"/>
        <w:jc w:val="center"/>
      </w:pPr>
      <w:r>
        <w:rPr>
          <w:i/>
          <w:color w:val="666666"/>
          <w:sz w:val="17"/>
        </w:rPr>
        <w:t>Figure 15. Final scaled-target ANN residual analysis.</w:t>
      </w:r>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Deep-learning conclusion: </w:t>
            </w:r>
            <w:r>
              <w:rPr>
                <w:color w:val="222222"/>
                <w:sz w:val="18"/>
              </w:rPr>
              <w:t>The scaled-target ANN learned meaningful price patterns, but it did not outperform the Random Forest model on this tabular dataset and feature set. This is an important capstone result rather than a weakness to hide: the project evaluates methods on evidence, not on the assumption that deep learning must always win.</w:t>
            </w:r>
          </w:p>
        </w:tc>
      </w:tr>
    </w:tbl>
    <w:p>
      <w:pPr>
        <w:spacing w:after="20"/>
      </w:pPr>
    </w:p>
    <w:p>
      <w:pPr>
        <w:spacing w:before="40" w:after="100"/>
      </w:pPr>
      <w:r>
        <w:rPr>
          <w:b/>
          <w:color w:val="17365D"/>
          <w:sz w:val="34"/>
        </w:rPr>
        <w:t>13. Integrated Model Comparison</w:t>
      </w:r>
    </w:p>
    <w:p>
      <w:pPr>
        <w:spacing w:after="100" w:line="259" w:lineRule="auto"/>
      </w:pPr>
      <w:r>
        <w:rPr>
          <w:color w:val="222222"/>
          <w:sz w:val="19"/>
        </w:rPr>
        <w:t>The capstone combines descriptive segmentation with two families of predictive models. The unsupervised method answers a different question from the regression models, so its quality metrics should not be compared numerically with R². Instead, the methods are evaluated according to their respective objectives.</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2570"/>
        <w:gridCol w:w="2570"/>
        <w:gridCol w:w="2570"/>
        <w:gridCol w:w="2570"/>
      </w:tblGrid>
      <w:tr>
        <w:tc>
          <w:tcPr>
            <w:tcW w:type="dxa" w:w="2570"/>
            <w:vAlign w:val="center"/>
            <w:shd w:fill="17365D"/>
          </w:tcPr>
          <w:p>
            <w:pPr>
              <w:spacing w:after="0"/>
            </w:pPr>
            <w:r/>
            <w:r>
              <w:rPr>
                <w:b/>
                <w:color w:val="FFFFFF"/>
                <w:sz w:val="18"/>
              </w:rPr>
              <w:t>Approach</w:t>
            </w:r>
          </w:p>
        </w:tc>
        <w:tc>
          <w:tcPr>
            <w:tcW w:type="dxa" w:w="2570"/>
            <w:vAlign w:val="center"/>
            <w:shd w:fill="17365D"/>
          </w:tcPr>
          <w:p>
            <w:pPr>
              <w:spacing w:after="0"/>
            </w:pPr>
            <w:r/>
            <w:r>
              <w:rPr>
                <w:b/>
                <w:color w:val="FFFFFF"/>
                <w:sz w:val="18"/>
              </w:rPr>
              <w:t>Final Method</w:t>
            </w:r>
          </w:p>
        </w:tc>
        <w:tc>
          <w:tcPr>
            <w:tcW w:type="dxa" w:w="2570"/>
            <w:vAlign w:val="center"/>
            <w:shd w:fill="17365D"/>
          </w:tcPr>
          <w:p>
            <w:pPr>
              <w:spacing w:after="0"/>
            </w:pPr>
            <w:r/>
            <w:r>
              <w:rPr>
                <w:b/>
                <w:color w:val="FFFFFF"/>
                <w:sz w:val="18"/>
              </w:rPr>
              <w:t>Primary Metric / Result</w:t>
            </w:r>
          </w:p>
        </w:tc>
        <w:tc>
          <w:tcPr>
            <w:tcW w:type="dxa" w:w="2570"/>
            <w:vAlign w:val="center"/>
            <w:shd w:fill="17365D"/>
          </w:tcPr>
          <w:p>
            <w:pPr>
              <w:spacing w:after="0"/>
            </w:pPr>
            <w:r/>
            <w:r>
              <w:rPr>
                <w:b/>
                <w:color w:val="FFFFFF"/>
                <w:sz w:val="18"/>
              </w:rPr>
              <w:t>Main Contribution</w:t>
            </w:r>
          </w:p>
        </w:tc>
      </w:tr>
      <w:tr>
        <w:tc>
          <w:tcPr>
            <w:tcW w:type="dxa" w:w="2570"/>
            <w:vAlign w:val="center"/>
            <w:shd w:fill="F7F9FC"/>
          </w:tcPr>
          <w:p>
            <w:pPr>
              <w:spacing w:after="0"/>
            </w:pPr>
            <w:r/>
            <w:r>
              <w:rPr>
                <w:b w:val="0"/>
                <w:color w:val="222222"/>
                <w:sz w:val="18"/>
              </w:rPr>
              <w:t>Unsupervised</w:t>
            </w:r>
          </w:p>
        </w:tc>
        <w:tc>
          <w:tcPr>
            <w:tcW w:type="dxa" w:w="2570"/>
            <w:vAlign w:val="center"/>
            <w:shd w:fill="F7F9FC"/>
          </w:tcPr>
          <w:p>
            <w:pPr>
              <w:spacing w:after="0"/>
            </w:pPr>
            <w:r/>
            <w:r>
              <w:rPr>
                <w:b w:val="0"/>
                <w:color w:val="222222"/>
                <w:sz w:val="18"/>
              </w:rPr>
              <w:t>K-Means, K=4</w:t>
            </w:r>
          </w:p>
        </w:tc>
        <w:tc>
          <w:tcPr>
            <w:tcW w:type="dxa" w:w="2570"/>
            <w:vAlign w:val="center"/>
            <w:shd w:fill="F7F9FC"/>
          </w:tcPr>
          <w:p>
            <w:pPr>
              <w:spacing w:after="0"/>
            </w:pPr>
            <w:r/>
            <w:r>
              <w:rPr>
                <w:b w:val="0"/>
                <w:color w:val="222222"/>
                <w:sz w:val="18"/>
              </w:rPr>
              <w:t>Silhouette 0.5009</w:t>
            </w:r>
          </w:p>
        </w:tc>
        <w:tc>
          <w:tcPr>
            <w:tcW w:type="dxa" w:w="2570"/>
            <w:vAlign w:val="center"/>
            <w:shd w:fill="F7F9FC"/>
          </w:tcPr>
          <w:p>
            <w:pPr>
              <w:spacing w:after="0"/>
            </w:pPr>
            <w:r/>
            <w:r>
              <w:rPr>
                <w:b w:val="0"/>
                <w:color w:val="222222"/>
                <w:sz w:val="18"/>
              </w:rPr>
              <w:t>Discovers four interpretable property segments</w:t>
            </w:r>
          </w:p>
        </w:tc>
      </w:tr>
      <w:tr>
        <w:tc>
          <w:tcPr>
            <w:tcW w:type="dxa" w:w="2570"/>
            <w:vAlign w:val="center"/>
            <w:shd w:fill="FFFFFF"/>
          </w:tcPr>
          <w:p>
            <w:pPr>
              <w:spacing w:after="0"/>
            </w:pPr>
            <w:r/>
            <w:r>
              <w:rPr>
                <w:b w:val="0"/>
                <w:color w:val="222222"/>
                <w:sz w:val="18"/>
              </w:rPr>
              <w:t>Supervised</w:t>
            </w:r>
          </w:p>
        </w:tc>
        <w:tc>
          <w:tcPr>
            <w:tcW w:type="dxa" w:w="2570"/>
            <w:vAlign w:val="center"/>
            <w:shd w:fill="FFFFFF"/>
          </w:tcPr>
          <w:p>
            <w:pPr>
              <w:spacing w:after="0"/>
            </w:pPr>
            <w:r/>
            <w:r>
              <w:rPr>
                <w:b w:val="0"/>
                <w:color w:val="222222"/>
                <w:sz w:val="18"/>
              </w:rPr>
              <w:t>Random Forest</w:t>
            </w:r>
          </w:p>
        </w:tc>
        <w:tc>
          <w:tcPr>
            <w:tcW w:type="dxa" w:w="2570"/>
            <w:vAlign w:val="center"/>
            <w:shd w:fill="FFFFFF"/>
          </w:tcPr>
          <w:p>
            <w:pPr>
              <w:spacing w:after="0"/>
            </w:pPr>
            <w:r/>
            <w:r>
              <w:rPr>
                <w:b w:val="0"/>
                <w:color w:val="222222"/>
                <w:sz w:val="18"/>
              </w:rPr>
              <w:t>R² 69.86%; CV R² 57.06%</w:t>
            </w:r>
          </w:p>
        </w:tc>
        <w:tc>
          <w:tcPr>
            <w:tcW w:type="dxa" w:w="2570"/>
            <w:vAlign w:val="center"/>
            <w:shd w:fill="FFFFFF"/>
          </w:tcPr>
          <w:p>
            <w:pPr>
              <w:spacing w:after="0"/>
            </w:pPr>
            <w:r/>
            <w:r>
              <w:rPr>
                <w:b w:val="0"/>
                <w:color w:val="222222"/>
                <w:sz w:val="18"/>
              </w:rPr>
              <w:t>Strongest tested price-prediction model</w:t>
            </w:r>
          </w:p>
        </w:tc>
      </w:tr>
      <w:tr>
        <w:tc>
          <w:tcPr>
            <w:tcW w:type="dxa" w:w="2570"/>
            <w:vAlign w:val="center"/>
            <w:shd w:fill="F7F9FC"/>
          </w:tcPr>
          <w:p>
            <w:pPr>
              <w:spacing w:after="0"/>
            </w:pPr>
            <w:r/>
            <w:r>
              <w:rPr>
                <w:b w:val="0"/>
                <w:color w:val="222222"/>
                <w:sz w:val="18"/>
              </w:rPr>
              <w:t>Deep Learning</w:t>
            </w:r>
          </w:p>
        </w:tc>
        <w:tc>
          <w:tcPr>
            <w:tcW w:type="dxa" w:w="2570"/>
            <w:vAlign w:val="center"/>
            <w:shd w:fill="F7F9FC"/>
          </w:tcPr>
          <w:p>
            <w:pPr>
              <w:spacing w:after="0"/>
            </w:pPr>
            <w:r/>
            <w:r>
              <w:rPr>
                <w:b w:val="0"/>
                <w:color w:val="222222"/>
                <w:sz w:val="18"/>
              </w:rPr>
              <w:t>Scaled-Target ANN</w:t>
            </w:r>
          </w:p>
        </w:tc>
        <w:tc>
          <w:tcPr>
            <w:tcW w:type="dxa" w:w="2570"/>
            <w:vAlign w:val="center"/>
            <w:shd w:fill="F7F9FC"/>
          </w:tcPr>
          <w:p>
            <w:pPr>
              <w:spacing w:after="0"/>
            </w:pPr>
            <w:r/>
            <w:r>
              <w:rPr>
                <w:b w:val="0"/>
                <w:color w:val="222222"/>
                <w:sz w:val="18"/>
              </w:rPr>
              <w:t>R² 45.09%</w:t>
            </w:r>
          </w:p>
        </w:tc>
        <w:tc>
          <w:tcPr>
            <w:tcW w:type="dxa" w:w="2570"/>
            <w:vAlign w:val="center"/>
            <w:shd w:fill="F7F9FC"/>
          </w:tcPr>
          <w:p>
            <w:pPr>
              <w:spacing w:after="0"/>
            </w:pPr>
            <w:r/>
            <w:r>
              <w:rPr>
                <w:b w:val="0"/>
                <w:color w:val="222222"/>
                <w:sz w:val="18"/>
              </w:rPr>
              <w:t>Demonstrates neural-network regression and target-scaling benefit</w:t>
            </w:r>
          </w:p>
        </w:tc>
      </w:tr>
    </w:tbl>
    <w:p>
      <w:pPr>
        <w:spacing w:after="20"/>
      </w:pPr>
    </w:p>
    <w:p>
      <w:pPr>
        <w:spacing w:before="20" w:after="100"/>
      </w:pPr>
      <w:r>
        <w:rPr>
          <w:b/>
          <w:color w:val="2F5597"/>
          <w:sz w:val="24"/>
        </w:rPr>
        <w:t>13.1 Critical Evaluation</w:t>
      </w:r>
    </w:p>
    <w:p>
      <w:pPr>
        <w:pStyle w:val="ListBullet"/>
        <w:spacing w:after="40"/>
        <w:ind w:left="317" w:hanging="173"/>
      </w:pPr>
      <w:r>
        <w:rPr>
          <w:color w:val="222222"/>
          <w:sz w:val="18"/>
        </w:rPr>
        <w:t>Random Forest is the strongest predictive model in the executed project, outperforming Gradient Boosting and Linear Regression on the reported test and cross-validation metrics.</w:t>
      </w:r>
    </w:p>
    <w:p>
      <w:pPr>
        <w:pStyle w:val="ListBullet"/>
        <w:spacing w:after="40"/>
        <w:ind w:left="317" w:hanging="173"/>
      </w:pPr>
      <w:r>
        <w:rPr>
          <w:color w:val="222222"/>
          <w:sz w:val="18"/>
        </w:rPr>
        <w:t>The neural network benefits strongly from target standardization, but its 45.09% R² remains below Random Forest's 69.86% test R².</w:t>
      </w:r>
    </w:p>
    <w:p>
      <w:pPr>
        <w:pStyle w:val="ListBullet"/>
        <w:spacing w:after="40"/>
        <w:ind w:left="317" w:hanging="173"/>
      </w:pPr>
      <w:r>
        <w:rPr>
          <w:color w:val="222222"/>
          <w:sz w:val="18"/>
        </w:rPr>
        <w:t>The difference between Random Forest test R² and mean cross-validation R² indicates that performance varies across data partitions.</w:t>
      </w:r>
    </w:p>
    <w:p>
      <w:pPr>
        <w:pStyle w:val="ListBullet"/>
        <w:spacing w:after="40"/>
        <w:ind w:left="317" w:hanging="173"/>
      </w:pPr>
      <w:r>
        <w:rPr>
          <w:color w:val="222222"/>
          <w:sz w:val="18"/>
        </w:rPr>
        <w:t>Extreme property prices create larger residuals and make the regression problem harder.</w:t>
      </w:r>
    </w:p>
    <w:p>
      <w:pPr>
        <w:pStyle w:val="ListBullet"/>
        <w:spacing w:after="40"/>
        <w:ind w:left="317" w:hanging="173"/>
      </w:pPr>
      <w:r>
        <w:rPr>
          <w:color w:val="222222"/>
          <w:sz w:val="18"/>
        </w:rPr>
        <w:t>The feature set is deliberately focused and interpretable, but excluding detailed locality, builder, society and company information limits predictive richness.</w:t>
      </w:r>
    </w:p>
    <w:p>
      <w:pPr>
        <w:pStyle w:val="ListBullet"/>
        <w:spacing w:after="40"/>
        <w:ind w:left="317" w:hanging="173"/>
      </w:pPr>
      <w:r>
        <w:rPr>
          <w:color w:val="222222"/>
          <w:sz w:val="18"/>
        </w:rPr>
        <w:t>The rate_per_sqft feature has a strong EDA correlation with price, yet excluding it from price-prediction models is methodologically correct because it is derived from the target.</w:t>
      </w:r>
    </w:p>
    <w:p>
      <w:pPr>
        <w:spacing w:before="20" w:after="100"/>
      </w:pPr>
      <w:r>
        <w:rPr>
          <w:b/>
          <w:color w:val="2F5597"/>
          <w:sz w:val="24"/>
        </w:rPr>
        <w:t>13.2 What the Models Teach Together</w:t>
      </w:r>
    </w:p>
    <w:p>
      <w:pPr>
        <w:spacing w:after="100" w:line="259" w:lineRule="auto"/>
      </w:pPr>
      <w:r>
        <w:rPr>
          <w:color w:val="222222"/>
          <w:sz w:val="19"/>
        </w:rPr>
        <w:t>The integrated workflow shows that different Data Science methods provide different kinds of value. Clustering exposes market structure, Random Forest provides the strongest tested price prediction, and the neural network demonstrates how representation and target scaling can affect deep-learning optimization. Together, these results provide a more complete understanding than any single model alone.</w:t>
      </w:r>
    </w:p>
    <w:p>
      <w:pPr>
        <w:spacing w:before="40" w:after="100"/>
      </w:pPr>
      <w:r>
        <w:rPr>
          <w:b/>
          <w:color w:val="17365D"/>
          <w:sz w:val="34"/>
        </w:rPr>
        <w:t>14. Key Insights and Recommendations</w:t>
      </w:r>
    </w:p>
    <w:p>
      <w:pPr>
        <w:spacing w:before="20" w:after="100"/>
      </w:pPr>
      <w:r>
        <w:rPr>
          <w:b/>
          <w:color w:val="2F5597"/>
          <w:sz w:val="24"/>
        </w:rPr>
        <w:t>14.1 Key Insights</w:t>
      </w:r>
    </w:p>
    <w:p>
      <w:pPr>
        <w:pStyle w:val="ListBullet"/>
        <w:spacing w:after="40"/>
        <w:ind w:left="317" w:hanging="173"/>
      </w:pPr>
      <w:r>
        <w:rPr>
          <w:color w:val="222222"/>
          <w:sz w:val="18"/>
        </w:rPr>
        <w:t>The cleaned dataset contains 14,223 unique property records with zero missing values.</w:t>
      </w:r>
    </w:p>
    <w:p>
      <w:pPr>
        <w:pStyle w:val="ListBullet"/>
        <w:spacing w:after="40"/>
        <w:ind w:left="317" w:hanging="173"/>
      </w:pPr>
      <w:r>
        <w:rPr>
          <w:color w:val="222222"/>
          <w:sz w:val="18"/>
        </w:rPr>
        <w:t>Property prices are highly right-skewed, with a long upper tail created by expensive properties.</w:t>
      </w:r>
    </w:p>
    <w:p>
      <w:pPr>
        <w:pStyle w:val="ListBullet"/>
        <w:spacing w:after="40"/>
        <w:ind w:left="317" w:hanging="173"/>
      </w:pPr>
      <w:r>
        <w:rPr>
          <w:color w:val="222222"/>
          <w:sz w:val="18"/>
        </w:rPr>
        <w:t>Rate per square foot has the strongest simple Pearson correlation with price (0.6153), followed by area (0.1974).</w:t>
      </w:r>
    </w:p>
    <w:p>
      <w:pPr>
        <w:pStyle w:val="ListBullet"/>
        <w:spacing w:after="40"/>
        <w:ind w:left="317" w:hanging="173"/>
      </w:pPr>
      <w:r>
        <w:rPr>
          <w:color w:val="222222"/>
          <w:sz w:val="18"/>
        </w:rPr>
        <w:t>Area is overwhelmingly the most important predictor in the Random Forest model, with 86.31% feature importance.</w:t>
      </w:r>
    </w:p>
    <w:p>
      <w:pPr>
        <w:pStyle w:val="ListBullet"/>
        <w:spacing w:after="40"/>
        <w:ind w:left="317" w:hanging="173"/>
      </w:pPr>
      <w:r>
        <w:rPr>
          <w:color w:val="222222"/>
          <w:sz w:val="18"/>
        </w:rPr>
        <w:t>The market naturally separates into two large mainstream segments and two smaller specialized plot segments under the selected K-Means solution.</w:t>
      </w:r>
    </w:p>
    <w:p>
      <w:pPr>
        <w:pStyle w:val="ListBullet"/>
        <w:spacing w:after="40"/>
        <w:ind w:left="317" w:hanging="173"/>
      </w:pPr>
      <w:r>
        <w:rPr>
          <w:color w:val="222222"/>
          <w:sz w:val="18"/>
        </w:rPr>
        <w:t>Cluster 0 is predominantly ready-to-move and non-RERA, while Cluster 1 is predominantly under construction and RERA approved.</w:t>
      </w:r>
    </w:p>
    <w:p>
      <w:pPr>
        <w:pStyle w:val="ListBullet"/>
        <w:spacing w:after="40"/>
        <w:ind w:left="317" w:hanging="173"/>
      </w:pPr>
      <w:r>
        <w:rPr>
          <w:color w:val="222222"/>
          <w:sz w:val="18"/>
        </w:rPr>
        <w:t>Cluster 2 represents a premium, large-area resale plot segment with the highest average unit rate.</w:t>
      </w:r>
    </w:p>
    <w:p>
      <w:pPr>
        <w:pStyle w:val="ListBullet"/>
        <w:spacing w:after="40"/>
        <w:ind w:left="317" w:hanging="173"/>
      </w:pPr>
      <w:r>
        <w:rPr>
          <w:color w:val="222222"/>
          <w:sz w:val="18"/>
        </w:rPr>
        <w:t>The supervised Random Forest provides the strongest price-prediction performance among the tested models.</w:t>
      </w:r>
    </w:p>
    <w:p>
      <w:pPr>
        <w:pStyle w:val="ListBullet"/>
        <w:spacing w:after="40"/>
        <w:ind w:left="317" w:hanging="173"/>
      </w:pPr>
      <w:r>
        <w:rPr>
          <w:color w:val="222222"/>
          <w:sz w:val="18"/>
        </w:rPr>
        <w:t>The scaled-target neural network substantially improves on the baseline ANN but remains below the Random Forest result.</w:t>
      </w:r>
    </w:p>
    <w:p>
      <w:pPr>
        <w:spacing w:before="20" w:after="100"/>
      </w:pPr>
      <w:r>
        <w:rPr>
          <w:b/>
          <w:color w:val="2F5597"/>
          <w:sz w:val="24"/>
        </w:rPr>
        <w:t>14.2 Recommendations</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5141"/>
        <w:gridCol w:w="5141"/>
      </w:tblGrid>
      <w:tr>
        <w:tc>
          <w:tcPr>
            <w:tcW w:type="dxa" w:w="5141"/>
            <w:vAlign w:val="center"/>
            <w:shd w:fill="17365D"/>
          </w:tcPr>
          <w:p>
            <w:pPr>
              <w:spacing w:after="0"/>
            </w:pPr>
            <w:r/>
            <w:r>
              <w:rPr>
                <w:b/>
                <w:color w:val="FFFFFF"/>
                <w:sz w:val="18"/>
              </w:rPr>
              <w:t>Area</w:t>
            </w:r>
          </w:p>
        </w:tc>
        <w:tc>
          <w:tcPr>
            <w:tcW w:type="dxa" w:w="5141"/>
            <w:vAlign w:val="center"/>
            <w:shd w:fill="17365D"/>
          </w:tcPr>
          <w:p>
            <w:pPr>
              <w:spacing w:after="0"/>
            </w:pPr>
            <w:r/>
            <w:r>
              <w:rPr>
                <w:b/>
                <w:color w:val="FFFFFF"/>
                <w:sz w:val="18"/>
              </w:rPr>
              <w:t>Recommendation</w:t>
            </w:r>
          </w:p>
        </w:tc>
      </w:tr>
      <w:tr>
        <w:tc>
          <w:tcPr>
            <w:tcW w:type="dxa" w:w="5141"/>
            <w:vAlign w:val="center"/>
            <w:shd w:fill="F7F9FC"/>
          </w:tcPr>
          <w:p>
            <w:pPr>
              <w:spacing w:after="0"/>
            </w:pPr>
            <w:r/>
            <w:r>
              <w:rPr>
                <w:b w:val="0"/>
                <w:color w:val="222222"/>
                <w:sz w:val="18"/>
              </w:rPr>
              <w:t>Marketing</w:t>
            </w:r>
          </w:p>
        </w:tc>
        <w:tc>
          <w:tcPr>
            <w:tcW w:type="dxa" w:w="5141"/>
            <w:vAlign w:val="center"/>
            <w:shd w:fill="F7F9FC"/>
          </w:tcPr>
          <w:p>
            <w:pPr>
              <w:spacing w:after="0"/>
            </w:pPr>
            <w:r/>
            <w:r>
              <w:rPr>
                <w:b w:val="0"/>
                <w:color w:val="222222"/>
                <w:sz w:val="18"/>
              </w:rPr>
              <w:t>Use cluster-specific messaging for ready-to-move, under-construction and specialized plot inventory.</w:t>
            </w:r>
          </w:p>
        </w:tc>
      </w:tr>
      <w:tr>
        <w:tc>
          <w:tcPr>
            <w:tcW w:type="dxa" w:w="5141"/>
            <w:vAlign w:val="center"/>
            <w:shd w:fill="FFFFFF"/>
          </w:tcPr>
          <w:p>
            <w:pPr>
              <w:spacing w:after="0"/>
            </w:pPr>
            <w:r/>
            <w:r>
              <w:rPr>
                <w:b w:val="0"/>
                <w:color w:val="222222"/>
                <w:sz w:val="18"/>
              </w:rPr>
              <w:t>Pricing</w:t>
            </w:r>
          </w:p>
        </w:tc>
        <w:tc>
          <w:tcPr>
            <w:tcW w:type="dxa" w:w="5141"/>
            <w:vAlign w:val="center"/>
            <w:shd w:fill="FFFFFF"/>
          </w:tcPr>
          <w:p>
            <w:pPr>
              <w:spacing w:after="0"/>
            </w:pPr>
            <w:r/>
            <w:r>
              <w:rPr>
                <w:b w:val="0"/>
                <w:color w:val="222222"/>
                <w:sz w:val="18"/>
              </w:rPr>
              <w:t>Use the Random Forest model as an analytical benchmark, while treating high-value predictions with additional caution.</w:t>
            </w:r>
          </w:p>
        </w:tc>
      </w:tr>
      <w:tr>
        <w:tc>
          <w:tcPr>
            <w:tcW w:type="dxa" w:w="5141"/>
            <w:vAlign w:val="center"/>
            <w:shd w:fill="F7F9FC"/>
          </w:tcPr>
          <w:p>
            <w:pPr>
              <w:spacing w:after="0"/>
            </w:pPr>
            <w:r/>
            <w:r>
              <w:rPr>
                <w:b w:val="0"/>
                <w:color w:val="222222"/>
                <w:sz w:val="18"/>
              </w:rPr>
              <w:t>Regulatory communication</w:t>
            </w:r>
          </w:p>
        </w:tc>
        <w:tc>
          <w:tcPr>
            <w:tcW w:type="dxa" w:w="5141"/>
            <w:vAlign w:val="center"/>
            <w:shd w:fill="F7F9FC"/>
          </w:tcPr>
          <w:p>
            <w:pPr>
              <w:spacing w:after="0"/>
            </w:pPr>
            <w:r/>
            <w:r>
              <w:rPr>
                <w:b w:val="0"/>
                <w:color w:val="222222"/>
                <w:sz w:val="18"/>
              </w:rPr>
              <w:t>Highlight RERA status explicitly because the major clusters show strong differences in approval composition.</w:t>
            </w:r>
          </w:p>
        </w:tc>
      </w:tr>
      <w:tr>
        <w:tc>
          <w:tcPr>
            <w:tcW w:type="dxa" w:w="5141"/>
            <w:vAlign w:val="center"/>
            <w:shd w:fill="FFFFFF"/>
          </w:tcPr>
          <w:p>
            <w:pPr>
              <w:spacing w:after="0"/>
            </w:pPr>
            <w:r/>
            <w:r>
              <w:rPr>
                <w:b w:val="0"/>
                <w:color w:val="222222"/>
                <w:sz w:val="18"/>
              </w:rPr>
              <w:t>Inventory planning</w:t>
            </w:r>
          </w:p>
        </w:tc>
        <w:tc>
          <w:tcPr>
            <w:tcW w:type="dxa" w:w="5141"/>
            <w:vAlign w:val="center"/>
            <w:shd w:fill="FFFFFF"/>
          </w:tcPr>
          <w:p>
            <w:pPr>
              <w:spacing w:after="0"/>
            </w:pPr>
            <w:r/>
            <w:r>
              <w:rPr>
                <w:b w:val="0"/>
                <w:color w:val="222222"/>
                <w:sz w:val="18"/>
              </w:rPr>
              <w:t>Prioritize the large Cluster 0 and Cluster 1 segments while maintaining separate strategies for specialized plot segments.</w:t>
            </w:r>
          </w:p>
        </w:tc>
      </w:tr>
      <w:tr>
        <w:tc>
          <w:tcPr>
            <w:tcW w:type="dxa" w:w="5141"/>
            <w:vAlign w:val="center"/>
            <w:shd w:fill="F7F9FC"/>
          </w:tcPr>
          <w:p>
            <w:pPr>
              <w:spacing w:after="0"/>
            </w:pPr>
            <w:r/>
            <w:r>
              <w:rPr>
                <w:b w:val="0"/>
                <w:color w:val="222222"/>
                <w:sz w:val="18"/>
              </w:rPr>
              <w:t>Data strategy</w:t>
            </w:r>
          </w:p>
        </w:tc>
        <w:tc>
          <w:tcPr>
            <w:tcW w:type="dxa" w:w="5141"/>
            <w:vAlign w:val="center"/>
            <w:shd w:fill="F7F9FC"/>
          </w:tcPr>
          <w:p>
            <w:pPr>
              <w:spacing w:after="0"/>
            </w:pPr>
            <w:r/>
            <w:r>
              <w:rPr>
                <w:b w:val="0"/>
                <w:color w:val="222222"/>
                <w:sz w:val="18"/>
              </w:rPr>
              <w:t>Collect richer location, builder, society, amenity and market-context features for future modeling.</w:t>
            </w:r>
          </w:p>
        </w:tc>
      </w:tr>
    </w:tbl>
    <w:p>
      <w:pPr>
        <w:spacing w:after="20"/>
      </w:pPr>
    </w:p>
    <w:p>
      <w:pPr>
        <w:spacing w:before="20" w:after="100"/>
      </w:pPr>
      <w:r>
        <w:rPr>
          <w:b/>
          <w:color w:val="2F5597"/>
          <w:sz w:val="24"/>
        </w:rPr>
        <w:t>14.3 Recommended Analytical Use</w:t>
      </w:r>
    </w:p>
    <w:p>
      <w:pPr>
        <w:spacing w:after="100" w:line="259" w:lineRule="auto"/>
      </w:pPr>
      <w:r>
        <w:rPr>
          <w:color w:val="222222"/>
          <w:sz w:val="19"/>
        </w:rPr>
        <w:t>The models should be treated as analytical decision-support tools rather than professional property valuation systems. Predictions should be reviewed alongside actual market conditions, locality-specific information and property-specific factors that are not represented in the current baseline feature set.</w:t>
      </w:r>
    </w:p>
    <w:p>
      <w:pPr>
        <w:spacing w:before="40" w:after="100"/>
      </w:pPr>
      <w:r>
        <w:rPr>
          <w:b/>
          <w:color w:val="17365D"/>
          <w:sz w:val="34"/>
        </w:rPr>
        <w:t>15. Challenges, Limitations and Future Scope</w:t>
      </w:r>
    </w:p>
    <w:p>
      <w:pPr>
        <w:spacing w:before="20" w:after="100"/>
      </w:pPr>
      <w:r>
        <w:rPr>
          <w:b/>
          <w:color w:val="2F5597"/>
          <w:sz w:val="24"/>
        </w:rPr>
        <w:t>15.1 Challenges Encountered</w:t>
      </w:r>
    </w:p>
    <w:p>
      <w:pPr>
        <w:pStyle w:val="ListBullet"/>
        <w:spacing w:after="40"/>
        <w:ind w:left="317" w:hanging="173"/>
      </w:pPr>
      <w:r>
        <w:rPr>
          <w:color w:val="222222"/>
          <w:sz w:val="18"/>
        </w:rPr>
        <w:t>Duplicate listings required substantial cleaning before analysis; 5,292 duplicate records were removed.</w:t>
      </w:r>
    </w:p>
    <w:p>
      <w:pPr>
        <w:pStyle w:val="ListBullet"/>
        <w:spacing w:after="40"/>
        <w:ind w:left="317" w:hanging="173"/>
      </w:pPr>
      <w:r>
        <w:rPr>
          <w:color w:val="222222"/>
          <w:sz w:val="18"/>
        </w:rPr>
        <w:t>Financial values were stored as formatted strings and required numeric conversion.</w:t>
      </w:r>
    </w:p>
    <w:p>
      <w:pPr>
        <w:pStyle w:val="ListBullet"/>
        <w:spacing w:after="40"/>
        <w:ind w:left="317" w:hanging="173"/>
      </w:pPr>
      <w:r>
        <w:rPr>
          <w:color w:val="222222"/>
          <w:sz w:val="18"/>
        </w:rPr>
        <w:t>The dataset contains extreme price and area observations that strongly influence distributions and regression errors.</w:t>
      </w:r>
    </w:p>
    <w:p>
      <w:pPr>
        <w:pStyle w:val="ListBullet"/>
        <w:spacing w:after="40"/>
        <w:ind w:left="317" w:hanging="173"/>
      </w:pPr>
      <w:r>
        <w:rPr>
          <w:color w:val="222222"/>
          <w:sz w:val="18"/>
        </w:rPr>
        <w:t>High-cardinality text fields complicate direct encoding and can create large, difficult-to-interpret feature spaces.</w:t>
      </w:r>
    </w:p>
    <w:p>
      <w:pPr>
        <w:pStyle w:val="ListBullet"/>
        <w:spacing w:after="40"/>
        <w:ind w:left="317" w:hanging="173"/>
      </w:pPr>
      <w:r>
        <w:rPr>
          <w:color w:val="222222"/>
          <w:sz w:val="18"/>
        </w:rPr>
        <w:t>Target leakage had to be actively controlled by excluding rate_per_sqft from price-prediction models.</w:t>
      </w:r>
    </w:p>
    <w:p>
      <w:pPr>
        <w:pStyle w:val="ListBullet"/>
        <w:spacing w:after="40"/>
        <w:ind w:left="317" w:hanging="173"/>
      </w:pPr>
      <w:r>
        <w:rPr>
          <w:color w:val="222222"/>
          <w:sz w:val="18"/>
        </w:rPr>
        <w:t>The neural-network experiments were trained on CPU, making a compact architecture and Early Stopping useful for computational efficiency.</w:t>
      </w:r>
    </w:p>
    <w:p>
      <w:pPr>
        <w:pStyle w:val="ListBullet"/>
        <w:spacing w:after="40"/>
        <w:ind w:left="317" w:hanging="173"/>
      </w:pPr>
      <w:r>
        <w:rPr>
          <w:color w:val="222222"/>
          <w:sz w:val="18"/>
        </w:rPr>
        <w:t>Some source attributes, especially unusual BHK counts, require contextual interpretation rather than automatic deletion.</w:t>
      </w:r>
    </w:p>
    <w:p>
      <w:pPr>
        <w:spacing w:before="20" w:after="100"/>
      </w:pPr>
      <w:r>
        <w:rPr>
          <w:b/>
          <w:color w:val="2F5597"/>
          <w:sz w:val="24"/>
        </w:rPr>
        <w:t>15.2 Limitations</w:t>
      </w:r>
    </w:p>
    <w:p>
      <w:pPr>
        <w:pStyle w:val="ListBullet"/>
        <w:spacing w:after="40"/>
        <w:ind w:left="317" w:hanging="173"/>
      </w:pPr>
      <w:r>
        <w:rPr>
          <w:color w:val="222222"/>
          <w:sz w:val="18"/>
        </w:rPr>
        <w:t>The predictive models use a limited set of property characteristics.</w:t>
      </w:r>
    </w:p>
    <w:p>
      <w:pPr>
        <w:pStyle w:val="ListBullet"/>
        <w:spacing w:after="40"/>
        <w:ind w:left="317" w:hanging="173"/>
      </w:pPr>
      <w:r>
        <w:rPr>
          <w:color w:val="222222"/>
          <w:sz w:val="18"/>
        </w:rPr>
        <w:t>Detailed locality, builder, society, company and property-description information was not incorporated into the baseline predictive models.</w:t>
      </w:r>
    </w:p>
    <w:p>
      <w:pPr>
        <w:pStyle w:val="ListBullet"/>
        <w:spacing w:after="40"/>
        <w:ind w:left="317" w:hanging="173"/>
      </w:pPr>
      <w:r>
        <w:rPr>
          <w:color w:val="222222"/>
          <w:sz w:val="18"/>
        </w:rPr>
        <w:t>Extreme high-value properties remain difficult to predict accurately.</w:t>
      </w:r>
    </w:p>
    <w:p>
      <w:pPr>
        <w:pStyle w:val="ListBullet"/>
        <w:spacing w:after="40"/>
        <w:ind w:left="317" w:hanging="173"/>
      </w:pPr>
      <w:r>
        <w:rPr>
          <w:color w:val="222222"/>
          <w:sz w:val="18"/>
        </w:rPr>
        <w:t>Cluster labels describe groups rather than inherently better or worse properties.</w:t>
      </w:r>
    </w:p>
    <w:p>
      <w:pPr>
        <w:pStyle w:val="ListBullet"/>
        <w:spacing w:after="40"/>
        <w:ind w:left="317" w:hanging="173"/>
      </w:pPr>
      <w:r>
        <w:rPr>
          <w:color w:val="222222"/>
          <w:sz w:val="18"/>
        </w:rPr>
        <w:t>The current analysis is based on listing data and does not capture every market, temporal or transaction-level factor.</w:t>
      </w:r>
    </w:p>
    <w:p>
      <w:pPr>
        <w:pStyle w:val="ListBullet"/>
        <w:spacing w:after="40"/>
        <w:ind w:left="317" w:hanging="173"/>
      </w:pPr>
      <w:r>
        <w:rPr>
          <w:color w:val="222222"/>
          <w:sz w:val="18"/>
        </w:rPr>
        <w:t>Model performance should not be interpreted as professional valuation accuracy.</w:t>
      </w:r>
    </w:p>
    <w:p>
      <w:pPr>
        <w:spacing w:before="20" w:after="100"/>
      </w:pPr>
      <w:r>
        <w:rPr>
          <w:b/>
          <w:color w:val="2F5597"/>
          <w:sz w:val="24"/>
        </w:rPr>
        <w:t>15.3 Future Scope</w:t>
      </w:r>
    </w:p>
    <w:p>
      <w:pPr>
        <w:pStyle w:val="ListBullet"/>
        <w:spacing w:after="40"/>
        <w:ind w:left="317" w:hanging="173"/>
      </w:pPr>
      <w:r>
        <w:rPr>
          <w:color w:val="222222"/>
          <w:sz w:val="18"/>
        </w:rPr>
        <w:t>Engineer locality-aware features using carefully controlled encoding methods.</w:t>
      </w:r>
    </w:p>
    <w:p>
      <w:pPr>
        <w:pStyle w:val="ListBullet"/>
        <w:spacing w:after="40"/>
        <w:ind w:left="317" w:hanging="173"/>
      </w:pPr>
      <w:r>
        <w:rPr>
          <w:color w:val="222222"/>
          <w:sz w:val="18"/>
        </w:rPr>
        <w:t>Add amenities, floor, age, furnishing, proximity and market-context variables where available.</w:t>
      </w:r>
    </w:p>
    <w:p>
      <w:pPr>
        <w:pStyle w:val="ListBullet"/>
        <w:spacing w:after="40"/>
        <w:ind w:left="317" w:hanging="173"/>
      </w:pPr>
      <w:r>
        <w:rPr>
          <w:color w:val="222222"/>
          <w:sz w:val="18"/>
        </w:rPr>
        <w:t>Perform systematic hyperparameter tuning for Random Forest, Gradient Boosting and neural networks.</w:t>
      </w:r>
    </w:p>
    <w:p>
      <w:pPr>
        <w:pStyle w:val="ListBullet"/>
        <w:spacing w:after="40"/>
        <w:ind w:left="317" w:hanging="173"/>
      </w:pPr>
      <w:r>
        <w:rPr>
          <w:color w:val="222222"/>
          <w:sz w:val="18"/>
        </w:rPr>
        <w:t>Evaluate performance separately across price bands and property types.</w:t>
      </w:r>
    </w:p>
    <w:p>
      <w:pPr>
        <w:pStyle w:val="ListBullet"/>
        <w:spacing w:after="40"/>
        <w:ind w:left="317" w:hanging="173"/>
      </w:pPr>
      <w:r>
        <w:rPr>
          <w:color w:val="222222"/>
          <w:sz w:val="18"/>
        </w:rPr>
        <w:t>Use repeated cross-validation or multiple random seeds to quantify stability.</w:t>
      </w:r>
    </w:p>
    <w:p>
      <w:pPr>
        <w:pStyle w:val="ListBullet"/>
        <w:spacing w:after="40"/>
        <w:ind w:left="317" w:hanging="173"/>
      </w:pPr>
      <w:r>
        <w:rPr>
          <w:color w:val="222222"/>
          <w:sz w:val="18"/>
        </w:rPr>
        <w:t>Experiment with robust target transformations and alternative loss functions for extreme-price observations.</w:t>
      </w:r>
    </w:p>
    <w:p>
      <w:pPr>
        <w:pStyle w:val="ListBullet"/>
        <w:spacing w:after="40"/>
        <w:ind w:left="317" w:hanging="173"/>
      </w:pPr>
      <w:r>
        <w:rPr>
          <w:color w:val="222222"/>
          <w:sz w:val="18"/>
        </w:rPr>
        <w:t>Compare the neural network against tuned tree ensembles using a consistent validation framework.</w:t>
      </w:r>
    </w:p>
    <w:p>
      <w:pPr>
        <w:pStyle w:val="ListBullet"/>
        <w:spacing w:after="40"/>
        <w:ind w:left="317" w:hanging="173"/>
      </w:pPr>
      <w:r>
        <w:rPr>
          <w:color w:val="222222"/>
          <w:sz w:val="18"/>
        </w:rPr>
        <w:t>Build a deployment-oriented pipeline only after stronger validation and richer feature coverage.</w:t>
      </w:r>
    </w:p>
    <w:p>
      <w:pPr>
        <w:spacing w:before="40" w:after="100"/>
      </w:pPr>
      <w:r>
        <w:rPr>
          <w:b/>
          <w:color w:val="17365D"/>
          <w:sz w:val="34"/>
        </w:rPr>
        <w:t>16. Conclusion</w:t>
      </w:r>
    </w:p>
    <w:p>
      <w:pPr>
        <w:spacing w:after="100" w:line="259" w:lineRule="auto"/>
      </w:pPr>
      <w:r>
        <w:rPr>
          <w:color w:val="222222"/>
          <w:sz w:val="19"/>
        </w:rPr>
        <w:t>This capstone demonstrates a complete Data Science workflow using Python on a Gurugram real-estate dataset. The project begins with raw-data acquisition and quality auditing, progresses through cleaning and exploratory analysis, and then applies both unsupervised and supervised learning before extending the prediction task to deep learning.</w:t>
      </w:r>
    </w:p>
    <w:p>
      <w:pPr>
        <w:spacing w:after="100" w:line="259" w:lineRule="auto"/>
      </w:pPr>
      <w:r>
        <w:rPr>
          <w:color w:val="222222"/>
          <w:sz w:val="19"/>
        </w:rPr>
        <w:t>The data-cleaning stage transformed 19,515 raw records into 14,223 unique and validated observations. EDA established that property prices are strongly right-skewed and that rate_per_sqft has the strongest simple linear association with price. The unsupervised phase identified four property segments, with K-Means outperforming Agglomerative Hierarchical Clustering across the selected clustering metrics.</w:t>
      </w:r>
    </w:p>
    <w:p>
      <w:pPr>
        <w:spacing w:after="100" w:line="259" w:lineRule="auto"/>
      </w:pPr>
      <w:r>
        <w:rPr>
          <w:color w:val="222222"/>
          <w:sz w:val="19"/>
        </w:rPr>
        <w:t>For price prediction, Random Forest was the strongest executed model, achieving a test R² of 69.86% and mean 5-fold cross-validation R² of 57.06%. The deep-learning phase demonstrated that target representation matters: the scaled-target ANN reached 45.09% R², substantially improving on the raw-target baseline but remaining below the Random Forest model.</w:t>
      </w:r>
    </w:p>
    <w:p>
      <w:pPr>
        <w:spacing w:after="100" w:line="259" w:lineRule="auto"/>
      </w:pPr>
      <w:r>
        <w:rPr>
          <w:color w:val="222222"/>
          <w:sz w:val="19"/>
        </w:rPr>
        <w:t>The final outcome is therefore not simply a single prediction model. It is an integrated analytical pipeline that connects data quality, EDA, segmentation, predictive modeling, deep learning, evaluation and practical interpretation. The project also demonstrates the importance of methodological discipline: avoiding target leakage, interpreting outliers carefully, validating models on held-out data, and selecting models based on evidence rather than algorithm popularity.</w:t>
      </w:r>
    </w:p>
    <w:tbl>
      <w:tblPr>
        <w:tblW w:type="auto" w:w="0"/>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10282"/>
      </w:tblGrid>
      <w:tr>
        <w:tc>
          <w:tcPr>
            <w:tcW w:type="dxa" w:w="10282"/>
            <w:shd w:fill="EAF1F8"/>
          </w:tcPr>
          <w:p>
            <w:pPr>
              <w:spacing w:after="0"/>
            </w:pPr>
            <w:r/>
            <w:r>
              <w:rPr>
                <w:b/>
                <w:color w:val="2F5597"/>
                <w:sz w:val="18"/>
              </w:rPr>
              <w:t xml:space="preserve">Overall capstone outcome: </w:t>
            </w:r>
            <w:r>
              <w:rPr>
                <w:color w:val="222222"/>
                <w:sz w:val="18"/>
              </w:rPr>
              <w:t>The project successfully demonstrates the core Data Science competencies required by the Week 6 task: data acquisition, preprocessing, exploratory analysis, unsupervised learning, supervised learning, deep learning, evaluation, critical analysis, insights and recommendations.</w:t>
            </w:r>
          </w:p>
        </w:tc>
      </w:tr>
    </w:tbl>
    <w:p>
      <w:pPr>
        <w:spacing w:after="20"/>
      </w:pPr>
    </w:p>
    <w:p>
      <w:pPr>
        <w:spacing w:before="40" w:after="100"/>
      </w:pPr>
      <w:r>
        <w:rPr>
          <w:b/>
          <w:color w:val="17365D"/>
          <w:sz w:val="34"/>
        </w:rPr>
        <w:t>17. Representative Python Code and Workflow Appendix</w:t>
      </w:r>
    </w:p>
    <w:p>
      <w:pPr>
        <w:spacing w:before="20" w:after="100"/>
      </w:pPr>
      <w:r>
        <w:rPr>
          <w:b/>
          <w:color w:val="2F5597"/>
          <w:sz w:val="24"/>
        </w:rPr>
        <w:t>17.1 Reproducible Preprocessing Pipeline</w:t>
      </w:r>
    </w:p>
    <w:tbl>
      <w:tblPr>
        <w:tblW w:type="auto" w:w="0"/>
        <w:tblLook w:firstColumn="1" w:firstRow="1" w:lastColumn="0" w:lastRow="0" w:noHBand="0" w:noVBand="1" w:val="04A0"/>
      </w:tblPr>
      <w:tblGrid>
        <w:gridCol w:w="10282"/>
      </w:tblGrid>
      <w:tr>
        <w:tc>
          <w:tcPr>
            <w:tcW w:type="dxa" w:w="10282"/>
            <w:shd w:fill="172033"/>
          </w:tcPr>
          <w:p>
            <w:pPr>
              <w:spacing w:after="0"/>
              <w:ind w:left="80"/>
            </w:pPr>
            <w:r/>
            <w:r>
              <w:rPr>
                <w:rFonts w:ascii="Consolas" w:hAnsi="Consolas"/>
                <w:color w:val="F4F7FB"/>
                <w:sz w:val="16"/>
              </w:rPr>
              <w:t>numerical_transformer = Pipeline([</w:t>
              <w:br/>
              <w:t xml:space="preserve">    ('imputer', SimpleImputer(strategy='median')),</w:t>
              <w:br/>
              <w:t xml:space="preserve">    ('scaler', StandardScaler())</w:t>
              <w:br/>
              <w:t>])</w:t>
              <w:br/>
              <w:br/>
              <w:t>categorical_transformer = Pipeline([</w:t>
              <w:br/>
              <w:t xml:space="preserve">    ('imputer', SimpleImputer(strategy='most_frequent')),</w:t>
              <w:br/>
              <w:t xml:space="preserve">    ('onehot', OneHotEncoder(handle_unknown='ignore', drop='first'))</w:t>
              <w:br/>
              <w:t>])</w:t>
              <w:br/>
              <w:br/>
              <w:t>preprocessor = ColumnTransformer([</w:t>
              <w:br/>
              <w:t xml:space="preserve">    ('num', numerical_transformer, ['area','bhk_count','rera_approval']),</w:t>
              <w:br/>
              <w:t xml:space="preserve">    ('cat', categorical_transformer, ['status','flat_type'])</w:t>
              <w:br/>
              <w:t>])</w:t>
            </w:r>
          </w:p>
        </w:tc>
      </w:tr>
    </w:tbl>
    <w:p>
      <w:pPr>
        <w:spacing w:after="20"/>
      </w:pPr>
    </w:p>
    <w:p>
      <w:pPr>
        <w:spacing w:before="20" w:after="100"/>
      </w:pPr>
      <w:r>
        <w:rPr>
          <w:b/>
          <w:color w:val="2F5597"/>
          <w:sz w:val="24"/>
        </w:rPr>
        <w:t>17.2 Random Forest Implementation</w:t>
      </w:r>
    </w:p>
    <w:tbl>
      <w:tblPr>
        <w:tblW w:type="auto" w:w="0"/>
        <w:tblLook w:firstColumn="1" w:firstRow="1" w:lastColumn="0" w:lastRow="0" w:noHBand="0" w:noVBand="1" w:val="04A0"/>
      </w:tblPr>
      <w:tblGrid>
        <w:gridCol w:w="10282"/>
      </w:tblGrid>
      <w:tr>
        <w:tc>
          <w:tcPr>
            <w:tcW w:type="dxa" w:w="10282"/>
            <w:shd w:fill="172033"/>
          </w:tcPr>
          <w:p>
            <w:pPr>
              <w:spacing w:after="0"/>
              <w:ind w:left="80"/>
            </w:pPr>
            <w:r/>
            <w:r>
              <w:rPr>
                <w:rFonts w:ascii="Consolas" w:hAnsi="Consolas"/>
                <w:color w:val="F4F7FB"/>
                <w:sz w:val="16"/>
              </w:rPr>
              <w:t>random_forest_model = Pipeline([</w:t>
              <w:br/>
              <w:t xml:space="preserve">    ('preprocessor', preprocessor),</w:t>
              <w:br/>
              <w:t xml:space="preserve">    ('model', RandomForestRegressor(</w:t>
              <w:br/>
              <w:t xml:space="preserve">        n_estimators=100,</w:t>
              <w:br/>
              <w:t xml:space="preserve">        random_state=42,</w:t>
              <w:br/>
              <w:t xml:space="preserve">        n_jobs=-1</w:t>
              <w:br/>
              <w:t xml:space="preserve">    ))</w:t>
              <w:br/>
              <w:t>])</w:t>
              <w:br/>
              <w:t>random_forest_model.fit(X_train, y_train)</w:t>
              <w:br/>
              <w:t>random_forest_predictions = random_forest_model.predict(X_test)</w:t>
            </w:r>
          </w:p>
        </w:tc>
      </w:tr>
    </w:tbl>
    <w:p>
      <w:pPr>
        <w:spacing w:after="20"/>
      </w:pPr>
    </w:p>
    <w:p>
      <w:pPr>
        <w:spacing w:before="20" w:after="100"/>
      </w:pPr>
      <w:r>
        <w:rPr>
          <w:b/>
          <w:color w:val="2F5597"/>
          <w:sz w:val="24"/>
        </w:rPr>
        <w:t>17.3 K-Means and PCA Workflow</w:t>
      </w:r>
    </w:p>
    <w:tbl>
      <w:tblPr>
        <w:tblW w:type="auto" w:w="0"/>
        <w:tblLook w:firstColumn="1" w:firstRow="1" w:lastColumn="0" w:lastRow="0" w:noHBand="0" w:noVBand="1" w:val="04A0"/>
      </w:tblPr>
      <w:tblGrid>
        <w:gridCol w:w="10282"/>
      </w:tblGrid>
      <w:tr>
        <w:tc>
          <w:tcPr>
            <w:tcW w:type="dxa" w:w="10282"/>
            <w:shd w:fill="172033"/>
          </w:tcPr>
          <w:p>
            <w:pPr>
              <w:spacing w:after="0"/>
              <w:ind w:left="80"/>
            </w:pPr>
            <w:r/>
            <w:r>
              <w:rPr>
                <w:rFonts w:ascii="Consolas" w:hAnsi="Consolas"/>
                <w:color w:val="F4F7FB"/>
                <w:sz w:val="16"/>
              </w:rPr>
              <w:t>kmeans = KMeans(n_clusters=4, random_state=42, n_init=10)</w:t>
              <w:br/>
              <w:t>kmeans_labels = kmeans.fit_predict(X_scaled)</w:t>
              <w:br/>
              <w:br/>
              <w:t>pca = PCA(n_components=2, random_state=42)</w:t>
              <w:br/>
              <w:t>X_pca = pca.fit_transform(X_scaled)</w:t>
              <w:br/>
              <w:br/>
              <w:t>df_analysis = df.copy()</w:t>
              <w:br/>
              <w:t>df_analysis['cluster'] = kmeans_labels</w:t>
            </w:r>
          </w:p>
        </w:tc>
      </w:tr>
    </w:tbl>
    <w:p>
      <w:pPr>
        <w:spacing w:after="20"/>
      </w:pPr>
    </w:p>
    <w:p>
      <w:pPr>
        <w:spacing w:before="20" w:after="100"/>
      </w:pPr>
      <w:r>
        <w:rPr>
          <w:b/>
          <w:color w:val="2F5597"/>
          <w:sz w:val="24"/>
        </w:rPr>
        <w:t>17.4 Deep-Learning Target Scaling and Evaluation</w:t>
      </w:r>
    </w:p>
    <w:tbl>
      <w:tblPr>
        <w:tblW w:type="auto" w:w="0"/>
        <w:tblLook w:firstColumn="1" w:firstRow="1" w:lastColumn="0" w:lastRow="0" w:noHBand="0" w:noVBand="1" w:val="04A0"/>
      </w:tblPr>
      <w:tblGrid>
        <w:gridCol w:w="10282"/>
      </w:tblGrid>
      <w:tr>
        <w:tc>
          <w:tcPr>
            <w:tcW w:type="dxa" w:w="10282"/>
            <w:shd w:fill="172033"/>
          </w:tcPr>
          <w:p>
            <w:pPr>
              <w:spacing w:after="0"/>
              <w:ind w:left="80"/>
            </w:pPr>
            <w:r/>
            <w:r>
              <w:rPr>
                <w:rFonts w:ascii="Consolas" w:hAnsi="Consolas"/>
                <w:color w:val="F4F7FB"/>
                <w:sz w:val="16"/>
              </w:rPr>
              <w:t>y_scaler = StandardScaler()</w:t>
              <w:br/>
              <w:t>y_train_scaled = y_scaler.fit_transform(</w:t>
              <w:br/>
              <w:t xml:space="preserve">    y_train.values.reshape(-1, 1)</w:t>
              <w:br/>
              <w:t>).flatten()</w:t>
              <w:br/>
              <w:br/>
              <w:t>final_history = final_model.fit(</w:t>
              <w:br/>
              <w:t xml:space="preserve">    X_train_processed,</w:t>
              <w:br/>
              <w:t xml:space="preserve">    y_train_scaled,</w:t>
              <w:br/>
              <w:t xml:space="preserve">    validation_split=0.20,</w:t>
              <w:br/>
              <w:t xml:space="preserve">    epochs=100,</w:t>
              <w:br/>
              <w:t xml:space="preserve">    batch_size=32,</w:t>
              <w:br/>
              <w:t xml:space="preserve">    callbacks=[final_early_stopping],</w:t>
              <w:br/>
              <w:t xml:space="preserve">    verbose=1</w:t>
              <w:br/>
              <w:t>)</w:t>
              <w:br/>
              <w:br/>
              <w:t>y_pred_scaled = final_model.predict(X_test_processed).flatten()</w:t>
              <w:br/>
              <w:t>y_pred_final = y_scaler.inverse_transform(</w:t>
              <w:br/>
              <w:t xml:space="preserve">    y_pred_scaled.reshape(-1, 1)</w:t>
              <w:br/>
              <w:t>).flatten()</w:t>
            </w:r>
          </w:p>
        </w:tc>
      </w:tr>
    </w:tbl>
    <w:p>
      <w:pPr>
        <w:spacing w:after="20"/>
      </w:pPr>
    </w:p>
    <w:p>
      <w:pPr>
        <w:spacing w:before="20" w:after="100"/>
      </w:pPr>
      <w:r>
        <w:rPr>
          <w:b/>
          <w:color w:val="2F5597"/>
          <w:sz w:val="24"/>
        </w:rPr>
        <w:t>17.5 Final Project Outputs</w:t>
      </w:r>
    </w:p>
    <w:tbl>
      <w:tblPr>
        <w:tblW w:type="auto" w:w="0"/>
        <w:jc w:val="center"/>
        <w:tblLayout w:type="autofit"/>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5141"/>
        <w:gridCol w:w="5141"/>
      </w:tblGrid>
      <w:tr>
        <w:tc>
          <w:tcPr>
            <w:tcW w:type="dxa" w:w="5141"/>
            <w:vAlign w:val="center"/>
            <w:shd w:fill="17365D"/>
          </w:tcPr>
          <w:p>
            <w:pPr>
              <w:spacing w:after="0"/>
            </w:pPr>
            <w:r/>
            <w:r>
              <w:rPr>
                <w:b/>
                <w:color w:val="FFFFFF"/>
                <w:sz w:val="17"/>
              </w:rPr>
              <w:t>Output</w:t>
            </w:r>
          </w:p>
        </w:tc>
        <w:tc>
          <w:tcPr>
            <w:tcW w:type="dxa" w:w="5141"/>
            <w:vAlign w:val="center"/>
            <w:shd w:fill="17365D"/>
          </w:tcPr>
          <w:p>
            <w:pPr>
              <w:spacing w:after="0"/>
            </w:pPr>
            <w:r/>
            <w:r>
              <w:rPr>
                <w:b/>
                <w:color w:val="FFFFFF"/>
                <w:sz w:val="17"/>
              </w:rPr>
              <w:t>Purpose</w:t>
            </w:r>
          </w:p>
        </w:tc>
      </w:tr>
      <w:tr>
        <w:tc>
          <w:tcPr>
            <w:tcW w:type="dxa" w:w="5141"/>
            <w:vAlign w:val="center"/>
            <w:shd w:fill="F7F9FC"/>
          </w:tcPr>
          <w:p>
            <w:pPr>
              <w:spacing w:after="0"/>
            </w:pPr>
            <w:r/>
            <w:r>
              <w:rPr>
                <w:b w:val="0"/>
                <w:color w:val="222222"/>
                <w:sz w:val="17"/>
              </w:rPr>
              <w:t>Cleaned real-estate dataset</w:t>
            </w:r>
          </w:p>
        </w:tc>
        <w:tc>
          <w:tcPr>
            <w:tcW w:type="dxa" w:w="5141"/>
            <w:vAlign w:val="center"/>
            <w:shd w:fill="F7F9FC"/>
          </w:tcPr>
          <w:p>
            <w:pPr>
              <w:spacing w:after="0"/>
            </w:pPr>
            <w:r/>
            <w:r>
              <w:rPr>
                <w:b w:val="0"/>
                <w:color w:val="222222"/>
                <w:sz w:val="17"/>
              </w:rPr>
              <w:t>Validated 14,223-record analytical base</w:t>
            </w:r>
          </w:p>
        </w:tc>
      </w:tr>
      <w:tr>
        <w:tc>
          <w:tcPr>
            <w:tcW w:type="dxa" w:w="5141"/>
            <w:vAlign w:val="center"/>
            <w:shd w:fill="FFFFFF"/>
          </w:tcPr>
          <w:p>
            <w:pPr>
              <w:spacing w:after="0"/>
            </w:pPr>
            <w:r/>
            <w:r>
              <w:rPr>
                <w:b w:val="0"/>
                <w:color w:val="222222"/>
                <w:sz w:val="17"/>
              </w:rPr>
              <w:t>Clustered dataset / cluster profile</w:t>
            </w:r>
          </w:p>
        </w:tc>
        <w:tc>
          <w:tcPr>
            <w:tcW w:type="dxa" w:w="5141"/>
            <w:vAlign w:val="center"/>
            <w:shd w:fill="FFFFFF"/>
          </w:tcPr>
          <w:p>
            <w:pPr>
              <w:spacing w:after="0"/>
            </w:pPr>
            <w:r/>
            <w:r>
              <w:rPr>
                <w:b w:val="0"/>
                <w:color w:val="222222"/>
                <w:sz w:val="17"/>
              </w:rPr>
              <w:t>Property segments and segment-level statistics</w:t>
            </w:r>
          </w:p>
        </w:tc>
      </w:tr>
      <w:tr>
        <w:tc>
          <w:tcPr>
            <w:tcW w:type="dxa" w:w="5141"/>
            <w:vAlign w:val="center"/>
            <w:shd w:fill="F7F9FC"/>
          </w:tcPr>
          <w:p>
            <w:pPr>
              <w:spacing w:after="0"/>
            </w:pPr>
            <w:r/>
            <w:r>
              <w:rPr>
                <w:b w:val="0"/>
                <w:color w:val="222222"/>
                <w:sz w:val="17"/>
              </w:rPr>
              <w:t>Random Forest predictions</w:t>
            </w:r>
          </w:p>
        </w:tc>
        <w:tc>
          <w:tcPr>
            <w:tcW w:type="dxa" w:w="5141"/>
            <w:vAlign w:val="center"/>
            <w:shd w:fill="F7F9FC"/>
          </w:tcPr>
          <w:p>
            <w:pPr>
              <w:spacing w:after="0"/>
            </w:pPr>
            <w:r/>
            <w:r>
              <w:rPr>
                <w:b w:val="0"/>
                <w:color w:val="222222"/>
                <w:sz w:val="17"/>
              </w:rPr>
              <w:t>Held-out actual, predicted and residual values</w:t>
            </w:r>
          </w:p>
        </w:tc>
      </w:tr>
      <w:tr>
        <w:tc>
          <w:tcPr>
            <w:tcW w:type="dxa" w:w="5141"/>
            <w:vAlign w:val="center"/>
            <w:shd w:fill="FFFFFF"/>
          </w:tcPr>
          <w:p>
            <w:pPr>
              <w:spacing w:after="0"/>
            </w:pPr>
            <w:r/>
            <w:r>
              <w:rPr>
                <w:b w:val="0"/>
                <w:color w:val="222222"/>
                <w:sz w:val="17"/>
              </w:rPr>
              <w:t>Deep-learning predictions</w:t>
            </w:r>
          </w:p>
        </w:tc>
        <w:tc>
          <w:tcPr>
            <w:tcW w:type="dxa" w:w="5141"/>
            <w:vAlign w:val="center"/>
            <w:shd w:fill="FFFFFF"/>
          </w:tcPr>
          <w:p>
            <w:pPr>
              <w:spacing w:after="0"/>
            </w:pPr>
            <w:r/>
            <w:r>
              <w:rPr>
                <w:b w:val="0"/>
                <w:color w:val="222222"/>
                <w:sz w:val="17"/>
              </w:rPr>
              <w:t>ANN test predictions and residuals</w:t>
            </w:r>
          </w:p>
        </w:tc>
      </w:tr>
      <w:tr>
        <w:tc>
          <w:tcPr>
            <w:tcW w:type="dxa" w:w="5141"/>
            <w:vAlign w:val="center"/>
            <w:shd w:fill="F7F9FC"/>
          </w:tcPr>
          <w:p>
            <w:pPr>
              <w:spacing w:after="0"/>
            </w:pPr>
            <w:r/>
            <w:r>
              <w:rPr>
                <w:b w:val="0"/>
                <w:color w:val="222222"/>
                <w:sz w:val="17"/>
              </w:rPr>
              <w:t>Deep-learning training history</w:t>
            </w:r>
          </w:p>
        </w:tc>
        <w:tc>
          <w:tcPr>
            <w:tcW w:type="dxa" w:w="5141"/>
            <w:vAlign w:val="center"/>
            <w:shd w:fill="F7F9FC"/>
          </w:tcPr>
          <w:p>
            <w:pPr>
              <w:spacing w:after="0"/>
            </w:pPr>
            <w:r/>
            <w:r>
              <w:rPr>
                <w:b w:val="0"/>
                <w:color w:val="222222"/>
                <w:sz w:val="17"/>
              </w:rPr>
              <w:t>Training/validation loss and MAE across 37 epochs</w:t>
            </w:r>
          </w:p>
        </w:tc>
      </w:tr>
      <w:tr>
        <w:tc>
          <w:tcPr>
            <w:tcW w:type="dxa" w:w="5141"/>
            <w:vAlign w:val="center"/>
            <w:shd w:fill="FFFFFF"/>
          </w:tcPr>
          <w:p>
            <w:pPr>
              <w:spacing w:after="0"/>
            </w:pPr>
            <w:r/>
            <w:r>
              <w:rPr>
                <w:b w:val="0"/>
                <w:color w:val="222222"/>
                <w:sz w:val="17"/>
              </w:rPr>
              <w:t>Capstone report</w:t>
            </w:r>
          </w:p>
        </w:tc>
        <w:tc>
          <w:tcPr>
            <w:tcW w:type="dxa" w:w="5141"/>
            <w:vAlign w:val="center"/>
            <w:shd w:fill="FFFFFF"/>
          </w:tcPr>
          <w:p>
            <w:pPr>
              <w:spacing w:after="0"/>
            </w:pPr>
            <w:r/>
            <w:r>
              <w:rPr>
                <w:b w:val="0"/>
                <w:color w:val="222222"/>
                <w:sz w:val="17"/>
              </w:rPr>
              <w:t>Integrated documentation of the six-week workflow</w:t>
            </w:r>
          </w:p>
        </w:tc>
      </w:tr>
    </w:tbl>
    <w:p>
      <w:pPr>
        <w:spacing w:after="20"/>
      </w:pPr>
    </w:p>
    <w:p>
      <w:pPr>
        <w:spacing w:after="20"/>
      </w:pPr>
    </w:p>
    <w:sectPr w:rsidR="00FC693F" w:rsidRPr="0006063C" w:rsidSect="00034616">
      <w:headerReference w:type="default" r:id="rId9"/>
      <w:footerReference w:type="default" r:id="rId10"/>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Integrative Capstone Project • Gurugram Real-Estate Dataset</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color="17365D"/>
      </w:pBdr>
    </w:pPr>
    <w:r>
      <w:rPr>
        <w:b/>
        <w:color w:val="17365D"/>
        <w:sz w:val="16"/>
      </w:rPr>
      <w:t>WEEK 6 INTEGRATIVE CAPSTONE  |  DATA SCIENCE USING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