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0301CF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052159F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USECASE DIAGRAM &amp; CLASS DIAGRAM</w:t>
      </w:r>
    </w:p>
    <w:p w14:paraId="2E8871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36"/>
          <w:rFonts w:hint="default"/>
          <w:lang w:val="en-US"/>
          <w:woUserID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Link:</w:t>
      </w:r>
      <w:r>
        <w:rPr>
          <w:rStyle w:val="51"/>
          <w:rFonts w:hint="default"/>
          <w:sz w:val="28"/>
          <w:szCs w:val="28"/>
          <w:lang w:val="en-US"/>
        </w:rPr>
        <w:t>https://app.diagrams.net/#G1Q_XsogWgbCc1lCb-YEoMijvkmFh9V1Eg#%7B%22pageId%22%3A%22nYcITbg5vJLGoWtLoJf6%22%7D</w:t>
      </w:r>
      <w:bookmarkStart w:id="0" w:name="_GoBack"/>
      <w:bookmarkEnd w:id="0"/>
    </w:p>
    <w:p w14:paraId="321CE09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645AA5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237B00DB"/>
    <w:rsid w:val="40E4181B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1</Lines>
  <Paragraphs>1</Paragraphs>
  <TotalTime>37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2025-04-15T08:59:09Z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9D8B86B42653430B8144A1D83BE2F72F_11</vt:lpwstr>
  </property>
</Properties>
</file>