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TraceAdvisor: Pre-Execution Resource Recommendations for Recurring Cluster Workloads</w:t>
      </w:r>
    </w:p>
    <w:p>
      <w:r>
        <w:rPr>
          <w:rFonts w:ascii="Times New Roman" w:hAnsi="Times New Roman"/>
          <w:b w:val="0"/>
          <w:i w:val="0"/>
        </w:rPr>
        <w:t>CMPE 295B Master's Project — Final Report — Chapters 2–9 (DRAFT)</w:t>
      </w:r>
    </w:p>
    <w:p>
      <w:r>
        <w:rPr>
          <w:rFonts w:ascii="Times New Roman" w:hAnsi="Times New Roman"/>
          <w:b w:val="0"/>
          <w:i w:val="0"/>
        </w:rPr>
        <w:t>Shivani Jariwala, Meghana Koti, Sonali Lonkar, Sofia Silva — Advisor: Dan Harkey</w:t>
      </w:r>
    </w:p>
    <w:p>
      <w:pPr>
        <w:ind w:left="432"/>
      </w:pPr>
      <w:r>
        <w:rPr>
          <w:rFonts w:ascii="Times New Roman" w:hAnsi="Times New Roman"/>
          <w:b/>
          <w:i w:val="0"/>
          <w:sz w:val="21"/>
        </w:rPr>
        <w:t>Draft status note (remove before submission).</w:t>
      </w:r>
      <w:r>
        <w:rPr>
          <w:rFonts w:ascii="Times New Roman" w:hAnsi="Times New Roman"/>
          <w:b w:val="0"/>
          <w:i w:val="0"/>
          <w:sz w:val="21"/>
        </w:rPr>
        <w:t xml:space="preserve"> This draft covers Chapters 2–9 of the submitted Table of Contents. Chapter 1 is already submitted and is not repeated. Text in the form </w:t>
      </w:r>
      <w:r>
        <w:rPr>
          <w:rFonts w:ascii="Times New Roman" w:hAnsi="Times New Roman"/>
          <w:b/>
          <w:i w:val="0"/>
          <w:color w:val="9C0006"/>
          <w:sz w:val="21"/>
          <w:highlight w:val="yellow"/>
        </w:rPr>
        <w:t>[TBD — …]</w:t>
      </w:r>
      <w:r>
        <w:rPr>
          <w:rFonts w:ascii="Times New Roman" w:hAnsi="Times New Roman"/>
          <w:b w:val="0"/>
          <w:i w:val="0"/>
          <w:sz w:val="21"/>
        </w:rPr>
        <w:t xml:space="preserve"> is a placeholder for work that is not yet built or decided; each placeholder names the backlog issue, pull request, or open decision that will fill it. Every number in this draft that describes the Google pipeline comes from a saved artifact or notebook output listed in REPORT_TRACEABILITY.md. Numbers labeled "validation" come from the validation split only. No final-test result exists yet; final Google results will come only from the one-time final-test evaluation (backlog Issue 12). Status labels used throughout: </w:t>
      </w:r>
      <w:r>
        <w:rPr>
          <w:rFonts w:ascii="Times New Roman" w:hAnsi="Times New Roman"/>
          <w:b/>
          <w:i w:val="0"/>
          <w:sz w:val="21"/>
        </w:rPr>
        <w:t>implemented</w:t>
      </w:r>
      <w:r>
        <w:rPr>
          <w:rFonts w:ascii="Times New Roman" w:hAnsi="Times New Roman"/>
          <w:b w:val="0"/>
          <w:i w:val="0"/>
          <w:sz w:val="21"/>
        </w:rPr>
        <w:t xml:space="preserve"> (merged on </w:t>
      </w:r>
      <w:r>
        <w:rPr>
          <w:rFonts w:ascii="Courier New" w:hAnsi="Courier New"/>
          <w:b w:val="0"/>
          <w:i w:val="0"/>
          <w:sz w:val="19"/>
        </w:rPr>
        <w:t>main</w:t>
      </w:r>
      <w:r>
        <w:rPr>
          <w:rFonts w:ascii="Times New Roman" w:hAnsi="Times New Roman"/>
          <w:b w:val="0"/>
          <w:i w:val="0"/>
          <w:sz w:val="21"/>
        </w:rPr>
        <w:t xml:space="preserve">), </w:t>
      </w:r>
      <w:r>
        <w:rPr>
          <w:rFonts w:ascii="Times New Roman" w:hAnsi="Times New Roman"/>
          <w:b/>
          <w:i w:val="0"/>
          <w:sz w:val="21"/>
        </w:rPr>
        <w:t>in review</w:t>
      </w:r>
      <w:r>
        <w:rPr>
          <w:rFonts w:ascii="Times New Roman" w:hAnsi="Times New Roman"/>
          <w:b w:val="0"/>
          <w:i w:val="0"/>
          <w:sz w:val="21"/>
        </w:rPr>
        <w:t xml:space="preserve"> (open pull request), and </w:t>
      </w:r>
      <w:r>
        <w:rPr>
          <w:rFonts w:ascii="Times New Roman" w:hAnsi="Times New Roman"/>
          <w:b/>
          <w:i w:val="0"/>
          <w:sz w:val="21"/>
        </w:rPr>
        <w:t>planned</w:t>
      </w:r>
      <w:r>
        <w:rPr>
          <w:rFonts w:ascii="Times New Roman" w:hAnsi="Times New Roman"/>
          <w:b w:val="0"/>
          <w:i w:val="0"/>
          <w:sz w:val="21"/>
        </w:rPr>
        <w:t xml:space="preserve"> (backlog item not yet built). Repository state described: </w:t>
      </w:r>
      <w:r>
        <w:rPr>
          <w:rFonts w:ascii="Courier New" w:hAnsi="Courier New"/>
          <w:b w:val="0"/>
          <w:i w:val="0"/>
          <w:sz w:val="19"/>
        </w:rPr>
        <w:t>origin/main</w:t>
      </w:r>
      <w:r>
        <w:rPr>
          <w:rFonts w:ascii="Times New Roman" w:hAnsi="Times New Roman"/>
          <w:b w:val="0"/>
          <w:i w:val="0"/>
          <w:sz w:val="21"/>
        </w:rPr>
        <w:t xml:space="preserve"> at commit a0b3c77 (PR #70 and PR #72 merged); PR #61 still open.</w:t>
      </w:r>
    </w:p>
    <w:p>
      <w:pPr>
        <w:pStyle w:val="Heading2"/>
      </w:pPr>
      <w:r>
        <w:t>List of Figures (entries for Chapters 2–9)</w:t>
      </w:r>
    </w:p>
    <w:p>
      <w:pPr>
        <w:pStyle w:val="ListBullet"/>
      </w:pPr>
      <w:r>
        <w:rPr>
          <w:rFonts w:ascii="Times New Roman" w:hAnsi="Times New Roman"/>
          <w:b w:val="0"/>
          <w:i w:val="0"/>
        </w:rPr>
        <w:t>Figure 2.1. TraceAdvisor Google pipeline and its status, with artifact counts at each stage.</w:t>
      </w:r>
    </w:p>
    <w:p>
      <w:pPr>
        <w:pStyle w:val="Heading2"/>
      </w:pPr>
      <w:r>
        <w:t>List of Tables (entries for Chapters 2–9)</w:t>
      </w:r>
    </w:p>
    <w:p>
      <w:pPr>
        <w:pStyle w:val="ListBullet"/>
      </w:pPr>
      <w:r>
        <w:rPr>
          <w:rFonts w:ascii="Times New Roman" w:hAnsi="Times New Roman"/>
          <w:b w:val="0"/>
          <w:i w:val="0"/>
        </w:rPr>
        <w:t>Table 2.1. Implementation status of TraceAdvisor components.</w:t>
      </w:r>
    </w:p>
    <w:p>
      <w:pPr>
        <w:pStyle w:val="ListBullet"/>
      </w:pPr>
      <w:r>
        <w:rPr>
          <w:rFonts w:ascii="Times New Roman" w:hAnsi="Times New Roman"/>
          <w:b w:val="0"/>
          <w:i w:val="0"/>
        </w:rPr>
        <w:t>Table 5.1. Validation comparison of CPU and memory regression models (Notebook 05, PR #61, in review).</w:t>
      </w:r>
    </w:p>
    <w:p>
      <w:pPr>
        <w:pStyle w:val="ListBullet"/>
      </w:pPr>
      <w:r>
        <w:rPr>
          <w:rFonts w:ascii="Times New Roman" w:hAnsi="Times New Roman"/>
          <w:b w:val="0"/>
          <w:i w:val="0"/>
        </w:rPr>
        <w:t>Table 6.1. Chronological split summary (Notebook 04).</w:t>
      </w:r>
    </w:p>
    <w:p>
      <w:pPr>
        <w:pStyle w:val="ListBullet"/>
      </w:pPr>
      <w:r>
        <w:rPr>
          <w:rFonts w:ascii="Times New Roman" w:hAnsi="Times New Roman"/>
          <w:b w:val="0"/>
          <w:i w:val="0"/>
        </w:rPr>
        <w:t>Table 7.1. Validation comparison of baseline policies at the selected min_runs = 1 (Notebook 04).</w:t>
      </w:r>
    </w:p>
    <w:p>
      <w:pPr>
        <w:pStyle w:val="Heading1"/>
      </w:pPr>
      <w:r>
        <w:t>Table of Contents (Chapters 2–9 draft)</w:t>
      </w:r>
    </w:p>
    <w:p>
      <w:r>
        <w:fldChar w:fldCharType="begin"/>
        <w:instrText xml:space="preserve">TOC \o "1-3" \h \z \u</w:instrText>
        <w:fldChar w:fldCharType="separate"/>
      </w:r>
      <w:r>
        <w:rPr>
          <w:i/>
        </w:rPr>
        <w:t>Right-click and choose Update Field to build the table of contents.</w:t>
        <w:fldChar w:fldCharType="end"/>
      </w:r>
    </w:p>
    <w:p>
      <w:r>
        <w:br w:type="page"/>
      </w:r>
    </w:p>
    <w:p>
      <w:pPr>
        <w:pStyle w:val="Heading1"/>
      </w:pPr>
      <w:r>
        <w:t>Chapter 2. Project Architecture</w:t>
      </w:r>
    </w:p>
    <w:p>
      <w:pPr>
        <w:pStyle w:val="Heading2"/>
      </w:pPr>
      <w:r>
        <w:t>2.1 Introduction and System Overview</w:t>
      </w:r>
    </w:p>
    <w:p>
      <w:r>
        <w:rPr>
          <w:rFonts w:ascii="Times New Roman" w:hAnsi="Times New Roman"/>
          <w:b w:val="0"/>
          <w:i w:val="0"/>
        </w:rPr>
        <w:t>TraceAdvisor is an offline advisory system that turns historical cluster traces into pre-execution CPU and memory recommendations for recurring workloads. It runs beside a scheduler and does not modify it: the system reads a trace, reconstructs what each recurring workload used in the past, and recommends a CPU and memory allocation for the workload's next launch. Recommendations are evaluated by replaying the trace in chronological order, so that every recommendation uses only information that would have been available at submission time.</w:t>
      </w:r>
    </w:p>
    <w:p>
      <w:r>
        <w:rPr>
          <w:rFonts w:ascii="Times New Roman" w:hAnsi="Times New Roman"/>
          <w:b w:val="0"/>
          <w:i w:val="0"/>
        </w:rPr>
        <w:t xml:space="preserve">The 295B implementation is organized as a sequence of notebooks in </w:t>
      </w:r>
      <w:r>
        <w:rPr>
          <w:rFonts w:ascii="Courier New" w:hAnsi="Courier New"/>
          <w:b w:val="0"/>
          <w:i w:val="0"/>
          <w:sz w:val="20"/>
        </w:rPr>
        <w:t>pipelines/google_subset/</w:t>
      </w:r>
      <w:r>
        <w:rPr>
          <w:rFonts w:ascii="Times New Roman" w:hAnsi="Times New Roman"/>
          <w:b w:val="0"/>
          <w:i w:val="0"/>
        </w:rPr>
        <w:t xml:space="preserve"> that exchange versioned artifacts, plus shared Python modules in </w:t>
      </w:r>
      <w:r>
        <w:rPr>
          <w:rFonts w:ascii="Courier New" w:hAnsi="Courier New"/>
          <w:b w:val="0"/>
          <w:i w:val="0"/>
          <w:sz w:val="20"/>
        </w:rPr>
        <w:t>src/evaluation/</w:t>
      </w:r>
      <w:r>
        <w:rPr>
          <w:rFonts w:ascii="Times New Roman" w:hAnsi="Times New Roman"/>
          <w:b w:val="0"/>
          <w:i w:val="0"/>
        </w:rPr>
        <w:t xml:space="preserve"> and </w:t>
      </w:r>
      <w:r>
        <w:rPr>
          <w:rFonts w:ascii="Courier New" w:hAnsi="Courier New"/>
          <w:b w:val="0"/>
          <w:i w:val="0"/>
          <w:sz w:val="20"/>
        </w:rPr>
        <w:t>src/features/</w:t>
      </w:r>
      <w:r>
        <w:rPr>
          <w:rFonts w:ascii="Times New Roman" w:hAnsi="Times New Roman"/>
          <w:b w:val="0"/>
          <w:i w:val="0"/>
        </w:rPr>
        <w:t xml:space="preserve">. The canonical modeling and evaluation unit is the </w:t>
      </w:r>
      <w:r>
        <w:rPr>
          <w:rFonts w:ascii="Times New Roman" w:hAnsi="Times New Roman"/>
          <w:b/>
          <w:i w:val="0"/>
        </w:rPr>
        <w:t>full-workload occurrence</w:t>
      </w:r>
      <w:r>
        <w:rPr>
          <w:rFonts w:ascii="Times New Roman" w:hAnsi="Times New Roman"/>
          <w:b w:val="0"/>
          <w:i w:val="0"/>
        </w:rPr>
        <w:t xml:space="preserve">: all executions of one recurring workload that start at the same time, identified by </w:t>
      </w:r>
      <w:r>
        <w:rPr>
          <w:rFonts w:ascii="Courier New" w:hAnsi="Courier New"/>
          <w:b w:val="0"/>
          <w:i w:val="0"/>
          <w:sz w:val="20"/>
        </w:rPr>
        <w:t>occurrence_key = recurrence_key || execution_start_time_us</w:t>
      </w:r>
      <w:r>
        <w:rPr>
          <w:rFonts w:ascii="Times New Roman" w:hAnsi="Times New Roman"/>
          <w:b w:val="0"/>
          <w:i w:val="0"/>
        </w:rPr>
        <w:t>. The core policy comparison planned for 295B is Request, Mean, P90, P95, P99, ML-only, and Hybrid, all evaluated against the same targets by one shared evaluator.</w:t>
      </w:r>
    </w:p>
    <w:p>
      <w:r>
        <w:rPr>
          <w:rFonts w:ascii="Times New Roman" w:hAnsi="Times New Roman"/>
          <w:b w:val="0"/>
          <w:i w:val="0"/>
        </w:rPr>
        <w:t>Figure 2.1 shows the pipeline with the artifact counts produced at each stage, and Table 2.1 lists which components are implemented, in review, or planned.</w:t>
      </w:r>
    </w:p>
    <w:p>
      <w:pPr>
        <w:jc w:val="center"/>
      </w:pPr>
      <w:r>
        <w:drawing>
          <wp:inline xmlns:a="http://schemas.openxmlformats.org/drawingml/2006/main" xmlns:pic="http://schemas.openxmlformats.org/drawingml/2006/picture">
            <wp:extent cx="4572000" cy="5543296"/>
            <wp:docPr id="1" name="Picture 1"/>
            <wp:cNvGraphicFramePr>
              <a:graphicFrameLocks noChangeAspect="1"/>
            </wp:cNvGraphicFramePr>
            <a:graphic>
              <a:graphicData uri="http://schemas.openxmlformats.org/drawingml/2006/picture">
                <pic:pic>
                  <pic:nvPicPr>
                    <pic:cNvPr id="0" name="fig_2_1_pipeline.png"/>
                    <pic:cNvPicPr/>
                  </pic:nvPicPr>
                  <pic:blipFill>
                    <a:blip r:embed="rId10"/>
                    <a:stretch>
                      <a:fillRect/>
                    </a:stretch>
                  </pic:blipFill>
                  <pic:spPr>
                    <a:xfrm>
                      <a:off x="0" y="0"/>
                      <a:ext cx="4572000" cy="5543296"/>
                    </a:xfrm>
                    <a:prstGeom prst="rect"/>
                  </pic:spPr>
                </pic:pic>
              </a:graphicData>
            </a:graphic>
          </wp:inline>
        </w:drawing>
      </w:r>
    </w:p>
    <w:p>
      <w:pPr>
        <w:pStyle w:val="Caption"/>
        <w:jc w:val="center"/>
      </w:pPr>
      <w:r>
        <w:rPr>
          <w:rFonts w:ascii="Times New Roman" w:hAnsi="Times New Roman"/>
          <w:b w:val="0"/>
          <w:i/>
          <w:sz w:val="20"/>
        </w:rPr>
        <w:t xml:space="preserve">Figure 2.1. TraceAdvisor Google pipeline and its status, with artifact counts at each stage. Solid boxes are implemented on </w:t>
      </w:r>
      <w:r>
        <w:rPr>
          <w:rFonts w:ascii="Courier New" w:hAnsi="Courier New"/>
          <w:b w:val="0"/>
          <w:i/>
          <w:sz w:val="18"/>
        </w:rPr>
        <w:t>main</w:t>
      </w:r>
      <w:r>
        <w:rPr>
          <w:rFonts w:ascii="Times New Roman" w:hAnsi="Times New Roman"/>
          <w:b w:val="0"/>
          <w:i/>
          <w:sz w:val="20"/>
        </w:rPr>
        <w:t xml:space="preserve">, the dashed box is in an open pull request (PR #61), and the dotted box is planned. Counts are read from the saved artifacts by </w:t>
      </w:r>
      <w:r>
        <w:rPr>
          <w:rFonts w:ascii="Courier New" w:hAnsi="Courier New"/>
          <w:b w:val="0"/>
          <w:i/>
          <w:sz w:val="18"/>
        </w:rPr>
        <w:t>docs/report/scripts/make_report_artifacts.py</w:t>
      </w:r>
      <w:r>
        <w:rPr>
          <w:rFonts w:ascii="Times New Roman" w:hAnsi="Times New Roman"/>
          <w:b w:val="0"/>
          <w:i/>
          <w:sz w:val="20"/>
        </w:rPr>
        <w:t>.</w:t>
      </w:r>
    </w:p>
    <w:p>
      <w:pPr>
        <w:pStyle w:val="Caption"/>
      </w:pPr>
      <w:r>
        <w:rPr>
          <w:rFonts w:ascii="Times New Roman" w:hAnsi="Times New Roman"/>
          <w:b w:val="0"/>
          <w:i/>
          <w:sz w:val="20"/>
        </w:rPr>
        <w:t>Table 2.1. Implementation status of TraceAdvisor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pPr>
              <w:spacing w:after="0"/>
            </w:pPr>
            <w:r/>
            <w:r>
              <w:rPr>
                <w:rFonts w:ascii="Times New Roman" w:hAnsi="Times New Roman"/>
                <w:b/>
                <w:i w:val="0"/>
                <w:sz w:val="20"/>
              </w:rPr>
              <w:t>Component</w:t>
            </w:r>
          </w:p>
        </w:tc>
        <w:tc>
          <w:tcPr>
            <w:tcW w:type="dxa" w:w="2880"/>
            <w:shd w:val="clear" w:color="auto" w:fill="D9D9D9"/>
          </w:tcPr>
          <w:p>
            <w:pPr>
              <w:spacing w:after="0"/>
            </w:pPr>
            <w:r/>
            <w:r>
              <w:rPr>
                <w:rFonts w:ascii="Times New Roman" w:hAnsi="Times New Roman"/>
                <w:b/>
                <w:i w:val="0"/>
                <w:sz w:val="20"/>
              </w:rPr>
              <w:t>Location</w:t>
            </w:r>
          </w:p>
        </w:tc>
        <w:tc>
          <w:tcPr>
            <w:tcW w:type="dxa" w:w="2880"/>
            <w:shd w:val="clear" w:color="auto" w:fill="D9D9D9"/>
          </w:tcPr>
          <w:p>
            <w:pPr>
              <w:spacing w:after="0"/>
            </w:pPr>
            <w:r/>
            <w:r>
              <w:rPr>
                <w:rFonts w:ascii="Times New Roman" w:hAnsi="Times New Roman"/>
                <w:b/>
                <w:i w:val="0"/>
                <w:sz w:val="20"/>
              </w:rPr>
              <w:t>Status</w:t>
            </w:r>
          </w:p>
        </w:tc>
      </w:tr>
      <w:tr>
        <w:tc>
          <w:tcPr>
            <w:tcW w:type="dxa" w:w="2880"/>
          </w:tcPr>
          <w:p>
            <w:pPr>
              <w:spacing w:after="0"/>
            </w:pPr>
            <w:r/>
            <w:r>
              <w:rPr>
                <w:rFonts w:ascii="Times New Roman" w:hAnsi="Times New Roman"/>
                <w:b w:val="0"/>
                <w:i w:val="0"/>
                <w:sz w:val="20"/>
              </w:rPr>
              <w:t>Raw data quality review (N00)</w:t>
            </w:r>
          </w:p>
        </w:tc>
        <w:tc>
          <w:tcPr>
            <w:tcW w:type="dxa" w:w="2880"/>
          </w:tcPr>
          <w:p>
            <w:pPr>
              <w:spacing w:after="0"/>
            </w:pPr>
            <w:r/>
            <w:r>
              <w:rPr>
                <w:rFonts w:ascii="Courier New" w:hAnsi="Courier New"/>
                <w:b w:val="0"/>
                <w:i w:val="0"/>
                <w:sz w:val="18"/>
              </w:rPr>
              <w:t>pipelines/google_subset/00_dataQualityReview.ipynb</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Ingestion and canonical observations (N01)</w:t>
            </w:r>
          </w:p>
        </w:tc>
        <w:tc>
          <w:tcPr>
            <w:tcW w:type="dxa" w:w="2880"/>
          </w:tcPr>
          <w:p>
            <w:pPr>
              <w:spacing w:after="0"/>
            </w:pPr>
            <w:r/>
            <w:r>
              <w:rPr>
                <w:rFonts w:ascii="Courier New" w:hAnsi="Courier New"/>
                <w:b w:val="0"/>
                <w:i w:val="0"/>
                <w:sz w:val="18"/>
              </w:rPr>
              <w:t>01_dataIngestion.ipynb</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Execution reconstruction (N02)</w:t>
            </w:r>
          </w:p>
        </w:tc>
        <w:tc>
          <w:tcPr>
            <w:tcW w:type="dxa" w:w="2880"/>
          </w:tcPr>
          <w:p>
            <w:pPr>
              <w:spacing w:after="0"/>
            </w:pPr>
            <w:r/>
            <w:r>
              <w:rPr>
                <w:rFonts w:ascii="Courier New" w:hAnsi="Courier New"/>
                <w:b w:val="0"/>
                <w:i w:val="0"/>
                <w:sz w:val="18"/>
              </w:rPr>
              <w:t>02_reconstructExecutions.ipynb</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Occurrence aggregation and point-in-time history (N03)</w:t>
            </w:r>
          </w:p>
        </w:tc>
        <w:tc>
          <w:tcPr>
            <w:tcW w:type="dxa" w:w="2880"/>
          </w:tcPr>
          <w:p>
            <w:pPr>
              <w:spacing w:after="0"/>
            </w:pPr>
            <w:r/>
            <w:r>
              <w:rPr>
                <w:rFonts w:ascii="Courier New" w:hAnsi="Courier New"/>
                <w:b w:val="0"/>
                <w:i w:val="0"/>
                <w:sz w:val="18"/>
              </w:rPr>
              <w:t>03_buildProfilesAndMetrics.ipynb</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Chronological split, next-occurrence targets, Request/Mean/P90/P95/P99 baselines (N04)</w:t>
            </w:r>
          </w:p>
        </w:tc>
        <w:tc>
          <w:tcPr>
            <w:tcW w:type="dxa" w:w="2880"/>
          </w:tcPr>
          <w:p>
            <w:pPr>
              <w:spacing w:after="0"/>
            </w:pPr>
            <w:r/>
            <w:r>
              <w:rPr>
                <w:rFonts w:ascii="Courier New" w:hAnsi="Courier New"/>
                <w:b w:val="0"/>
                <w:i w:val="0"/>
                <w:sz w:val="18"/>
              </w:rPr>
              <w:t>04_splitAndBaselines.ipynb</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Shared metrics and evaluator</w:t>
            </w:r>
          </w:p>
        </w:tc>
        <w:tc>
          <w:tcPr>
            <w:tcW w:type="dxa" w:w="2880"/>
          </w:tcPr>
          <w:p>
            <w:pPr>
              <w:spacing w:after="0"/>
            </w:pPr>
            <w:r/>
            <w:r>
              <w:rPr>
                <w:rFonts w:ascii="Courier New" w:hAnsi="Courier New"/>
                <w:b w:val="0"/>
                <w:i w:val="0"/>
                <w:sz w:val="18"/>
              </w:rPr>
              <w:t>src/evaluation/</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Chronological split utility</w:t>
            </w:r>
          </w:p>
        </w:tc>
        <w:tc>
          <w:tcPr>
            <w:tcW w:type="dxa" w:w="2880"/>
          </w:tcPr>
          <w:p>
            <w:pPr>
              <w:spacing w:after="0"/>
            </w:pPr>
            <w:r/>
            <w:r>
              <w:rPr>
                <w:rFonts w:ascii="Courier New" w:hAnsi="Courier New"/>
                <w:b w:val="0"/>
                <w:i w:val="0"/>
                <w:sz w:val="18"/>
              </w:rPr>
              <w:t>src/features/split_utils.py</w:t>
            </w:r>
          </w:p>
        </w:tc>
        <w:tc>
          <w:tcPr>
            <w:tcW w:type="dxa" w:w="2880"/>
          </w:tcPr>
          <w:p>
            <w:pPr>
              <w:spacing w:after="0"/>
            </w:pPr>
            <w:r/>
            <w:r>
              <w:rPr>
                <w:rFonts w:ascii="Times New Roman" w:hAnsi="Times New Roman"/>
                <w:b w:val="0"/>
                <w:i w:val="0"/>
                <w:sz w:val="20"/>
              </w:rPr>
              <w:t>Implemented</w:t>
            </w:r>
          </w:p>
        </w:tc>
      </w:tr>
      <w:tr>
        <w:tc>
          <w:tcPr>
            <w:tcW w:type="dxa" w:w="2880"/>
          </w:tcPr>
          <w:p>
            <w:pPr>
              <w:spacing w:after="0"/>
            </w:pPr>
            <w:r/>
            <w:r>
              <w:rPr>
                <w:rFonts w:ascii="Times New Roman" w:hAnsi="Times New Roman"/>
                <w:b w:val="0"/>
                <w:i w:val="0"/>
                <w:sz w:val="20"/>
              </w:rPr>
              <w:t>ML feature contract, tuning, model lock, ML predictions (N05)</w:t>
            </w:r>
          </w:p>
        </w:tc>
        <w:tc>
          <w:tcPr>
            <w:tcW w:type="dxa" w:w="2880"/>
          </w:tcPr>
          <w:p>
            <w:pPr>
              <w:spacing w:after="0"/>
            </w:pPr>
            <w:r/>
            <w:r>
              <w:rPr>
                <w:rFonts w:ascii="Courier New" w:hAnsi="Courier New"/>
                <w:b w:val="0"/>
                <w:i w:val="0"/>
                <w:sz w:val="18"/>
              </w:rPr>
              <w:t>05_evaluateRecommendations.ipynb</w:t>
            </w:r>
            <w:r>
              <w:rPr>
                <w:rFonts w:ascii="Times New Roman" w:hAnsi="Times New Roman"/>
                <w:b w:val="0"/>
                <w:i w:val="0"/>
                <w:sz w:val="20"/>
              </w:rPr>
              <w:t xml:space="preserve">, </w:t>
            </w:r>
            <w:r>
              <w:rPr>
                <w:rFonts w:ascii="Courier New" w:hAnsi="Courier New"/>
                <w:b w:val="0"/>
                <w:i w:val="0"/>
                <w:sz w:val="18"/>
              </w:rPr>
              <w:t>src/features/</w:t>
            </w:r>
          </w:p>
        </w:tc>
        <w:tc>
          <w:tcPr>
            <w:tcW w:type="dxa" w:w="2880"/>
          </w:tcPr>
          <w:p>
            <w:pPr>
              <w:spacing w:after="0"/>
            </w:pPr>
            <w:r/>
            <w:r>
              <w:rPr>
                <w:rFonts w:ascii="Times New Roman" w:hAnsi="Times New Roman"/>
                <w:b w:val="0"/>
                <w:i w:val="0"/>
                <w:sz w:val="20"/>
              </w:rPr>
              <w:t>In review (PR #61)</w:t>
            </w:r>
          </w:p>
        </w:tc>
      </w:tr>
      <w:tr>
        <w:tc>
          <w:tcPr>
            <w:tcW w:type="dxa" w:w="2880"/>
          </w:tcPr>
          <w:p>
            <w:pPr>
              <w:spacing w:after="0"/>
            </w:pPr>
            <w:r/>
            <w:r>
              <w:rPr>
                <w:rFonts w:ascii="Times New Roman" w:hAnsi="Times New Roman"/>
                <w:b w:val="0"/>
                <w:i w:val="0"/>
                <w:sz w:val="20"/>
              </w:rPr>
              <w:t>External dataset semantics study, canonical schema (v0.1.0), adapter framework, Alibaba 2018 and Azure VM adapters</w:t>
            </w:r>
          </w:p>
        </w:tc>
        <w:tc>
          <w:tcPr>
            <w:tcW w:type="dxa" w:w="2880"/>
          </w:tcPr>
          <w:p>
            <w:pPr>
              <w:spacing w:after="0"/>
            </w:pPr>
            <w:r/>
            <w:r>
              <w:rPr>
                <w:rFonts w:ascii="Courier New" w:hAnsi="Courier New"/>
                <w:b w:val="0"/>
                <w:i w:val="0"/>
                <w:sz w:val="18"/>
              </w:rPr>
              <w:t>docs/data/</w:t>
            </w:r>
            <w:r>
              <w:rPr>
                <w:rFonts w:ascii="Times New Roman" w:hAnsi="Times New Roman"/>
                <w:b w:val="0"/>
                <w:i w:val="0"/>
                <w:sz w:val="20"/>
              </w:rPr>
              <w:t xml:space="preserve">, </w:t>
            </w:r>
            <w:r>
              <w:rPr>
                <w:rFonts w:ascii="Courier New" w:hAnsi="Courier New"/>
                <w:b w:val="0"/>
                <w:i w:val="0"/>
                <w:sz w:val="18"/>
              </w:rPr>
              <w:t>src/canonical/</w:t>
            </w:r>
            <w:r>
              <w:rPr>
                <w:rFonts w:ascii="Times New Roman" w:hAnsi="Times New Roman"/>
                <w:b w:val="0"/>
                <w:i w:val="0"/>
                <w:sz w:val="20"/>
              </w:rPr>
              <w:t xml:space="preserve">, </w:t>
            </w:r>
            <w:r>
              <w:rPr>
                <w:rFonts w:ascii="Courier New" w:hAnsi="Courier New"/>
                <w:b w:val="0"/>
                <w:i w:val="0"/>
                <w:sz w:val="18"/>
              </w:rPr>
              <w:t>src/adapters/</w:t>
            </w:r>
            <w:r>
              <w:rPr>
                <w:rFonts w:ascii="Times New Roman" w:hAnsi="Times New Roman"/>
                <w:b w:val="0"/>
                <w:i w:val="0"/>
                <w:sz w:val="20"/>
              </w:rPr>
              <w:t xml:space="preserve">, </w:t>
            </w:r>
            <w:r>
              <w:rPr>
                <w:rFonts w:ascii="Courier New" w:hAnsi="Courier New"/>
                <w:b w:val="0"/>
                <w:i w:val="0"/>
                <w:sz w:val="18"/>
              </w:rPr>
              <w:t>config/</w:t>
            </w:r>
          </w:p>
        </w:tc>
        <w:tc>
          <w:tcPr>
            <w:tcW w:type="dxa" w:w="2880"/>
          </w:tcPr>
          <w:p>
            <w:pPr>
              <w:spacing w:after="0"/>
            </w:pPr>
            <w:r/>
            <w:r>
              <w:rPr>
                <w:rFonts w:ascii="Times New Roman" w:hAnsi="Times New Roman"/>
                <w:b w:val="0"/>
                <w:i w:val="0"/>
                <w:sz w:val="20"/>
              </w:rPr>
              <w:t>Implemented (PR #70, merged)</w:t>
            </w:r>
          </w:p>
        </w:tc>
      </w:tr>
      <w:tr>
        <w:tc>
          <w:tcPr>
            <w:tcW w:type="dxa" w:w="2880"/>
          </w:tcPr>
          <w:p>
            <w:pPr>
              <w:spacing w:after="0"/>
            </w:pPr>
            <w:r/>
            <w:r>
              <w:rPr>
                <w:rFonts w:ascii="Times New Roman" w:hAnsi="Times New Roman"/>
                <w:b w:val="0"/>
                <w:i w:val="0"/>
                <w:sz w:val="20"/>
              </w:rPr>
              <w:t>Downstream history, profile, and ML-ready preparation for Alibaba and Azure VM</w:t>
            </w:r>
          </w:p>
        </w:tc>
        <w:tc>
          <w:tcPr>
            <w:tcW w:type="dxa" w:w="2880"/>
          </w:tcPr>
          <w:p>
            <w:pPr>
              <w:spacing w:after="0"/>
            </w:pPr>
            <w:r/>
            <w:r>
              <w:rPr>
                <w:rFonts w:ascii="Times New Roman" w:hAnsi="Times New Roman"/>
                <w:b w:val="0"/>
                <w:i w:val="0"/>
                <w:sz w:val="20"/>
              </w:rPr>
              <w:t>New Issue 4 (GitHub #66, open)</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Proposed revision of the external-dataset scope (Alibaba GPU v2020 as the required second dataset; Azure deferred)</w:t>
            </w:r>
          </w:p>
        </w:tc>
        <w:tc>
          <w:tcPr>
            <w:tcW w:type="dxa" w:w="2880"/>
          </w:tcPr>
          <w:p>
            <w:pPr>
              <w:spacing w:after="0"/>
            </w:pPr>
            <w:r/>
            <w:r>
              <w:rPr>
                <w:rFonts w:ascii="Courier New" w:hAnsi="Courier New"/>
                <w:b w:val="0"/>
                <w:i w:val="0"/>
                <w:sz w:val="18"/>
              </w:rPr>
              <w:t>docs/data/alibaba_dataset_selection_feasibility.md</w:t>
            </w:r>
            <w:r>
              <w:rPr>
                <w:rFonts w:ascii="Times New Roman" w:hAnsi="Times New Roman"/>
                <w:b w:val="0"/>
                <w:i w:val="0"/>
                <w:sz w:val="20"/>
              </w:rPr>
              <w:t xml:space="preserve">, </w:t>
            </w:r>
            <w:r>
              <w:rPr>
                <w:rFonts w:ascii="Courier New" w:hAnsi="Courier New"/>
                <w:b w:val="0"/>
                <w:i w:val="0"/>
                <w:sz w:val="18"/>
              </w:rPr>
              <w:t>docs/data/canonical_contract_decisions.md</w:t>
            </w:r>
            <w:r>
              <w:rPr>
                <w:rFonts w:ascii="Times New Roman" w:hAnsi="Times New Roman"/>
                <w:b w:val="0"/>
                <w:i w:val="0"/>
                <w:sz w:val="20"/>
              </w:rPr>
              <w:t xml:space="preserve"> (PR #72, merged as documentation)</w:t>
            </w:r>
          </w:p>
        </w:tc>
        <w:tc>
          <w:tcPr>
            <w:tcW w:type="dxa" w:w="2880"/>
          </w:tcPr>
          <w:p>
            <w:pPr>
              <w:spacing w:after="0"/>
            </w:pPr>
            <w:r/>
            <w:r>
              <w:rPr>
                <w:rFonts w:ascii="Times New Roman" w:hAnsi="Times New Roman"/>
                <w:b w:val="0"/>
                <w:i w:val="0"/>
                <w:sz w:val="20"/>
              </w:rPr>
              <w:t>Proposed design; not implemented; awaiting team acceptance</w:t>
            </w:r>
          </w:p>
        </w:tc>
      </w:tr>
      <w:tr>
        <w:tc>
          <w:tcPr>
            <w:tcW w:type="dxa" w:w="2880"/>
          </w:tcPr>
          <w:p>
            <w:pPr>
              <w:spacing w:after="0"/>
            </w:pPr>
            <w:r/>
            <w:r>
              <w:rPr>
                <w:rFonts w:ascii="Times New Roman" w:hAnsi="Times New Roman"/>
                <w:b w:val="0"/>
                <w:i w:val="0"/>
                <w:sz w:val="20"/>
              </w:rPr>
              <w:t>Hybrid construction and comparison of all seven policies through the shared evaluator (N06)</w:t>
            </w:r>
          </w:p>
        </w:tc>
        <w:tc>
          <w:tcPr>
            <w:tcW w:type="dxa" w:w="2880"/>
          </w:tcPr>
          <w:p>
            <w:pPr>
              <w:spacing w:after="0"/>
            </w:pPr>
            <w:r/>
            <w:r>
              <w:rPr>
                <w:rFonts w:ascii="Times New Roman" w:hAnsi="Times New Roman"/>
                <w:b w:val="0"/>
                <w:i w:val="0"/>
                <w:sz w:val="20"/>
              </w:rPr>
              <w:t>not yet created</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Decision freeze and final decision manifest</w:t>
            </w:r>
          </w:p>
        </w:tc>
        <w:tc>
          <w:tcPr>
            <w:tcW w:type="dxa" w:w="2880"/>
          </w:tcPr>
          <w:p>
            <w:pPr>
              <w:spacing w:after="0"/>
            </w:pPr>
            <w:r/>
            <w:r>
              <w:rPr>
                <w:rFonts w:ascii="Times New Roman" w:hAnsi="Times New Roman"/>
                <w:b w:val="0"/>
                <w:i w:val="0"/>
                <w:sz w:val="20"/>
              </w:rPr>
              <w:t>backlog Issue 11</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One-time final-test evaluation</w:t>
            </w:r>
          </w:p>
        </w:tc>
        <w:tc>
          <w:tcPr>
            <w:tcW w:type="dxa" w:w="2880"/>
          </w:tcPr>
          <w:p>
            <w:pPr>
              <w:spacing w:after="0"/>
            </w:pPr>
            <w:r/>
            <w:r>
              <w:rPr>
                <w:rFonts w:ascii="Times New Roman" w:hAnsi="Times New Roman"/>
                <w:b w:val="0"/>
                <w:i w:val="0"/>
                <w:sz w:val="20"/>
              </w:rPr>
              <w:t>backlog Issue 12</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Explainability and failure analysis</w:t>
            </w:r>
          </w:p>
        </w:tc>
        <w:tc>
          <w:tcPr>
            <w:tcW w:type="dxa" w:w="2880"/>
          </w:tcPr>
          <w:p>
            <w:pPr>
              <w:spacing w:after="0"/>
            </w:pPr>
            <w:r/>
            <w:r>
              <w:rPr>
                <w:rFonts w:ascii="Times New Roman" w:hAnsi="Times New Roman"/>
                <w:b w:val="0"/>
                <w:i w:val="0"/>
                <w:sz w:val="20"/>
              </w:rPr>
              <w:t>backlog Issue 13</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Common recommendation output interface</w:t>
            </w:r>
          </w:p>
        </w:tc>
        <w:tc>
          <w:tcPr>
            <w:tcW w:type="dxa" w:w="2880"/>
          </w:tcPr>
          <w:p>
            <w:pPr>
              <w:spacing w:after="0"/>
            </w:pPr>
            <w:r/>
            <w:r>
              <w:rPr>
                <w:rFonts w:ascii="Times New Roman" w:hAnsi="Times New Roman"/>
                <w:b w:val="0"/>
                <w:i w:val="0"/>
                <w:sz w:val="20"/>
              </w:rPr>
              <w:t>New Issue 5</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Objective-driven Hybrid policy engine</w:t>
            </w:r>
          </w:p>
        </w:tc>
        <w:tc>
          <w:tcPr>
            <w:tcW w:type="dxa" w:w="2880"/>
          </w:tcPr>
          <w:p>
            <w:pPr>
              <w:spacing w:after="0"/>
            </w:pPr>
            <w:r/>
            <w:r>
              <w:rPr>
                <w:rFonts w:ascii="Times New Roman" w:hAnsi="Times New Roman"/>
                <w:b w:val="0"/>
                <w:i w:val="0"/>
                <w:sz w:val="20"/>
              </w:rPr>
              <w:t>New Issue 6</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Read-only API, UI simulation, UI–API integration and demo</w:t>
            </w:r>
          </w:p>
        </w:tc>
        <w:tc>
          <w:tcPr>
            <w:tcW w:type="dxa" w:w="2880"/>
          </w:tcPr>
          <w:p>
            <w:pPr>
              <w:spacing w:after="0"/>
            </w:pPr>
            <w:r/>
            <w:r>
              <w:rPr>
                <w:rFonts w:ascii="Times New Roman" w:hAnsi="Times New Roman"/>
                <w:b w:val="0"/>
                <w:i w:val="0"/>
                <w:sz w:val="20"/>
              </w:rPr>
              <w:t>New Issues 7, 8, 9</w:t>
            </w:r>
          </w:p>
        </w:tc>
        <w:tc>
          <w:tcPr>
            <w:tcW w:type="dxa" w:w="2880"/>
          </w:tcPr>
          <w:p>
            <w:pPr>
              <w:spacing w:after="0"/>
            </w:pPr>
            <w:r/>
            <w:r>
              <w:rPr>
                <w:rFonts w:ascii="Times New Roman" w:hAnsi="Times New Roman"/>
                <w:b w:val="0"/>
                <w:i w:val="0"/>
                <w:sz w:val="20"/>
              </w:rPr>
              <w:t>Planned</w:t>
            </w:r>
          </w:p>
        </w:tc>
      </w:tr>
      <w:tr>
        <w:tc>
          <w:tcPr>
            <w:tcW w:type="dxa" w:w="2880"/>
          </w:tcPr>
          <w:p>
            <w:pPr>
              <w:spacing w:after="0"/>
            </w:pPr>
            <w:r/>
            <w:r>
              <w:rPr>
                <w:rFonts w:ascii="Times New Roman" w:hAnsi="Times New Roman"/>
                <w:b w:val="0"/>
                <w:i w:val="0"/>
                <w:sz w:val="20"/>
              </w:rPr>
              <w:t>Dataset-specific ML for Alibaba and Azure VM</w:t>
            </w:r>
          </w:p>
        </w:tc>
        <w:tc>
          <w:tcPr>
            <w:tcW w:type="dxa" w:w="2880"/>
          </w:tcPr>
          <w:p>
            <w:pPr>
              <w:spacing w:after="0"/>
            </w:pPr>
            <w:r/>
            <w:r>
              <w:rPr>
                <w:rFonts w:ascii="Times New Roman" w:hAnsi="Times New Roman"/>
                <w:b w:val="0"/>
                <w:i w:val="0"/>
                <w:sz w:val="20"/>
              </w:rPr>
              <w:t>Issues 06–08 (external datasets)</w:t>
            </w:r>
          </w:p>
        </w:tc>
        <w:tc>
          <w:tcPr>
            <w:tcW w:type="dxa" w:w="2880"/>
          </w:tcPr>
          <w:p>
            <w:pPr>
              <w:spacing w:after="0"/>
            </w:pPr>
            <w:r/>
            <w:r>
              <w:rPr>
                <w:rFonts w:ascii="Times New Roman" w:hAnsi="Times New Roman"/>
                <w:b w:val="0"/>
                <w:i w:val="0"/>
                <w:sz w:val="20"/>
              </w:rPr>
              <w:t>Planned (role of external datasets still to be confirmed; scope document Section 7)</w:t>
            </w:r>
          </w:p>
        </w:tc>
      </w:tr>
    </w:tbl>
    <w:p>
      <w:pPr>
        <w:spacing w:after="40"/>
      </w:pPr>
    </w:p>
    <w:p>
      <w:pPr>
        <w:pStyle w:val="Heading2"/>
      </w:pPr>
      <w:r>
        <w:t>2.2 Architecture Subsystems</w:t>
      </w:r>
    </w:p>
    <w:p>
      <w:r>
        <w:rPr>
          <w:rFonts w:ascii="Times New Roman" w:hAnsi="Times New Roman"/>
          <w:b w:val="0"/>
          <w:i w:val="0"/>
        </w:rPr>
        <w:t>The architecture has six subsystems. Each owns one stage of the data's meaning, and later stages consume earlier artifacts without recomputing them.</w:t>
      </w:r>
    </w:p>
    <w:p>
      <w:pPr>
        <w:pStyle w:val="Heading3"/>
      </w:pPr>
      <w:r>
        <w:t>2.2.1 Data Ingestion and Dataset Adapters</w:t>
      </w:r>
    </w:p>
    <w:p>
      <w:r>
        <w:rPr>
          <w:rFonts w:ascii="Times New Roman" w:hAnsi="Times New Roman"/>
          <w:b w:val="0"/>
          <w:i w:val="0"/>
        </w:rPr>
        <w:t xml:space="preserve">For Google, ingestion is implemented in Notebooks 00 and 01. Notebook 00 audits the raw Kaggle sample of Google ClusterData 2019 without changing it. Notebook 01 parses the dictionary-encoded resource fields, creates canonical timestamp and resource columns, and saves one row per instance observation (one </w:t>
      </w:r>
      <w:r>
        <w:rPr>
          <w:rFonts w:ascii="Courier New" w:hAnsi="Courier New"/>
          <w:b w:val="0"/>
          <w:i w:val="0"/>
          <w:sz w:val="20"/>
        </w:rPr>
        <w:t>collection_id</w:t>
      </w:r>
      <w:r>
        <w:rPr>
          <w:rFonts w:ascii="Times New Roman" w:hAnsi="Times New Roman"/>
          <w:b w:val="0"/>
          <w:i w:val="0"/>
        </w:rPr>
        <w:t xml:space="preserve">, </w:t>
      </w:r>
      <w:r>
        <w:rPr>
          <w:rFonts w:ascii="Courier New" w:hAnsi="Courier New"/>
          <w:b w:val="0"/>
          <w:i w:val="0"/>
          <w:sz w:val="20"/>
        </w:rPr>
        <w:t>instance_index</w:t>
      </w:r>
      <w:r>
        <w:rPr>
          <w:rFonts w:ascii="Times New Roman" w:hAnsi="Times New Roman"/>
          <w:b w:val="0"/>
          <w:i w:val="0"/>
        </w:rPr>
        <w:t xml:space="preserve">, </w:t>
      </w:r>
      <w:r>
        <w:rPr>
          <w:rFonts w:ascii="Courier New" w:hAnsi="Courier New"/>
          <w:b w:val="0"/>
          <w:i w:val="0"/>
          <w:sz w:val="20"/>
        </w:rPr>
        <w:t>machine_id</w:t>
      </w:r>
      <w:r>
        <w:rPr>
          <w:rFonts w:ascii="Times New Roman" w:hAnsi="Times New Roman"/>
          <w:b w:val="0"/>
          <w:i w:val="0"/>
        </w:rPr>
        <w:t>, and usage window) (</w:t>
      </w:r>
      <w:r>
        <w:rPr>
          <w:rFonts w:ascii="Courier New" w:hAnsi="Courier New"/>
          <w:b w:val="0"/>
          <w:i w:val="0"/>
          <w:sz w:val="20"/>
        </w:rPr>
        <w:t>google_subset_observations_v1.parquet</w:t>
      </w:r>
      <w:r>
        <w:rPr>
          <w:rFonts w:ascii="Times New Roman" w:hAnsi="Times New Roman"/>
          <w:b w:val="0"/>
          <w:i w:val="0"/>
        </w:rPr>
        <w:t>). No rows are filtered and no units are converted at this stage.</w:t>
      </w:r>
    </w:p>
    <w:p>
      <w:r>
        <w:rPr>
          <w:rFonts w:ascii="Times New Roman" w:hAnsi="Times New Roman"/>
          <w:b w:val="0"/>
          <w:i w:val="0"/>
        </w:rPr>
        <w:t xml:space="preserve">For other datasets, the revised 295B plan separates dataset-specific ingestion from shared logic through a canonical workload schema and per-dataset adapters (New Issues 1–4). This work is merged on </w:t>
      </w:r>
      <w:r>
        <w:rPr>
          <w:rFonts w:ascii="Courier New" w:hAnsi="Courier New"/>
          <w:b w:val="0"/>
          <w:i w:val="0"/>
          <w:sz w:val="20"/>
        </w:rPr>
        <w:t>main</w:t>
      </w:r>
      <w:r>
        <w:rPr>
          <w:rFonts w:ascii="Times New Roman" w:hAnsi="Times New Roman"/>
          <w:b w:val="0"/>
          <w:i w:val="0"/>
        </w:rPr>
        <w:t xml:space="preserve"> through PR #70, which adds a dataset semantics study for Alibaba Cluster Trace 2018 and the Azure VM trace, a canonical schema (version 0.1.0) with capability flags, an adapter base class with output validation, and Alibaba and Azure VM adapters. Adapters map source fields into canonical fields; they do not compute percentiles, ML predictions, Hybrid decisions, or evaluator metrics. The adapters stop at canonical source records: building history, profiles, and ML-ready inputs for Alibaba and Azure VM remains open under New Issue 4 (GitHub #66). A later documentation-only change (PR #72) proposes a different external-dataset scope (Section 3.3.2); it changes no code.</w:t>
      </w:r>
    </w:p>
    <w:p>
      <w:pPr>
        <w:pStyle w:val="Heading3"/>
      </w:pPr>
      <w:r>
        <w:t>2.2.2 Execution Reconstruction and Occurrence Modeling</w:t>
      </w:r>
    </w:p>
    <w:p>
      <w:r>
        <w:rPr>
          <w:rFonts w:ascii="Times New Roman" w:hAnsi="Times New Roman"/>
          <w:b w:val="0"/>
          <w:i w:val="0"/>
        </w:rPr>
        <w:t xml:space="preserve">Notebook 02 groups raw observations into executions. A raw </w:t>
      </w:r>
      <w:r>
        <w:rPr>
          <w:rFonts w:ascii="Courier New" w:hAnsi="Courier New"/>
          <w:b w:val="0"/>
          <w:i w:val="0"/>
          <w:sz w:val="20"/>
        </w:rPr>
        <w:t>collection_id + instance_index</w:t>
      </w:r>
      <w:r>
        <w:rPr>
          <w:rFonts w:ascii="Times New Roman" w:hAnsi="Times New Roman"/>
          <w:b w:val="0"/>
          <w:i w:val="0"/>
        </w:rPr>
        <w:t xml:space="preserve"> group is treated only as a candidate; it is split into separate execution episodes wherever a time gap longer than one five-minute observation window occurs. Each execution is linked to a recurring workload through </w:t>
      </w:r>
      <w:r>
        <w:rPr>
          <w:rFonts w:ascii="Courier New" w:hAnsi="Courier New"/>
          <w:b w:val="0"/>
          <w:i w:val="0"/>
          <w:sz w:val="20"/>
        </w:rPr>
        <w:t>recurrence_key = user || logical workload name</w:t>
      </w:r>
      <w:r>
        <w:rPr>
          <w:rFonts w:ascii="Times New Roman" w:hAnsi="Times New Roman"/>
          <w:b w:val="0"/>
          <w:i w:val="0"/>
        </w:rPr>
        <w:t>.</w:t>
      </w:r>
    </w:p>
    <w:p>
      <w:r>
        <w:rPr>
          <w:rFonts w:ascii="Times New Roman" w:hAnsi="Times New Roman"/>
          <w:b w:val="0"/>
          <w:i w:val="0"/>
        </w:rPr>
        <w:t xml:space="preserve">Notebook 03 then combines all executions of a recurrence that start at the same time into one </w:t>
      </w:r>
      <w:r>
        <w:rPr>
          <w:rFonts w:ascii="Times New Roman" w:hAnsi="Times New Roman"/>
          <w:b/>
          <w:i w:val="0"/>
        </w:rPr>
        <w:t>occurrence</w:t>
      </w:r>
      <w:r>
        <w:rPr>
          <w:rFonts w:ascii="Times New Roman" w:hAnsi="Times New Roman"/>
          <w:b w:val="0"/>
          <w:i w:val="0"/>
        </w:rPr>
        <w:t>. An occurrence's peak CPU and memory are computed by summing usage across parallel executions within each aligned usage window and taking the largest window total. This full-workload definition replaces the earlier practice of using the largest individual execution peak (backlog Issue 01).</w:t>
      </w:r>
    </w:p>
    <w:p>
      <w:pPr>
        <w:pStyle w:val="Heading3"/>
      </w:pPr>
      <w:r>
        <w:t>2.2.3 Historical Features and Time-Ordered Data</w:t>
      </w:r>
    </w:p>
    <w:p>
      <w:r>
        <w:rPr>
          <w:rFonts w:ascii="Times New Roman" w:hAnsi="Times New Roman"/>
          <w:b w:val="0"/>
          <w:i w:val="0"/>
        </w:rPr>
        <w:t>For each occurrence, Notebook 03 builds a point-in-time history from earlier occurrences of the same recurrence that had fully completed by the current occurrence's start time. Notebook 04 then splits occurrences chronologically into training, validation, and test partitions without dividing any start-time group, and attaches a target to each occurrence: the full-workload CPU and memory peak of the next distinct occurrence of the same recurrence. A row therefore represents the state at the start of the current occurrence, and the target is what the next launch actually used.</w:t>
      </w:r>
    </w:p>
    <w:p>
      <w:pPr>
        <w:pStyle w:val="Heading3"/>
      </w:pPr>
      <w:r>
        <w:t>2.2.4 Recommendation Engine</w:t>
      </w:r>
    </w:p>
    <w:p>
      <w:r>
        <w:rPr>
          <w:rFonts w:ascii="Times New Roman" w:hAnsi="Times New Roman"/>
          <w:b w:val="0"/>
          <w:i w:val="0"/>
        </w:rPr>
        <w:t>The recommendation engine produces CPU and memory recommendations for each occurrence under several policies:</w:t>
      </w:r>
    </w:p>
    <w:p>
      <w:pPr>
        <w:pStyle w:val="ListBullet"/>
      </w:pPr>
      <w:r>
        <w:rPr>
          <w:rFonts w:ascii="Times New Roman" w:hAnsi="Times New Roman"/>
          <w:b/>
          <w:i w:val="0"/>
        </w:rPr>
        <w:t>Historical baselines (implemented, N04):</w:t>
      </w:r>
      <w:r>
        <w:rPr>
          <w:rFonts w:ascii="Times New Roman" w:hAnsi="Times New Roman"/>
          <w:b w:val="0"/>
          <w:i w:val="0"/>
        </w:rPr>
        <w:t xml:space="preserve"> Request, Mean, P90, P95, and P99 of completed-occurrence history, with a minimum-history threshold (</w:t>
      </w:r>
      <w:r>
        <w:rPr>
          <w:rFonts w:ascii="Courier New" w:hAnsi="Courier New"/>
          <w:b w:val="0"/>
          <w:i w:val="0"/>
          <w:sz w:val="20"/>
        </w:rPr>
        <w:t>min_runs</w:t>
      </w:r>
      <w:r>
        <w:rPr>
          <w:rFonts w:ascii="Times New Roman" w:hAnsi="Times New Roman"/>
          <w:b w:val="0"/>
          <w:i w:val="0"/>
        </w:rPr>
        <w:t>) and a fallback to the current request.</w:t>
      </w:r>
    </w:p>
    <w:p>
      <w:pPr>
        <w:pStyle w:val="ListBullet"/>
      </w:pPr>
      <w:r>
        <w:rPr>
          <w:rFonts w:ascii="Times New Roman" w:hAnsi="Times New Roman"/>
          <w:b/>
          <w:i w:val="0"/>
        </w:rPr>
        <w:t>ML-only (in review, PR #61):</w:t>
      </w:r>
      <w:r>
        <w:rPr>
          <w:rFonts w:ascii="Times New Roman" w:hAnsi="Times New Roman"/>
          <w:b w:val="0"/>
          <w:i w:val="0"/>
        </w:rPr>
        <w:t xml:space="preserve"> per-resource regression models that predict the next occurrence's peak.</w:t>
      </w:r>
    </w:p>
    <w:p>
      <w:pPr>
        <w:pStyle w:val="ListBullet"/>
      </w:pPr>
      <w:r>
        <w:rPr>
          <w:rFonts w:ascii="Times New Roman" w:hAnsi="Times New Roman"/>
          <w:b/>
          <w:i w:val="0"/>
        </w:rPr>
        <w:t>Hybrid (planned, N06 and New Issue 6):</w:t>
      </w:r>
      <w:r>
        <w:rPr>
          <w:rFonts w:ascii="Times New Roman" w:hAnsi="Times New Roman"/>
          <w:b w:val="0"/>
          <w:i w:val="0"/>
        </w:rPr>
        <w:t xml:space="preserve"> the revised plan's starting rule is HybridCPU = max(MLPredictedCPU, P95CPU) and HybridMemory = max(MLPredictedMemory, P95Memory). New Issue 6 extends this into an objective-driven policy engine with Conservative, Balanced, and Efficient objectives.</w:t>
      </w:r>
    </w:p>
    <w:p>
      <w:pPr>
        <w:pStyle w:val="Heading3"/>
      </w:pPr>
      <w:r>
        <w:t>2.2.5 Shared Metrics and Evaluation Framework</w:t>
      </w:r>
    </w:p>
    <w:p>
      <w:r>
        <w:rPr>
          <w:rFonts w:ascii="Times New Roman" w:hAnsi="Times New Roman"/>
          <w:b w:val="0"/>
          <w:i w:val="0"/>
        </w:rPr>
        <w:t>All policies are scored by one shared evaluator (</w:t>
      </w:r>
      <w:r>
        <w:rPr>
          <w:rFonts w:ascii="Courier New" w:hAnsi="Courier New"/>
          <w:b w:val="0"/>
          <w:i w:val="0"/>
          <w:sz w:val="20"/>
        </w:rPr>
        <w:t>src/evaluation/metrics.py</w:t>
      </w:r>
      <w:r>
        <w:rPr>
          <w:rFonts w:ascii="Times New Roman" w:hAnsi="Times New Roman"/>
          <w:b w:val="0"/>
          <w:i w:val="0"/>
        </w:rPr>
        <w:t xml:space="preserve"> and </w:t>
      </w:r>
      <w:r>
        <w:rPr>
          <w:rFonts w:ascii="Courier New" w:hAnsi="Courier New"/>
          <w:b w:val="0"/>
          <w:i w:val="0"/>
          <w:sz w:val="20"/>
        </w:rPr>
        <w:t>src/evaluation/evaluator.py</w:t>
      </w:r>
      <w:r>
        <w:rPr>
          <w:rFonts w:ascii="Times New Roman" w:hAnsi="Times New Roman"/>
          <w:b w:val="0"/>
          <w:i w:val="0"/>
        </w:rPr>
        <w:t xml:space="preserve">). The metric formulas (CPU, memory, and any-resource violation; bounded utilization; waste; shortfall) are defined once in </w:t>
      </w:r>
      <w:r>
        <w:rPr>
          <w:rFonts w:ascii="Courier New" w:hAnsi="Courier New"/>
          <w:b w:val="0"/>
          <w:i w:val="0"/>
          <w:sz w:val="20"/>
        </w:rPr>
        <w:t>metrics.py</w:t>
      </w:r>
      <w:r>
        <w:rPr>
          <w:rFonts w:ascii="Times New Roman" w:hAnsi="Times New Roman"/>
          <w:b w:val="0"/>
          <w:i w:val="0"/>
        </w:rPr>
        <w:t>. The evaluator applies them to any table that names its actual and recommended columns, and reports valid-row denominators for each violation and utilization metric. The revised plan requires the same evaluator to be used for Google, Alibaba, and Azure VM.</w:t>
      </w:r>
    </w:p>
    <w:p>
      <w:pPr>
        <w:pStyle w:val="Heading3"/>
      </w:pPr>
      <w:r>
        <w:t>2.2.6 Artifact Repository and Presentation Layer</w:t>
      </w:r>
    </w:p>
    <w:p>
      <w:r>
        <w:rPr>
          <w:rFonts w:ascii="Times New Roman" w:hAnsi="Times New Roman"/>
          <w:b w:val="0"/>
          <w:i w:val="0"/>
        </w:rPr>
        <w:t xml:space="preserve">Notebooks 01–05 write Parquet, CSV, JSON, and (for N05) serialized model files to </w:t>
      </w:r>
      <w:r>
        <w:rPr>
          <w:rFonts w:ascii="Courier New" w:hAnsi="Courier New"/>
          <w:b w:val="0"/>
          <w:i w:val="0"/>
          <w:sz w:val="20"/>
        </w:rPr>
        <w:t>data/processed/google_subset_v1/</w:t>
      </w:r>
      <w:r>
        <w:rPr>
          <w:rFonts w:ascii="Times New Roman" w:hAnsi="Times New Roman"/>
          <w:b w:val="0"/>
          <w:i w:val="0"/>
        </w:rPr>
        <w:t xml:space="preserve">. These files are the handoff contract between stages; </w:t>
      </w:r>
      <w:r>
        <w:rPr>
          <w:rFonts w:ascii="Courier New" w:hAnsi="Courier New"/>
          <w:b w:val="0"/>
          <w:i w:val="0"/>
          <w:sz w:val="20"/>
        </w:rPr>
        <w:t>metadata.json</w:t>
      </w:r>
      <w:r>
        <w:rPr>
          <w:rFonts w:ascii="Times New Roman" w:hAnsi="Times New Roman"/>
          <w:b w:val="0"/>
          <w:i w:val="0"/>
        </w:rPr>
        <w:t xml:space="preserve"> (N04) and </w:t>
      </w:r>
      <w:r>
        <w:rPr>
          <w:rFonts w:ascii="Courier New" w:hAnsi="Courier New"/>
          <w:b w:val="0"/>
          <w:i w:val="0"/>
          <w:sz w:val="20"/>
        </w:rPr>
        <w:t>ml_metadata.json</w:t>
      </w:r>
      <w:r>
        <w:rPr>
          <w:rFonts w:ascii="Times New Roman" w:hAnsi="Times New Roman"/>
          <w:b w:val="0"/>
          <w:i w:val="0"/>
        </w:rPr>
        <w:t xml:space="preserve"> (N05) record the definitions and decisions used. Raw and processed data are not committed to the repository.</w:t>
      </w:r>
    </w:p>
    <w:p>
      <w:r>
        <w:rPr>
          <w:rFonts w:ascii="Times New Roman" w:hAnsi="Times New Roman"/>
          <w:b w:val="0"/>
          <w:i w:val="0"/>
        </w:rPr>
        <w:t xml:space="preserve">The presentation layer is planned. The revised plan defines a common recommendation output interface (New Issue 5), a read-only API over saved artifacts (New Issue 7), a UI for selecting a dataset and objective (New Issue 8), and an integrated end-to-end demo (New Issue 9). </w:t>
      </w:r>
      <w:r>
        <w:rPr>
          <w:rFonts w:ascii="Times New Roman" w:hAnsi="Times New Roman"/>
          <w:b/>
          <w:i w:val="0"/>
          <w:color w:val="9C0006"/>
          <w:highlight w:val="yellow"/>
        </w:rPr>
        <w:t>[TBD — presentation-layer architecture after New Issues 5–9.]</w:t>
      </w:r>
    </w:p>
    <w:p>
      <w:r>
        <w:br w:type="page"/>
      </w:r>
    </w:p>
    <w:p>
      <w:pPr>
        <w:pStyle w:val="Heading1"/>
      </w:pPr>
      <w:r>
        <w:t>Chapter 3. Technology Descriptions</w:t>
      </w:r>
    </w:p>
    <w:p>
      <w:pPr>
        <w:pStyle w:val="Heading2"/>
      </w:pPr>
      <w:r>
        <w:t>3.1 Data Processing and Analysis Stack</w:t>
      </w:r>
    </w:p>
    <w:p>
      <w:r>
        <w:rPr>
          <w:rFonts w:ascii="Times New Roman" w:hAnsi="Times New Roman"/>
          <w:b w:val="0"/>
          <w:i w:val="0"/>
        </w:rPr>
        <w:t xml:space="preserve">The pipeline is written in Python and runs as Jupyter notebooks; the notebooks locate the repository root; Notebooks 00 and 01 also include Google Colab setup. Tabular processing uses pandas and NumPy, and intermediate artifacts are stored as Apache Parquet files through PyArrow. matplotlib is listed in </w:t>
      </w:r>
      <w:r>
        <w:rPr>
          <w:rFonts w:ascii="Courier New" w:hAnsi="Courier New"/>
          <w:b w:val="0"/>
          <w:i w:val="0"/>
          <w:sz w:val="20"/>
        </w:rPr>
        <w:t>requirements.txt</w:t>
      </w:r>
      <w:r>
        <w:rPr>
          <w:rFonts w:ascii="Times New Roman" w:hAnsi="Times New Roman"/>
          <w:b w:val="0"/>
          <w:i w:val="0"/>
        </w:rPr>
        <w:t xml:space="preserve">; the pipeline notebooks produce tables rather than figures. Shared logic lives in importable modules under </w:t>
      </w:r>
      <w:r>
        <w:rPr>
          <w:rFonts w:ascii="Courier New" w:hAnsi="Courier New"/>
          <w:b w:val="0"/>
          <w:i w:val="0"/>
          <w:sz w:val="20"/>
        </w:rPr>
        <w:t>src/</w:t>
      </w:r>
      <w:r>
        <w:rPr>
          <w:rFonts w:ascii="Times New Roman" w:hAnsi="Times New Roman"/>
          <w:b w:val="0"/>
          <w:i w:val="0"/>
        </w:rPr>
        <w:t xml:space="preserve">, and unit tests use pytest (configured by </w:t>
      </w:r>
      <w:r>
        <w:rPr>
          <w:rFonts w:ascii="Courier New" w:hAnsi="Courier New"/>
          <w:b w:val="0"/>
          <w:i w:val="0"/>
          <w:sz w:val="20"/>
        </w:rPr>
        <w:t>pytest.ini</w:t>
      </w:r>
      <w:r>
        <w:rPr>
          <w:rFonts w:ascii="Times New Roman" w:hAnsi="Times New Roman"/>
          <w:b w:val="0"/>
          <w:i w:val="0"/>
        </w:rPr>
        <w:t xml:space="preserve">). The dependencies are listed in </w:t>
      </w:r>
      <w:r>
        <w:rPr>
          <w:rFonts w:ascii="Courier New" w:hAnsi="Courier New"/>
          <w:b w:val="0"/>
          <w:i w:val="0"/>
          <w:sz w:val="20"/>
        </w:rPr>
        <w:t>requirements.txt</w:t>
      </w:r>
      <w:r>
        <w:rPr>
          <w:rFonts w:ascii="Times New Roman" w:hAnsi="Times New Roman"/>
          <w:b w:val="0"/>
          <w:i w:val="0"/>
        </w:rPr>
        <w:t>.</w:t>
      </w:r>
    </w:p>
    <w:p>
      <w:r>
        <w:rPr>
          <w:rFonts w:ascii="Times New Roman" w:hAnsi="Times New Roman"/>
          <w:b w:val="0"/>
          <w:i w:val="0"/>
        </w:rPr>
        <w:t xml:space="preserve">The versions recorded by Notebook 05 in </w:t>
      </w:r>
      <w:r>
        <w:rPr>
          <w:rFonts w:ascii="Courier New" w:hAnsi="Courier New"/>
          <w:b w:val="0"/>
          <w:i w:val="0"/>
          <w:sz w:val="20"/>
        </w:rPr>
        <w:t>ml_metadata.json</w:t>
      </w:r>
      <w:r>
        <w:rPr>
          <w:rFonts w:ascii="Times New Roman" w:hAnsi="Times New Roman"/>
          <w:b w:val="0"/>
          <w:i w:val="0"/>
        </w:rPr>
        <w:t xml:space="preserve"> are Python 3.12.15, pandas 2.3.3, NumPy 2.5.4, scikit-learn 1.9.1, and XGBoost 3.4.1. The data setup guide (</w:t>
      </w:r>
      <w:r>
        <w:rPr>
          <w:rFonts w:ascii="Courier New" w:hAnsi="Courier New"/>
          <w:b w:val="0"/>
          <w:i w:val="0"/>
          <w:sz w:val="20"/>
        </w:rPr>
        <w:t>docs/data/subsetSetup.md</w:t>
      </w:r>
      <w:r>
        <w:rPr>
          <w:rFonts w:ascii="Times New Roman" w:hAnsi="Times New Roman"/>
          <w:b w:val="0"/>
          <w:i w:val="0"/>
        </w:rPr>
        <w:t xml:space="preserve">) records Python 3.12.4 as the environment used for the original subset setup. </w:t>
      </w:r>
      <w:r>
        <w:rPr>
          <w:rFonts w:ascii="Times New Roman" w:hAnsi="Times New Roman"/>
          <w:b/>
          <w:i w:val="0"/>
          <w:color w:val="9C0006"/>
          <w:highlight w:val="yellow"/>
        </w:rPr>
        <w:t>[TBD — final pinned environment and versions for the release (Issue 16).]</w:t>
      </w:r>
    </w:p>
    <w:p>
      <w:pPr>
        <w:pStyle w:val="Heading2"/>
      </w:pPr>
      <w:r>
        <w:t>3.2 Machine Learning Libraries and Models</w:t>
      </w:r>
    </w:p>
    <w:p>
      <w:r>
        <w:rPr>
          <w:rFonts w:ascii="Times New Roman" w:hAnsi="Times New Roman"/>
          <w:b w:val="0"/>
          <w:i w:val="0"/>
        </w:rPr>
        <w:t>The ML stage (Notebook 05, in review in PR #61) uses scikit-learn and XGBoost:</w:t>
      </w:r>
    </w:p>
    <w:p>
      <w:pPr>
        <w:pStyle w:val="ListBullet"/>
      </w:pPr>
      <w:r>
        <w:rPr>
          <w:rFonts w:ascii="Times New Roman" w:hAnsi="Times New Roman"/>
          <w:b/>
          <w:i w:val="0"/>
        </w:rPr>
        <w:t>Models:</w:t>
      </w:r>
      <w:r>
        <w:rPr>
          <w:rFonts w:ascii="Times New Roman" w:hAnsi="Times New Roman"/>
          <w:b w:val="0"/>
          <w:i w:val="0"/>
        </w:rPr>
        <w:t xml:space="preserve"> Decision Tree, Random Forest, and XGBoost regressors, trained separately for CPU and for memory.</w:t>
      </w:r>
    </w:p>
    <w:p>
      <w:pPr>
        <w:pStyle w:val="ListBullet"/>
      </w:pPr>
      <w:r>
        <w:rPr>
          <w:rFonts w:ascii="Times New Roman" w:hAnsi="Times New Roman"/>
          <w:b/>
          <w:i w:val="0"/>
        </w:rPr>
        <w:t>Model selection:</w:t>
      </w:r>
      <w:r>
        <w:rPr>
          <w:rFonts w:ascii="Times New Roman" w:hAnsi="Times New Roman"/>
          <w:b w:val="0"/>
          <w:i w:val="0"/>
        </w:rPr>
        <w:t xml:space="preserve"> scikit-learn </w:t>
      </w:r>
      <w:r>
        <w:rPr>
          <w:rFonts w:ascii="Courier New" w:hAnsi="Courier New"/>
          <w:b w:val="0"/>
          <w:i w:val="0"/>
          <w:sz w:val="20"/>
        </w:rPr>
        <w:t>GridSearchCV</w:t>
      </w:r>
      <w:r>
        <w:rPr>
          <w:rFonts w:ascii="Times New Roman" w:hAnsi="Times New Roman"/>
          <w:b w:val="0"/>
          <w:i w:val="0"/>
        </w:rPr>
        <w:t xml:space="preserve"> with expanding-window </w:t>
      </w:r>
      <w:r>
        <w:rPr>
          <w:rFonts w:ascii="Courier New" w:hAnsi="Courier New"/>
          <w:b w:val="0"/>
          <w:i w:val="0"/>
          <w:sz w:val="20"/>
        </w:rPr>
        <w:t>TimeSeriesSplit</w:t>
      </w:r>
      <w:r>
        <w:rPr>
          <w:rFonts w:ascii="Times New Roman" w:hAnsi="Times New Roman"/>
          <w:b w:val="0"/>
          <w:i w:val="0"/>
        </w:rPr>
        <w:t xml:space="preserve"> folds that keep whole timestamp groups together and purge training labels that fall in the fold's validation block; </w:t>
      </w:r>
      <w:r>
        <w:rPr>
          <w:rFonts w:ascii="Courier New" w:hAnsi="Courier New"/>
          <w:b w:val="0"/>
          <w:i w:val="0"/>
          <w:sz w:val="20"/>
        </w:rPr>
        <w:t>GroupKFold</w:t>
      </w:r>
      <w:r>
        <w:rPr>
          <w:rFonts w:ascii="Times New Roman" w:hAnsi="Times New Roman"/>
          <w:b w:val="0"/>
          <w:i w:val="0"/>
        </w:rPr>
        <w:t xml:space="preserve"> grouped by </w:t>
      </w:r>
      <w:r>
        <w:rPr>
          <w:rFonts w:ascii="Courier New" w:hAnsi="Courier New"/>
          <w:b w:val="0"/>
          <w:i w:val="0"/>
          <w:sz w:val="20"/>
        </w:rPr>
        <w:t>recurrence_key</w:t>
      </w:r>
      <w:r>
        <w:rPr>
          <w:rFonts w:ascii="Times New Roman" w:hAnsi="Times New Roman"/>
          <w:b w:val="0"/>
          <w:i w:val="0"/>
        </w:rPr>
        <w:t xml:space="preserve"> is reported only as a robustness check.</w:t>
      </w:r>
    </w:p>
    <w:p>
      <w:pPr>
        <w:pStyle w:val="ListBullet"/>
      </w:pPr>
      <w:r>
        <w:rPr>
          <w:rFonts w:ascii="Times New Roman" w:hAnsi="Times New Roman"/>
          <w:b/>
          <w:i w:val="0"/>
        </w:rPr>
        <w:t>Persistence:</w:t>
      </w:r>
      <w:r>
        <w:rPr>
          <w:rFonts w:ascii="Times New Roman" w:hAnsi="Times New Roman"/>
          <w:b w:val="0"/>
          <w:i w:val="0"/>
        </w:rPr>
        <w:t xml:space="preserve"> locked models are saved as </w:t>
      </w:r>
      <w:r>
        <w:rPr>
          <w:rFonts w:ascii="Courier New" w:hAnsi="Courier New"/>
          <w:b w:val="0"/>
          <w:i w:val="0"/>
          <w:sz w:val="20"/>
        </w:rPr>
        <w:t>joblib</w:t>
      </w:r>
      <w:r>
        <w:rPr>
          <w:rFonts w:ascii="Times New Roman" w:hAnsi="Times New Roman"/>
          <w:b w:val="0"/>
          <w:i w:val="0"/>
        </w:rPr>
        <w:t xml:space="preserve"> files (</w:t>
      </w:r>
      <w:r>
        <w:rPr>
          <w:rFonts w:ascii="Courier New" w:hAnsi="Courier New"/>
          <w:b w:val="0"/>
          <w:i w:val="0"/>
          <w:sz w:val="20"/>
        </w:rPr>
        <w:t>n05_locked_models/cpu_random_forest.joblib</w:t>
      </w:r>
      <w:r>
        <w:rPr>
          <w:rFonts w:ascii="Times New Roman" w:hAnsi="Times New Roman"/>
          <w:b w:val="0"/>
          <w:i w:val="0"/>
        </w:rPr>
        <w:t xml:space="preserve">, </w:t>
      </w:r>
      <w:r>
        <w:rPr>
          <w:rFonts w:ascii="Courier New" w:hAnsi="Courier New"/>
          <w:b w:val="0"/>
          <w:i w:val="0"/>
          <w:sz w:val="20"/>
        </w:rPr>
        <w:t>memory_random_forest.joblib</w:t>
      </w:r>
      <w:r>
        <w:rPr>
          <w:rFonts w:ascii="Times New Roman" w:hAnsi="Times New Roman"/>
          <w:b w:val="0"/>
          <w:i w:val="0"/>
        </w:rPr>
        <w:t>).</w:t>
      </w:r>
    </w:p>
    <w:p>
      <w:r>
        <w:rPr>
          <w:rFonts w:ascii="Times New Roman" w:hAnsi="Times New Roman"/>
          <w:b w:val="0"/>
          <w:i w:val="0"/>
        </w:rPr>
        <w:t xml:space="preserve">Regression is the primary sizing method. The backlog keeps classification only as supporting analysis unless it is wired into policy logic. The current occurrence-level Notebook 05 contains regression only. </w:t>
      </w:r>
      <w:r>
        <w:rPr>
          <w:rFonts w:ascii="Times New Roman" w:hAnsi="Times New Roman"/>
          <w:b/>
          <w:i w:val="0"/>
          <w:color w:val="9C0006"/>
          <w:highlight w:val="yellow"/>
        </w:rPr>
        <w:t>[TBD — team to confirm whether any classification analysis will be reported.]</w:t>
      </w:r>
    </w:p>
    <w:p>
      <w:pPr>
        <w:pStyle w:val="Heading2"/>
      </w:pPr>
      <w:r>
        <w:t>3.3 Dataset and Trace Sources</w:t>
      </w:r>
    </w:p>
    <w:p>
      <w:pPr>
        <w:pStyle w:val="Heading3"/>
      </w:pPr>
      <w:r>
        <w:t>3.3.1 Primary Dataset: Google ClusterData 2019</w:t>
      </w:r>
    </w:p>
    <w:p>
      <w:r>
        <w:rPr>
          <w:rFonts w:ascii="Times New Roman" w:hAnsi="Times New Roman"/>
          <w:b w:val="0"/>
          <w:i w:val="0"/>
        </w:rPr>
        <w:t xml:space="preserve">The primary dataset is Google ClusterData 2019, the Borg cluster workload traces published by Google [6]. In the full traces, collection metadata, instance lifecycle events with resource requests, and windowed instance usage are stored in separate tables (CollectionEvents, InstanceEvents, and InstanceUsage), according to the team's analysis in </w:t>
      </w:r>
      <w:r>
        <w:rPr>
          <w:rFonts w:ascii="Courier New" w:hAnsi="Courier New"/>
          <w:b w:val="0"/>
          <w:i w:val="0"/>
          <w:sz w:val="20"/>
        </w:rPr>
        <w:t>docs/data/google_clusterdata_2019_analysis.md</w:t>
      </w:r>
      <w:r>
        <w:rPr>
          <w:rFonts w:ascii="Times New Roman" w:hAnsi="Times New Roman"/>
          <w:b w:val="0"/>
          <w:i w:val="0"/>
        </w:rPr>
        <w:t>.</w:t>
      </w:r>
    </w:p>
    <w:p>
      <w:r>
        <w:rPr>
          <w:rFonts w:ascii="Times New Roman" w:hAnsi="Times New Roman"/>
          <w:b w:val="0"/>
          <w:i w:val="0"/>
        </w:rPr>
        <w:t>The 295B pipeline uses a publicly available Kaggle sample of these traces (</w:t>
      </w:r>
      <w:r>
        <w:rPr>
          <w:rFonts w:ascii="Courier New" w:hAnsi="Courier New"/>
          <w:b w:val="0"/>
          <w:i w:val="0"/>
          <w:sz w:val="20"/>
        </w:rPr>
        <w:t>borg_traces_data.csv</w:t>
      </w:r>
      <w:r>
        <w:rPr>
          <w:rFonts w:ascii="Times New Roman" w:hAnsi="Times New Roman"/>
          <w:b w:val="0"/>
          <w:i w:val="0"/>
        </w:rPr>
        <w:t xml:space="preserve">; setup in </w:t>
      </w:r>
      <w:r>
        <w:rPr>
          <w:rFonts w:ascii="Courier New" w:hAnsi="Courier New"/>
          <w:b w:val="0"/>
          <w:i w:val="0"/>
          <w:sz w:val="20"/>
        </w:rPr>
        <w:t>docs/data/subsetSetup.md</w:t>
      </w:r>
      <w:r>
        <w:rPr>
          <w:rFonts w:ascii="Times New Roman" w:hAnsi="Times New Roman"/>
          <w:b w:val="0"/>
          <w:i w:val="0"/>
        </w:rPr>
        <w:t xml:space="preserve">) </w:t>
      </w:r>
      <w:r>
        <w:rPr>
          <w:rFonts w:ascii="Times New Roman" w:hAnsi="Times New Roman"/>
          <w:b/>
          <w:i w:val="0"/>
          <w:color w:val="9C0006"/>
          <w:highlight w:val="yellow"/>
        </w:rPr>
        <w:t>[TBD — add the Kaggle sample to docs/references/References.md before citing it]</w:t>
      </w:r>
      <w:r>
        <w:rPr>
          <w:rFonts w:ascii="Times New Roman" w:hAnsi="Times New Roman"/>
          <w:b w:val="0"/>
          <w:i w:val="0"/>
        </w:rPr>
        <w:t>. The sample has 405,894 rows and 34 columns. Each row joins event fields (</w:t>
      </w:r>
      <w:r>
        <w:rPr>
          <w:rFonts w:ascii="Courier New" w:hAnsi="Courier New"/>
          <w:b w:val="0"/>
          <w:i w:val="0"/>
          <w:sz w:val="20"/>
        </w:rPr>
        <w:t>time</w:t>
      </w:r>
      <w:r>
        <w:rPr>
          <w:rFonts w:ascii="Times New Roman" w:hAnsi="Times New Roman"/>
          <w:b w:val="0"/>
          <w:i w:val="0"/>
        </w:rPr>
        <w:t xml:space="preserve">, </w:t>
      </w:r>
      <w:r>
        <w:rPr>
          <w:rFonts w:ascii="Courier New" w:hAnsi="Courier New"/>
          <w:b w:val="0"/>
          <w:i w:val="0"/>
          <w:sz w:val="20"/>
        </w:rPr>
        <w:t>event</w:t>
      </w:r>
      <w:r>
        <w:rPr>
          <w:rFonts w:ascii="Times New Roman" w:hAnsi="Times New Roman"/>
          <w:b w:val="0"/>
          <w:i w:val="0"/>
        </w:rPr>
        <w:t xml:space="preserve">, </w:t>
      </w:r>
      <w:r>
        <w:rPr>
          <w:rFonts w:ascii="Courier New" w:hAnsi="Courier New"/>
          <w:b w:val="0"/>
          <w:i w:val="0"/>
          <w:sz w:val="20"/>
        </w:rPr>
        <w:t>failed</w:t>
      </w:r>
      <w:r>
        <w:rPr>
          <w:rFonts w:ascii="Times New Roman" w:hAnsi="Times New Roman"/>
          <w:b w:val="0"/>
          <w:i w:val="0"/>
        </w:rPr>
        <w:t>) with usage-window fields (</w:t>
      </w:r>
      <w:r>
        <w:rPr>
          <w:rFonts w:ascii="Courier New" w:hAnsi="Courier New"/>
          <w:b w:val="0"/>
          <w:i w:val="0"/>
          <w:sz w:val="20"/>
        </w:rPr>
        <w:t>start_time</w:t>
      </w:r>
      <w:r>
        <w:rPr>
          <w:rFonts w:ascii="Times New Roman" w:hAnsi="Times New Roman"/>
          <w:b w:val="0"/>
          <w:i w:val="0"/>
        </w:rPr>
        <w:t xml:space="preserve">, </w:t>
      </w:r>
      <w:r>
        <w:rPr>
          <w:rFonts w:ascii="Courier New" w:hAnsi="Courier New"/>
          <w:b w:val="0"/>
          <w:i w:val="0"/>
          <w:sz w:val="20"/>
        </w:rPr>
        <w:t>end_time</w:t>
      </w:r>
      <w:r>
        <w:rPr>
          <w:rFonts w:ascii="Times New Roman" w:hAnsi="Times New Roman"/>
          <w:b w:val="0"/>
          <w:i w:val="0"/>
        </w:rPr>
        <w:t xml:space="preserve">, </w:t>
      </w:r>
      <w:r>
        <w:rPr>
          <w:rFonts w:ascii="Courier New" w:hAnsi="Courier New"/>
          <w:b w:val="0"/>
          <w:i w:val="0"/>
          <w:sz w:val="20"/>
        </w:rPr>
        <w:t>average_usage</w:t>
      </w:r>
      <w:r>
        <w:rPr>
          <w:rFonts w:ascii="Times New Roman" w:hAnsi="Times New Roman"/>
          <w:b w:val="0"/>
          <w:i w:val="0"/>
        </w:rPr>
        <w:t xml:space="preserve">, </w:t>
      </w:r>
      <w:r>
        <w:rPr>
          <w:rFonts w:ascii="Courier New" w:hAnsi="Courier New"/>
          <w:b w:val="0"/>
          <w:i w:val="0"/>
          <w:sz w:val="20"/>
        </w:rPr>
        <w:t>maximum_usage</w:t>
      </w:r>
      <w:r>
        <w:rPr>
          <w:rFonts w:ascii="Times New Roman" w:hAnsi="Times New Roman"/>
          <w:b w:val="0"/>
          <w:i w:val="0"/>
        </w:rPr>
        <w:t>) and request fields (</w:t>
      </w:r>
      <w:r>
        <w:rPr>
          <w:rFonts w:ascii="Courier New" w:hAnsi="Courier New"/>
          <w:b w:val="0"/>
          <w:i w:val="0"/>
          <w:sz w:val="20"/>
        </w:rPr>
        <w:t>resource_request</w:t>
      </w:r>
      <w:r>
        <w:rPr>
          <w:rFonts w:ascii="Times New Roman" w:hAnsi="Times New Roman"/>
          <w:b w:val="0"/>
          <w:i w:val="0"/>
        </w:rPr>
        <w:t>). Interpreted as microseconds, the usage start times span about 31 days (30.9965 days in the Notebook 00 output). Processing the full ClusterData 2019 traces is not required to close the project if compute or storage makes it impractical; larger-scale validation can be a documented limitation (backlog, p. 20).</w:t>
      </w:r>
    </w:p>
    <w:p>
      <w:pPr>
        <w:pStyle w:val="Heading3"/>
      </w:pPr>
      <w:r>
        <w:t>3.3.2 Validation Datasets: Azure Resource Central, Alibaba, ModServe, and Splitwise</w:t>
      </w:r>
    </w:p>
    <w:p>
      <w:r>
        <w:rPr>
          <w:rFonts w:ascii="Times New Roman" w:hAnsi="Times New Roman"/>
          <w:b w:val="0"/>
          <w:i w:val="0"/>
        </w:rPr>
        <w:t>The submitted Table of Contents names four external validation datasets. The backlog changed this scope after the TOC was submitted, and the change is not fully settled:</w:t>
      </w:r>
    </w:p>
    <w:p>
      <w:pPr>
        <w:pStyle w:val="ListBullet"/>
      </w:pPr>
      <w:r>
        <w:rPr>
          <w:rFonts w:ascii="Times New Roman" w:hAnsi="Times New Roman"/>
          <w:b/>
          <w:i w:val="0"/>
        </w:rPr>
        <w:t>Active external datasets (revised plan):</w:t>
      </w:r>
      <w:r>
        <w:rPr>
          <w:rFonts w:ascii="Times New Roman" w:hAnsi="Times New Roman"/>
          <w:b w:val="0"/>
          <w:i w:val="0"/>
        </w:rPr>
        <w:t xml:space="preserve"> Alibaba and Azure VM. In the revised plan, the original external-dataset issues (04 Resource Central, 04A Splitwise, 04B ModServe, 05 Alibaba) are "Replaced or pending": "Active work becomes New Issues 1 and 4 for Alibaba and Azure VM" (backlog, p. 21). The Azure VM track uses the public Azure VM trace (Azure Public Dataset V2). The semantics study merged with PR #70 (</w:t>
      </w:r>
      <w:r>
        <w:rPr>
          <w:rFonts w:ascii="Courier New" w:hAnsi="Courier New"/>
          <w:b w:val="0"/>
          <w:i w:val="0"/>
          <w:sz w:val="20"/>
        </w:rPr>
        <w:t>docs/data/dataset_semantics_study_FINAL.md</w:t>
      </w:r>
      <w:r>
        <w:rPr>
          <w:rFonts w:ascii="Times New Roman" w:hAnsi="Times New Roman"/>
          <w:b w:val="0"/>
          <w:i w:val="0"/>
        </w:rPr>
        <w:t>) notes that this trace is used for the Azure VM / Resource Central [5] validation direction but is "not a direct export of the internal Resource Central service."</w:t>
      </w:r>
    </w:p>
    <w:p>
      <w:pPr>
        <w:pStyle w:val="ListBullet"/>
      </w:pPr>
      <w:r>
        <w:rPr>
          <w:rFonts w:ascii="Times New Roman" w:hAnsi="Times New Roman"/>
          <w:b/>
          <w:i w:val="0"/>
        </w:rPr>
        <w:t>Alibaba Cluster Trace 2018</w:t>
      </w:r>
      <w:r>
        <w:rPr>
          <w:rFonts w:ascii="Times New Roman" w:hAnsi="Times New Roman"/>
          <w:b w:val="0"/>
          <w:i w:val="0"/>
        </w:rPr>
        <w:t xml:space="preserve"> [8]: according to the semantics study (</w:t>
      </w:r>
      <w:r>
        <w:rPr>
          <w:rFonts w:ascii="Courier New" w:hAnsi="Courier New"/>
          <w:b w:val="0"/>
          <w:i w:val="0"/>
          <w:sz w:val="20"/>
        </w:rPr>
        <w:t>docs/data/dataset_semantics_study_FINAL.md</w:t>
      </w:r>
      <w:r>
        <w:rPr>
          <w:rFonts w:ascii="Times New Roman" w:hAnsi="Times New Roman"/>
          <w:b w:val="0"/>
          <w:i w:val="0"/>
        </w:rPr>
        <w:t>), which cites the official documentation, the trace covers about 4,000 machines over 8 days, uses trace-relative timestamps in seconds, and follows a job → task → instance model with task-level planned resources and instance-level observed CPU and memory.</w:t>
      </w:r>
    </w:p>
    <w:p>
      <w:pPr>
        <w:pStyle w:val="ListBullet"/>
      </w:pPr>
      <w:r>
        <w:rPr>
          <w:rFonts w:ascii="Times New Roman" w:hAnsi="Times New Roman"/>
          <w:b/>
          <w:i w:val="0"/>
        </w:rPr>
        <w:t>Azure VM trace</w:t>
      </w:r>
      <w:r>
        <w:rPr>
          <w:rFonts w:ascii="Times New Roman" w:hAnsi="Times New Roman"/>
          <w:b w:val="0"/>
          <w:i w:val="0"/>
        </w:rPr>
        <w:t>: according to the same study, the trace spans 30 days and contains VM metadata (including vCPU and memory-capacity buckets) and five-minute CPU utilization readings, but no observed memory time series. The repository labels this dataset Azure Public Dataset V2 (2019), but the later feasibility analysis (</w:t>
      </w:r>
      <w:r>
        <w:rPr>
          <w:rFonts w:ascii="Courier New" w:hAnsi="Courier New"/>
          <w:b w:val="0"/>
          <w:i w:val="0"/>
          <w:sz w:val="20"/>
        </w:rPr>
        <w:t>docs/data/alibaba_dataset_selection_feasibility.md</w:t>
      </w:r>
      <w:r>
        <w:rPr>
          <w:rFonts w:ascii="Times New Roman" w:hAnsi="Times New Roman"/>
          <w:b w:val="0"/>
          <w:i w:val="0"/>
        </w:rPr>
        <w:t xml:space="preserve">, Section 8.1) reports that the sample data actually used is the 2017 V1 trace. It bases this on the core-count and memory bucket values, the subscription and deployment counts, and the mean CPU values in the first 10,001 VM-table rows, and notes that the Resource Central notebook on </w:t>
      </w:r>
      <w:r>
        <w:rPr>
          <w:rFonts w:ascii="Courier New" w:hAnsi="Courier New"/>
          <w:b w:val="0"/>
          <w:i w:val="0"/>
          <w:sz w:val="20"/>
        </w:rPr>
        <w:t>main</w:t>
      </w:r>
      <w:r>
        <w:rPr>
          <w:rFonts w:ascii="Times New Roman" w:hAnsi="Times New Roman"/>
          <w:b w:val="0"/>
          <w:i w:val="0"/>
        </w:rPr>
        <w:t xml:space="preserve"> loads a file from the 125-file V1 CPU-reading set. Both versions span 30 consecutive days according to that analysis. </w:t>
      </w:r>
      <w:r>
        <w:rPr>
          <w:rFonts w:ascii="Times New Roman" w:hAnsi="Times New Roman"/>
          <w:b/>
          <w:i w:val="0"/>
          <w:color w:val="9C0006"/>
          <w:highlight w:val="yellow"/>
        </w:rPr>
        <w:t>[TBD — confirm which Azure trace version the adapter targets, and add the confirmed Azure Public Dataset version to docs/references/References.md before citing it.]</w:t>
      </w:r>
    </w:p>
    <w:p>
      <w:pPr>
        <w:pStyle w:val="ListBullet"/>
      </w:pPr>
      <w:r>
        <w:rPr>
          <w:rFonts w:ascii="Times New Roman" w:hAnsi="Times New Roman"/>
          <w:b/>
          <w:i w:val="0"/>
        </w:rPr>
        <w:t>Proposed scope change (PR #72, documentation only):</w:t>
      </w:r>
      <w:r>
        <w:rPr>
          <w:rFonts w:ascii="Times New Roman" w:hAnsi="Times New Roman"/>
          <w:b w:val="0"/>
          <w:i w:val="0"/>
        </w:rPr>
        <w:t xml:space="preserve"> </w:t>
      </w:r>
      <w:r>
        <w:rPr>
          <w:rFonts w:ascii="Courier New" w:hAnsi="Courier New"/>
          <w:b w:val="0"/>
          <w:i w:val="0"/>
          <w:sz w:val="20"/>
        </w:rPr>
        <w:t>docs/data/alibaba_dataset_selection_feasibility.md</w:t>
      </w:r>
      <w:r>
        <w:rPr>
          <w:rFonts w:ascii="Times New Roman" w:hAnsi="Times New Roman"/>
          <w:b w:val="0"/>
          <w:i w:val="0"/>
        </w:rPr>
        <w:t xml:space="preserve"> and </w:t>
      </w:r>
      <w:r>
        <w:rPr>
          <w:rFonts w:ascii="Courier New" w:hAnsi="Courier New"/>
          <w:b w:val="0"/>
          <w:i w:val="0"/>
          <w:sz w:val="20"/>
        </w:rPr>
        <w:t>docs/data/canonical_contract_decisions.md</w:t>
      </w:r>
      <w:r>
        <w:rPr>
          <w:rFonts w:ascii="Times New Roman" w:hAnsi="Times New Roman"/>
          <w:b w:val="0"/>
          <w:i w:val="0"/>
        </w:rPr>
        <w:t xml:space="preserve"> recommend Alibaba GPU Cluster Trace v2020 [8] as the required full second-dataset integration, because its official </w:t>
      </w:r>
      <w:r>
        <w:rPr>
          <w:rFonts w:ascii="Courier New" w:hAnsi="Courier New"/>
          <w:b w:val="0"/>
          <w:i w:val="0"/>
          <w:sz w:val="20"/>
        </w:rPr>
        <w:t>group</w:t>
      </w:r>
      <w:r>
        <w:rPr>
          <w:rFonts w:ascii="Times New Roman" w:hAnsi="Times New Roman"/>
          <w:b w:val="0"/>
          <w:i w:val="0"/>
        </w:rPr>
        <w:t xml:space="preserve"> tag provides recurrence (reported to cover 99.86% of jobs). They keep Alibaba 2018 as an optional reduced adapter demonstration and defer Azure. Under that design, CPU would be evaluated only as a lifetime average (the trace has no CPU peak), and no any-resource metric would be reported. </w:t>
      </w:r>
      <w:r>
        <w:rPr>
          <w:rFonts w:ascii="Courier New" w:hAnsi="Courier New"/>
          <w:b w:val="0"/>
          <w:i w:val="0"/>
          <w:sz w:val="20"/>
        </w:rPr>
        <w:t>canonical_contract_decisions.md</w:t>
      </w:r>
      <w:r>
        <w:rPr>
          <w:rFonts w:ascii="Times New Roman" w:hAnsi="Times New Roman"/>
          <w:b w:val="0"/>
          <w:i w:val="0"/>
        </w:rPr>
        <w:t xml:space="preserve"> states that it is a design document only, that none of its decisions is implemented, and that it can become the basis for the schema and adapters once the team accepts it. This proposal differs from the revised backlog plan (Alibaba and Azure VM active). </w:t>
      </w:r>
      <w:r>
        <w:rPr>
          <w:rFonts w:ascii="Times New Roman" w:hAnsi="Times New Roman"/>
          <w:b/>
          <w:i w:val="0"/>
          <w:color w:val="9C0006"/>
          <w:highlight w:val="yellow"/>
        </w:rPr>
        <w:t>[TBD — team decision on the external-dataset scope (revised plan vs. the PR #72 proposal).]</w:t>
      </w:r>
    </w:p>
    <w:p>
      <w:pPr>
        <w:pStyle w:val="ListBullet"/>
      </w:pPr>
      <w:r>
        <w:rPr>
          <w:rFonts w:ascii="Times New Roman" w:hAnsi="Times New Roman"/>
          <w:b/>
          <w:i w:val="0"/>
        </w:rPr>
        <w:t>Splitwise and ModServe:</w:t>
      </w:r>
      <w:r>
        <w:rPr>
          <w:rFonts w:ascii="Times New Roman" w:hAnsi="Times New Roman"/>
          <w:b w:val="0"/>
          <w:i w:val="0"/>
        </w:rPr>
        <w:t xml:space="preserve"> the revised plan keeps them "outside the active external-dataset implementation until the team or advisor confirms that they are mandatory" (backlog, p. 31). The original issue list called them required. This conflict is open in the 295B scope document (Section 7). Earlier 295A experiments exist for both, but the backlog requires that stale 295A numbers not be reused without rerunning and validating them. </w:t>
      </w:r>
      <w:r>
        <w:rPr>
          <w:rFonts w:ascii="Times New Roman" w:hAnsi="Times New Roman"/>
          <w:b/>
          <w:i w:val="0"/>
          <w:color w:val="9C0006"/>
          <w:highlight w:val="yellow"/>
        </w:rPr>
        <w:t>[TBD — team/advisor decision on Splitwise and ModServe; if confirmed, describe their adapters here.]</w:t>
      </w:r>
    </w:p>
    <w:p>
      <w:pPr>
        <w:pStyle w:val="Heading2"/>
      </w:pPr>
      <w:r>
        <w:t>3.4 Dataset Adapters and Unit Normalization</w:t>
      </w:r>
    </w:p>
    <w:p>
      <w:r>
        <w:rPr>
          <w:rFonts w:ascii="Times New Roman" w:hAnsi="Times New Roman"/>
          <w:b/>
          <w:i w:val="0"/>
        </w:rPr>
        <w:t>Google (implemented).</w:t>
      </w:r>
      <w:r>
        <w:rPr>
          <w:rFonts w:ascii="Times New Roman" w:hAnsi="Times New Roman"/>
          <w:b w:val="0"/>
          <w:i w:val="0"/>
        </w:rPr>
        <w:t xml:space="preserve"> Google trace resource values are kept in their native normalized units; no unit conversion is applied. CPU fields carry the suffix </w:t>
      </w:r>
      <w:r>
        <w:rPr>
          <w:rFonts w:ascii="Courier New" w:hAnsi="Courier New"/>
          <w:b w:val="0"/>
          <w:i w:val="0"/>
          <w:sz w:val="20"/>
        </w:rPr>
        <w:t>_ncu</w:t>
      </w:r>
      <w:r>
        <w:rPr>
          <w:rFonts w:ascii="Times New Roman" w:hAnsi="Times New Roman"/>
          <w:b w:val="0"/>
          <w:i w:val="0"/>
        </w:rPr>
        <w:t xml:space="preserve"> (for example </w:t>
      </w:r>
      <w:r>
        <w:rPr>
          <w:rFonts w:ascii="Courier New" w:hAnsi="Courier New"/>
          <w:b w:val="0"/>
          <w:i w:val="0"/>
          <w:sz w:val="20"/>
        </w:rPr>
        <w:t>requested_cpu_ncu</w:t>
      </w:r>
      <w:r>
        <w:rPr>
          <w:rFonts w:ascii="Times New Roman" w:hAnsi="Times New Roman"/>
          <w:b w:val="0"/>
          <w:i w:val="0"/>
        </w:rPr>
        <w:t xml:space="preserve">) and memory fields the suffix </w:t>
      </w:r>
      <w:r>
        <w:rPr>
          <w:rFonts w:ascii="Courier New" w:hAnsi="Courier New"/>
          <w:b w:val="0"/>
          <w:i w:val="0"/>
          <w:sz w:val="20"/>
        </w:rPr>
        <w:t>_normalized</w:t>
      </w:r>
      <w:r>
        <w:rPr>
          <w:rFonts w:ascii="Times New Roman" w:hAnsi="Times New Roman"/>
          <w:b w:val="0"/>
          <w:i w:val="0"/>
        </w:rPr>
        <w:t xml:space="preserve">. Timestamps are kept in microseconds. Notebook 01 maps the parsed raw values to six canonical columns (requested, average, and peak CPU and memory) and keeps the original </w:t>
      </w:r>
      <w:r>
        <w:rPr>
          <w:rFonts w:ascii="Courier New" w:hAnsi="Courier New"/>
          <w:b w:val="0"/>
          <w:i w:val="0"/>
          <w:sz w:val="20"/>
        </w:rPr>
        <w:t>raw_*</w:t>
      </w:r>
      <w:r>
        <w:rPr>
          <w:rFonts w:ascii="Times New Roman" w:hAnsi="Times New Roman"/>
          <w:b w:val="0"/>
          <w:i w:val="0"/>
        </w:rPr>
        <w:t xml:space="preserve"> columns for traceability.</w:t>
      </w:r>
    </w:p>
    <w:p>
      <w:r>
        <w:rPr>
          <w:rFonts w:ascii="Times New Roman" w:hAnsi="Times New Roman"/>
          <w:b/>
          <w:i w:val="0"/>
        </w:rPr>
        <w:t>Canonical schema and adapters (implemented, PR #70 merged).</w:t>
      </w:r>
      <w:r>
        <w:rPr>
          <w:rFonts w:ascii="Times New Roman" w:hAnsi="Times New Roman"/>
          <w:b w:val="0"/>
          <w:i w:val="0"/>
        </w:rPr>
        <w:t xml:space="preserve"> The canonical schema keeps workload identity and recurrence identity separate, and keeps request, allocation, observation, peak, actual, and recommendation as separate resource semantics. Every populated resource value carries an explicit unit field (for example </w:t>
      </w:r>
      <w:r>
        <w:rPr>
          <w:rFonts w:ascii="Courier New" w:hAnsi="Courier New"/>
          <w:b w:val="0"/>
          <w:i w:val="0"/>
          <w:sz w:val="20"/>
        </w:rPr>
        <w:t>ncu</w:t>
      </w:r>
      <w:r>
        <w:rPr>
          <w:rFonts w:ascii="Times New Roman" w:hAnsi="Times New Roman"/>
          <w:b w:val="0"/>
          <w:i w:val="0"/>
        </w:rPr>
        <w:t xml:space="preserve">, </w:t>
      </w:r>
      <w:r>
        <w:rPr>
          <w:rFonts w:ascii="Courier New" w:hAnsi="Courier New"/>
          <w:b w:val="0"/>
          <w:i w:val="0"/>
          <w:sz w:val="20"/>
        </w:rPr>
        <w:t>vcpu</w:t>
      </w:r>
      <w:r>
        <w:rPr>
          <w:rFonts w:ascii="Times New Roman" w:hAnsi="Times New Roman"/>
          <w:b w:val="0"/>
          <w:i w:val="0"/>
        </w:rPr>
        <w:t xml:space="preserve">, </w:t>
      </w:r>
      <w:r>
        <w:rPr>
          <w:rFonts w:ascii="Courier New" w:hAnsi="Courier New"/>
          <w:b w:val="0"/>
          <w:i w:val="0"/>
          <w:sz w:val="20"/>
        </w:rPr>
        <w:t>percent</w:t>
      </w:r>
      <w:r>
        <w:rPr>
          <w:rFonts w:ascii="Times New Roman" w:hAnsi="Times New Roman"/>
          <w:b w:val="0"/>
          <w:i w:val="0"/>
        </w:rPr>
        <w:t xml:space="preserve">, </w:t>
      </w:r>
      <w:r>
        <w:rPr>
          <w:rFonts w:ascii="Courier New" w:hAnsi="Courier New"/>
          <w:b w:val="0"/>
          <w:i w:val="0"/>
          <w:sz w:val="20"/>
        </w:rPr>
        <w:t>normalized</w:t>
      </w:r>
      <w:r>
        <w:rPr>
          <w:rFonts w:ascii="Times New Roman" w:hAnsi="Times New Roman"/>
          <w:b w:val="0"/>
          <w:i w:val="0"/>
        </w:rPr>
        <w:t xml:space="preserve">, </w:t>
      </w:r>
      <w:r>
        <w:rPr>
          <w:rFonts w:ascii="Courier New" w:hAnsi="Courier New"/>
          <w:b w:val="0"/>
          <w:i w:val="0"/>
          <w:sz w:val="20"/>
        </w:rPr>
        <w:t>gb</w:t>
      </w:r>
      <w:r>
        <w:rPr>
          <w:rFonts w:ascii="Times New Roman" w:hAnsi="Times New Roman"/>
          <w:b w:val="0"/>
          <w:i w:val="0"/>
        </w:rPr>
        <w:t>); the schema does not force one unit, and the evaluator may compare only actual and recommended values in matching units. Missing and unsupported values stay null and are never converted to zero. Coarse capability flags (</w:t>
      </w:r>
      <w:r>
        <w:rPr>
          <w:rFonts w:ascii="Courier New" w:hAnsi="Courier New"/>
          <w:b w:val="0"/>
          <w:i w:val="0"/>
          <w:sz w:val="20"/>
        </w:rPr>
        <w:t>supports_cpu</w:t>
      </w:r>
      <w:r>
        <w:rPr>
          <w:rFonts w:ascii="Times New Roman" w:hAnsi="Times New Roman"/>
          <w:b w:val="0"/>
          <w:i w:val="0"/>
        </w:rPr>
        <w:t xml:space="preserve">, </w:t>
      </w:r>
      <w:r>
        <w:rPr>
          <w:rFonts w:ascii="Courier New" w:hAnsi="Courier New"/>
          <w:b w:val="0"/>
          <w:i w:val="0"/>
          <w:sz w:val="20"/>
        </w:rPr>
        <w:t>supports_memory</w:t>
      </w:r>
      <w:r>
        <w:rPr>
          <w:rFonts w:ascii="Times New Roman" w:hAnsi="Times New Roman"/>
          <w:b w:val="0"/>
          <w:i w:val="0"/>
        </w:rPr>
        <w:t xml:space="preserve">, </w:t>
      </w:r>
      <w:r>
        <w:rPr>
          <w:rFonts w:ascii="Courier New" w:hAnsi="Courier New"/>
          <w:b w:val="0"/>
          <w:i w:val="0"/>
          <w:sz w:val="20"/>
        </w:rPr>
        <w:t>supports_request</w:t>
      </w:r>
      <w:r>
        <w:rPr>
          <w:rFonts w:ascii="Times New Roman" w:hAnsi="Times New Roman"/>
          <w:b w:val="0"/>
          <w:i w:val="0"/>
        </w:rPr>
        <w:t xml:space="preserve">, </w:t>
      </w:r>
      <w:r>
        <w:rPr>
          <w:rFonts w:ascii="Courier New" w:hAnsi="Courier New"/>
          <w:b w:val="0"/>
          <w:i w:val="0"/>
          <w:sz w:val="20"/>
        </w:rPr>
        <w:t>supports_recurrence</w:t>
      </w:r>
      <w:r>
        <w:rPr>
          <w:rFonts w:ascii="Times New Roman" w:hAnsi="Times New Roman"/>
          <w:b w:val="0"/>
          <w:i w:val="0"/>
        </w:rPr>
        <w:t xml:space="preserve">, </w:t>
      </w:r>
      <w:r>
        <w:rPr>
          <w:rFonts w:ascii="Courier New" w:hAnsi="Courier New"/>
          <w:b w:val="0"/>
          <w:i w:val="0"/>
          <w:sz w:val="20"/>
        </w:rPr>
        <w:t>supports_targets</w:t>
      </w:r>
      <w:r>
        <w:rPr>
          <w:rFonts w:ascii="Times New Roman" w:hAnsi="Times New Roman"/>
          <w:b w:val="0"/>
          <w:i w:val="0"/>
        </w:rPr>
        <w:t xml:space="preserve">, </w:t>
      </w:r>
      <w:r>
        <w:rPr>
          <w:rFonts w:ascii="Courier New" w:hAnsi="Courier New"/>
          <w:b w:val="0"/>
          <w:i w:val="0"/>
          <w:sz w:val="20"/>
        </w:rPr>
        <w:t>supports_ml</w:t>
      </w:r>
      <w:r>
        <w:rPr>
          <w:rFonts w:ascii="Times New Roman" w:hAnsi="Times New Roman"/>
          <w:b w:val="0"/>
          <w:i w:val="0"/>
        </w:rPr>
        <w:t xml:space="preserve">) record what each dataset can support. Unit labels must come from an allowed set defined in </w:t>
      </w:r>
      <w:r>
        <w:rPr>
          <w:rFonts w:ascii="Courier New" w:hAnsi="Courier New"/>
          <w:b w:val="0"/>
          <w:i w:val="0"/>
          <w:sz w:val="20"/>
        </w:rPr>
        <w:t>src/canonical/schema.py</w:t>
      </w:r>
      <w:r>
        <w:rPr>
          <w:rFonts w:ascii="Times New Roman" w:hAnsi="Times New Roman"/>
          <w:b w:val="0"/>
          <w:i w:val="0"/>
        </w:rPr>
        <w:t>. The set includes dataset-specific Alibaba 2018 labels (</w:t>
      </w:r>
      <w:r>
        <w:rPr>
          <w:rFonts w:ascii="Courier New" w:hAnsi="Courier New"/>
          <w:b w:val="0"/>
          <w:i w:val="0"/>
          <w:sz w:val="20"/>
        </w:rPr>
        <w:t>alibaba_plan_cpu_100_per_core</w:t>
      </w:r>
      <w:r>
        <w:rPr>
          <w:rFonts w:ascii="Times New Roman" w:hAnsi="Times New Roman"/>
          <w:b w:val="0"/>
          <w:i w:val="0"/>
        </w:rPr>
        <w:t xml:space="preserve">, </w:t>
      </w:r>
      <w:r>
        <w:rPr>
          <w:rFonts w:ascii="Courier New" w:hAnsi="Courier New"/>
          <w:b w:val="0"/>
          <w:i w:val="0"/>
          <w:sz w:val="20"/>
        </w:rPr>
        <w:t>alibaba_cpu_usage_source_unit</w:t>
      </w:r>
      <w:r>
        <w:rPr>
          <w:rFonts w:ascii="Times New Roman" w:hAnsi="Times New Roman"/>
          <w:b w:val="0"/>
          <w:i w:val="0"/>
        </w:rPr>
        <w:t xml:space="preserve">, </w:t>
      </w:r>
      <w:r>
        <w:rPr>
          <w:rFonts w:ascii="Courier New" w:hAnsi="Courier New"/>
          <w:b w:val="0"/>
          <w:i w:val="0"/>
          <w:sz w:val="20"/>
        </w:rPr>
        <w:t>alibaba_memory_source_normalized</w:t>
      </w:r>
      <w:r>
        <w:rPr>
          <w:rFonts w:ascii="Times New Roman" w:hAnsi="Times New Roman"/>
          <w:b w:val="0"/>
          <w:i w:val="0"/>
        </w:rPr>
        <w:t>), so Alibaba source units are not relabeled as generic units. Validation enforces the capability flags: it rejects populated CPU or memory fields, including actual and recommended values, for an unsupported resource, and populated actual values when a dataset does not support targets. In the capability configuration (</w:t>
      </w:r>
      <w:r>
        <w:rPr>
          <w:rFonts w:ascii="Courier New" w:hAnsi="Courier New"/>
          <w:b w:val="0"/>
          <w:i w:val="0"/>
          <w:sz w:val="20"/>
        </w:rPr>
        <w:t>config/dataset_capabilities.json</w:t>
      </w:r>
      <w:r>
        <w:rPr>
          <w:rFonts w:ascii="Times New Roman" w:hAnsi="Times New Roman"/>
          <w:b w:val="0"/>
          <w:i w:val="0"/>
        </w:rPr>
        <w:t>), Google supports all six; Alibaba 2018 supports CPU, memory, and request but not yet recurrence, targets, or ML; and Azure VM V2 supports CPU and memory capacity but not explicit request, observed memory, recurrence, targets, or ML.</w:t>
      </w:r>
    </w:p>
    <w:p>
      <w:pPr>
        <w:pStyle w:val="Heading2"/>
      </w:pPr>
      <w:r>
        <w:t>3.5 Artifact Storage, Reproducibility, and Presentation Technologies</w:t>
      </w:r>
    </w:p>
    <w:p>
      <w:r>
        <w:rPr>
          <w:rFonts w:ascii="Times New Roman" w:hAnsi="Times New Roman"/>
          <w:b w:val="0"/>
          <w:i w:val="0"/>
        </w:rPr>
        <w:t xml:space="preserve">Artifacts are stored locally as Parquet (tables), CSV (comparison tables), JSON (metadata and the feature manifest), and joblib (locked models) under </w:t>
      </w:r>
      <w:r>
        <w:rPr>
          <w:rFonts w:ascii="Courier New" w:hAnsi="Courier New"/>
          <w:b w:val="0"/>
          <w:i w:val="0"/>
          <w:sz w:val="20"/>
        </w:rPr>
        <w:t>data/processed/google_subset_v1/</w:t>
      </w:r>
      <w:r>
        <w:rPr>
          <w:rFonts w:ascii="Times New Roman" w:hAnsi="Times New Roman"/>
          <w:b w:val="0"/>
          <w:i w:val="0"/>
        </w:rPr>
        <w:t xml:space="preserve">. Raw and processed data are excluded from Git through </w:t>
      </w:r>
      <w:r>
        <w:rPr>
          <w:rFonts w:ascii="Courier New" w:hAnsi="Courier New"/>
          <w:b w:val="0"/>
          <w:i w:val="0"/>
          <w:sz w:val="20"/>
        </w:rPr>
        <w:t>.gitignore</w:t>
      </w:r>
      <w:r>
        <w:rPr>
          <w:rFonts w:ascii="Times New Roman" w:hAnsi="Times New Roman"/>
          <w:b w:val="0"/>
          <w:i w:val="0"/>
        </w:rPr>
        <w:t>. Source code, documentation, and notebooks are versioned on GitHub; work is merged through pull requests, and status is tracked on the team's GitHub project board. Fixed random seeds (</w:t>
      </w:r>
      <w:r>
        <w:rPr>
          <w:rFonts w:ascii="Courier New" w:hAnsi="Courier New"/>
          <w:b w:val="0"/>
          <w:i w:val="0"/>
          <w:sz w:val="20"/>
        </w:rPr>
        <w:t>random_state = 42</w:t>
      </w:r>
      <w:r>
        <w:rPr>
          <w:rFonts w:ascii="Times New Roman" w:hAnsi="Times New Roman"/>
          <w:b w:val="0"/>
          <w:i w:val="0"/>
        </w:rPr>
        <w:t xml:space="preserve">) are recorded in </w:t>
      </w:r>
      <w:r>
        <w:rPr>
          <w:rFonts w:ascii="Courier New" w:hAnsi="Courier New"/>
          <w:b w:val="0"/>
          <w:i w:val="0"/>
          <w:sz w:val="20"/>
        </w:rPr>
        <w:t>ml_metadata.json</w:t>
      </w:r>
      <w:r>
        <w:rPr>
          <w:rFonts w:ascii="Times New Roman" w:hAnsi="Times New Roman"/>
          <w:b w:val="0"/>
          <w:i w:val="0"/>
        </w:rPr>
        <w:t>.</w:t>
      </w:r>
    </w:p>
    <w:p>
      <w:r>
        <w:rPr>
          <w:rFonts w:ascii="Times New Roman" w:hAnsi="Times New Roman"/>
          <w:b w:val="0"/>
          <w:i w:val="0"/>
        </w:rPr>
        <w:t xml:space="preserve">The presentation technologies have not been chosen. The backlog requires a read-only API and a UI that run from precomputed artifacts with deterministic local startup. </w:t>
      </w:r>
      <w:r>
        <w:rPr>
          <w:rFonts w:ascii="Times New Roman" w:hAnsi="Times New Roman"/>
          <w:b/>
          <w:i w:val="0"/>
          <w:color w:val="9C0006"/>
          <w:highlight w:val="yellow"/>
        </w:rPr>
        <w:t>[TBD — API and UI frameworks (New Issues 7–9).]</w:t>
      </w:r>
    </w:p>
    <w:p>
      <w:r>
        <w:br w:type="page"/>
      </w:r>
    </w:p>
    <w:p>
      <w:pPr>
        <w:pStyle w:val="Heading1"/>
      </w:pPr>
      <w:r>
        <w:t>Chapter 4. Project Design</w:t>
      </w:r>
    </w:p>
    <w:p>
      <w:pPr>
        <w:pStyle w:val="Heading2"/>
      </w:pPr>
      <w:r>
        <w:t>4.1 Data Pipeline Design</w:t>
      </w:r>
    </w:p>
    <w:p>
      <w:r>
        <w:rPr>
          <w:rFonts w:ascii="Times New Roman" w:hAnsi="Times New Roman"/>
          <w:b w:val="0"/>
          <w:i w:val="0"/>
        </w:rPr>
        <w:t>The data pipeline follows five design rules, each enforced in the notebooks:</w:t>
      </w:r>
    </w:p>
    <w:p>
      <w:pPr>
        <w:pStyle w:val="ListNumber"/>
      </w:pPr>
      <w:r>
        <w:rPr>
          <w:rFonts w:ascii="Times New Roman" w:hAnsi="Times New Roman"/>
          <w:b/>
          <w:i w:val="0"/>
        </w:rPr>
        <w:t>Explicit identity hierarchy.</w:t>
      </w:r>
      <w:r>
        <w:rPr>
          <w:rFonts w:ascii="Times New Roman" w:hAnsi="Times New Roman"/>
          <w:b w:val="0"/>
          <w:i w:val="0"/>
        </w:rPr>
        <w:t xml:space="preserve"> Raw observation (</w:t>
      </w:r>
      <w:r>
        <w:rPr>
          <w:rFonts w:ascii="Courier New" w:hAnsi="Courier New"/>
          <w:b w:val="0"/>
          <w:i w:val="0"/>
          <w:sz w:val="20"/>
        </w:rPr>
        <w:t>observation_id</w:t>
      </w:r>
      <w:r>
        <w:rPr>
          <w:rFonts w:ascii="Times New Roman" w:hAnsi="Times New Roman"/>
          <w:b w:val="0"/>
          <w:i w:val="0"/>
        </w:rPr>
        <w:t>) → reconstructed execution (</w:t>
      </w:r>
      <w:r>
        <w:rPr>
          <w:rFonts w:ascii="Courier New" w:hAnsi="Courier New"/>
          <w:b w:val="0"/>
          <w:i w:val="0"/>
          <w:sz w:val="20"/>
        </w:rPr>
        <w:t>execution_id</w:t>
      </w:r>
      <w:r>
        <w:rPr>
          <w:rFonts w:ascii="Times New Roman" w:hAnsi="Times New Roman"/>
          <w:b w:val="0"/>
          <w:i w:val="0"/>
        </w:rPr>
        <w:t>) → full-workload occurrence (</w:t>
      </w:r>
      <w:r>
        <w:rPr>
          <w:rFonts w:ascii="Courier New" w:hAnsi="Courier New"/>
          <w:b w:val="0"/>
          <w:i w:val="0"/>
          <w:sz w:val="20"/>
        </w:rPr>
        <w:t>occurrence_key</w:t>
      </w:r>
      <w:r>
        <w:rPr>
          <w:rFonts w:ascii="Times New Roman" w:hAnsi="Times New Roman"/>
          <w:b w:val="0"/>
          <w:i w:val="0"/>
        </w:rPr>
        <w:t>) → recurring workload (</w:t>
      </w:r>
      <w:r>
        <w:rPr>
          <w:rFonts w:ascii="Courier New" w:hAnsi="Courier New"/>
          <w:b w:val="0"/>
          <w:i w:val="0"/>
          <w:sz w:val="20"/>
        </w:rPr>
        <w:t>recurrence_key</w:t>
      </w:r>
      <w:r>
        <w:rPr>
          <w:rFonts w:ascii="Times New Roman" w:hAnsi="Times New Roman"/>
          <w:b w:val="0"/>
          <w:i w:val="0"/>
        </w:rPr>
        <w:t>). Each level is unique and validated before the next is built.</w:t>
      </w:r>
    </w:p>
    <w:p>
      <w:pPr>
        <w:pStyle w:val="ListNumber"/>
      </w:pPr>
      <w:r>
        <w:rPr>
          <w:rFonts w:ascii="Times New Roman" w:hAnsi="Times New Roman"/>
          <w:b/>
          <w:i w:val="0"/>
        </w:rPr>
        <w:t>Missing values stay missing.</w:t>
      </w:r>
      <w:r>
        <w:rPr>
          <w:rFonts w:ascii="Times New Roman" w:hAnsi="Times New Roman"/>
          <w:b w:val="0"/>
          <w:i w:val="0"/>
        </w:rPr>
        <w:t xml:space="preserve"> No stage applies a global </w:t>
      </w:r>
      <w:r>
        <w:rPr>
          <w:rFonts w:ascii="Courier New" w:hAnsi="Courier New"/>
          <w:b w:val="0"/>
          <w:i w:val="0"/>
          <w:sz w:val="20"/>
        </w:rPr>
        <w:t>dropna()</w:t>
      </w:r>
      <w:r>
        <w:rPr>
          <w:rFonts w:ascii="Times New Roman" w:hAnsi="Times New Roman"/>
          <w:b w:val="0"/>
          <w:i w:val="0"/>
        </w:rPr>
        <w:t xml:space="preserve"> or fills a missing value with zero. Aggregations use strict sums and maxima: if any component is missing, the result is missing. CPU and memory keep separate validity counts, so missing memory never removes usable CPU data.</w:t>
      </w:r>
    </w:p>
    <w:p>
      <w:pPr>
        <w:pStyle w:val="ListNumber"/>
      </w:pPr>
      <w:r>
        <w:rPr>
          <w:rFonts w:ascii="Times New Roman" w:hAnsi="Times New Roman"/>
          <w:b/>
          <w:i w:val="0"/>
        </w:rPr>
        <w:t>Single ownership of each definition.</w:t>
      </w:r>
      <w:r>
        <w:rPr>
          <w:rFonts w:ascii="Times New Roman" w:hAnsi="Times New Roman"/>
          <w:b w:val="0"/>
          <w:i w:val="0"/>
        </w:rPr>
        <w:t xml:space="preserve"> Notebook 03 is the only owner of occurrence peaks and historical profiles; Notebook 04 carries them forward and must not recompute them from execution rows. Notebook 05 reads Notebook 04's splits and targets and must not rebuild them.</w:t>
      </w:r>
    </w:p>
    <w:p>
      <w:pPr>
        <w:pStyle w:val="ListNumber"/>
      </w:pPr>
      <w:r>
        <w:rPr>
          <w:rFonts w:ascii="Times New Roman" w:hAnsi="Times New Roman"/>
          <w:b/>
          <w:i w:val="0"/>
        </w:rPr>
        <w:t>Point-in-time correctness.</w:t>
      </w:r>
      <w:r>
        <w:rPr>
          <w:rFonts w:ascii="Times New Roman" w:hAnsi="Times New Roman"/>
          <w:b w:val="0"/>
          <w:i w:val="0"/>
        </w:rPr>
        <w:t xml:space="preserve"> History for an occurrence starting at time </w:t>
      </w:r>
      <w:r>
        <w:rPr>
          <w:rFonts w:ascii="Times New Roman" w:hAnsi="Times New Roman"/>
          <w:b w:val="0"/>
          <w:i/>
        </w:rPr>
        <w:t>t</w:t>
      </w:r>
      <w:r>
        <w:rPr>
          <w:rFonts w:ascii="Times New Roman" w:hAnsi="Times New Roman"/>
          <w:b w:val="0"/>
          <w:i w:val="0"/>
        </w:rPr>
        <w:t xml:space="preserve"> includes only earlier occurrences of the same recurrence whose end time is at or before </w:t>
      </w:r>
      <w:r>
        <w:rPr>
          <w:rFonts w:ascii="Times New Roman" w:hAnsi="Times New Roman"/>
          <w:b w:val="0"/>
          <w:i/>
        </w:rPr>
        <w:t>t</w:t>
      </w:r>
      <w:r>
        <w:rPr>
          <w:rFonts w:ascii="Times New Roman" w:hAnsi="Times New Roman"/>
          <w:b w:val="0"/>
          <w:i w:val="0"/>
        </w:rPr>
        <w:t>.</w:t>
      </w:r>
    </w:p>
    <w:p>
      <w:pPr>
        <w:pStyle w:val="ListNumber"/>
      </w:pPr>
      <w:r>
        <w:rPr>
          <w:rFonts w:ascii="Times New Roman" w:hAnsi="Times New Roman"/>
          <w:b/>
          <w:i w:val="0"/>
        </w:rPr>
        <w:t>Validated handoffs.</w:t>
      </w:r>
      <w:r>
        <w:rPr>
          <w:rFonts w:ascii="Times New Roman" w:hAnsi="Times New Roman"/>
          <w:b w:val="0"/>
          <w:i w:val="0"/>
        </w:rPr>
        <w:t xml:space="preserve"> Notebooks 02–05 reload their saved artifacts and check row counts, identifiers, and missingness; Notebook 01's output is checked when Notebook 02 loads it.</w:t>
      </w:r>
    </w:p>
    <w:p>
      <w:pPr>
        <w:pStyle w:val="Heading2"/>
      </w:pPr>
      <w:r>
        <w:t>4.2 Recommendation Model Design</w:t>
      </w:r>
    </w:p>
    <w:p>
      <w:pPr>
        <w:pStyle w:val="Heading3"/>
      </w:pPr>
      <w:r>
        <w:t>4.2.1 Historical Percentile Baselines</w:t>
      </w:r>
    </w:p>
    <w:p>
      <w:r>
        <w:rPr>
          <w:rFonts w:ascii="Times New Roman" w:hAnsi="Times New Roman"/>
          <w:b w:val="0"/>
          <w:i w:val="0"/>
        </w:rPr>
        <w:t xml:space="preserve">Request carries forward the current occurrence's total request as the recommendation for the next occurrence. Mean, P90, P95, and P99 use the corresponding statistic of the current occurrence's completed-occurrence history. A historical policy uses history for a resource only when that resource has at least </w:t>
      </w:r>
      <w:r>
        <w:rPr>
          <w:rFonts w:ascii="Courier New" w:hAnsi="Courier New"/>
          <w:b w:val="0"/>
          <w:i w:val="0"/>
          <w:sz w:val="20"/>
        </w:rPr>
        <w:t>min_runs</w:t>
      </w:r>
      <w:r>
        <w:rPr>
          <w:rFonts w:ascii="Times New Roman" w:hAnsi="Times New Roman"/>
          <w:b w:val="0"/>
          <w:i w:val="0"/>
        </w:rPr>
        <w:t xml:space="preserve"> valid completed occurrences and the statistic is available; otherwise it falls back to the current request. The candidate thresholds are </w:t>
      </w:r>
      <w:r>
        <w:rPr>
          <w:rFonts w:ascii="Courier New" w:hAnsi="Courier New"/>
          <w:b w:val="0"/>
          <w:i w:val="0"/>
          <w:sz w:val="20"/>
        </w:rPr>
        <w:t>min_runs</w:t>
      </w:r>
      <w:r>
        <w:rPr>
          <w:rFonts w:ascii="Times New Roman" w:hAnsi="Times New Roman"/>
          <w:b w:val="0"/>
          <w:i w:val="0"/>
        </w:rPr>
        <w:t xml:space="preserve"> ∈ {1, 3, 5, 10}.</w:t>
      </w:r>
    </w:p>
    <w:p>
      <w:r>
        <w:rPr>
          <w:rFonts w:ascii="Times New Roman" w:hAnsi="Times New Roman"/>
          <w:b w:val="0"/>
          <w:i w:val="0"/>
        </w:rPr>
        <w:t xml:space="preserve">The baseline policy and </w:t>
      </w:r>
      <w:r>
        <w:rPr>
          <w:rFonts w:ascii="Courier New" w:hAnsi="Courier New"/>
          <w:b w:val="0"/>
          <w:i w:val="0"/>
          <w:sz w:val="20"/>
        </w:rPr>
        <w:t>min_runs</w:t>
      </w:r>
      <w:r>
        <w:rPr>
          <w:rFonts w:ascii="Times New Roman" w:hAnsi="Times New Roman"/>
          <w:b w:val="0"/>
          <w:i w:val="0"/>
        </w:rPr>
        <w:t xml:space="preserve"> are selected on validation only, using a lexicographic, violation-first ranking: (1) lowest any-resource violation percentage, (2) lowest worst single-resource violation percentage, (3) lowest sum of CPU and memory violation percentages, (4) lower CPU waste, (5) lower memory waste, and (6) lower </w:t>
      </w:r>
      <w:r>
        <w:rPr>
          <w:rFonts w:ascii="Courier New" w:hAnsi="Courier New"/>
          <w:b w:val="0"/>
          <w:i w:val="0"/>
          <w:sz w:val="20"/>
        </w:rPr>
        <w:t>min_runs</w:t>
      </w:r>
      <w:r>
        <w:rPr>
          <w:rFonts w:ascii="Times New Roman" w:hAnsi="Times New Roman"/>
          <w:b w:val="0"/>
          <w:i w:val="0"/>
        </w:rPr>
        <w:t>. Request is a selectable candidate.</w:t>
      </w:r>
    </w:p>
    <w:p>
      <w:pPr>
        <w:pStyle w:val="Heading3"/>
      </w:pPr>
      <w:r>
        <w:t>4.2.2 Machine Learning Forecasting</w:t>
      </w:r>
    </w:p>
    <w:p>
      <w:r>
        <w:rPr>
          <w:rFonts w:ascii="Times New Roman" w:hAnsi="Times New Roman"/>
          <w:b w:val="0"/>
          <w:i w:val="0"/>
        </w:rPr>
        <w:t>The ML design (Notebook 05, in review in PR #61) predicts the next occurrence's full-workload peak separately for CPU and for memory. Its main design choices are:</w:t>
      </w:r>
    </w:p>
    <w:p>
      <w:pPr>
        <w:pStyle w:val="ListBullet"/>
      </w:pPr>
      <w:r>
        <w:rPr>
          <w:rFonts w:ascii="Times New Roman" w:hAnsi="Times New Roman"/>
          <w:b/>
          <w:i w:val="0"/>
        </w:rPr>
        <w:t>Features:</w:t>
      </w:r>
      <w:r>
        <w:rPr>
          <w:rFonts w:ascii="Times New Roman" w:hAnsi="Times New Roman"/>
          <w:b w:val="0"/>
          <w:i w:val="0"/>
        </w:rPr>
        <w:t xml:space="preserve"> only information available at the start of the current occurrence (Section 5.3.1). Current-occurrence outcomes, targets, baseline recommendations, and baseline flags are excluded by a leakage audit.</w:t>
      </w:r>
    </w:p>
    <w:p>
      <w:pPr>
        <w:pStyle w:val="ListBullet"/>
      </w:pPr>
      <w:r>
        <w:rPr>
          <w:rFonts w:ascii="Times New Roman" w:hAnsi="Times New Roman"/>
          <w:b/>
          <w:i w:val="0"/>
        </w:rPr>
        <w:t>Target transform:</w:t>
      </w:r>
      <w:r>
        <w:rPr>
          <w:rFonts w:ascii="Times New Roman" w:hAnsi="Times New Roman"/>
          <w:b w:val="0"/>
          <w:i w:val="0"/>
        </w:rPr>
        <w:t xml:space="preserve"> models are trained on </w:t>
      </w:r>
      <w:r>
        <w:rPr>
          <w:rFonts w:ascii="Courier New" w:hAnsi="Courier New"/>
          <w:b w:val="0"/>
          <w:i w:val="0"/>
          <w:sz w:val="20"/>
        </w:rPr>
        <w:t>log1p(target)</w:t>
      </w:r>
      <w:r>
        <w:rPr>
          <w:rFonts w:ascii="Times New Roman" w:hAnsi="Times New Roman"/>
          <w:b w:val="0"/>
          <w:i w:val="0"/>
        </w:rPr>
        <w:t xml:space="preserve">; predictions are mapped back with </w:t>
      </w:r>
      <w:r>
        <w:rPr>
          <w:rFonts w:ascii="Courier New" w:hAnsi="Courier New"/>
          <w:b w:val="0"/>
          <w:i w:val="0"/>
          <w:sz w:val="20"/>
        </w:rPr>
        <w:t>expm1</w:t>
      </w:r>
      <w:r>
        <w:rPr>
          <w:rFonts w:ascii="Times New Roman" w:hAnsi="Times New Roman"/>
          <w:b w:val="0"/>
          <w:i w:val="0"/>
        </w:rPr>
        <w:t xml:space="preserve"> and clipped at zero. The transform is fixed, not learned.</w:t>
      </w:r>
    </w:p>
    <w:p>
      <w:pPr>
        <w:pStyle w:val="ListBullet"/>
      </w:pPr>
      <w:r>
        <w:rPr>
          <w:rFonts w:ascii="Times New Roman" w:hAnsi="Times New Roman"/>
          <w:b/>
          <w:i w:val="0"/>
        </w:rPr>
        <w:t>Label-period rule:</w:t>
      </w:r>
      <w:r>
        <w:rPr>
          <w:rFonts w:ascii="Times New Roman" w:hAnsi="Times New Roman"/>
          <w:b w:val="0"/>
          <w:i w:val="0"/>
        </w:rPr>
        <w:t xml:space="preserve"> a training label is used only if its target occurrence starts at or before the end of the period the model may learn from (the training end for model selection, the validation end for the final refit).</w:t>
      </w:r>
    </w:p>
    <w:p>
      <w:pPr>
        <w:pStyle w:val="ListBullet"/>
      </w:pPr>
      <w:r>
        <w:rPr>
          <w:rFonts w:ascii="Times New Roman" w:hAnsi="Times New Roman"/>
          <w:b/>
          <w:i w:val="0"/>
        </w:rPr>
        <w:t>Pre-declared selection rules:</w:t>
      </w:r>
      <w:r>
        <w:rPr>
          <w:rFonts w:ascii="Times New Roman" w:hAnsi="Times New Roman"/>
          <w:b w:val="0"/>
          <w:i w:val="0"/>
        </w:rPr>
        <w:t xml:space="preserve"> hyperparameters per model family by the lowest mean </w:t>
      </w:r>
      <w:r>
        <w:rPr>
          <w:rFonts w:ascii="Courier New" w:hAnsi="Courier New"/>
          <w:b w:val="0"/>
          <w:i w:val="0"/>
          <w:sz w:val="20"/>
        </w:rPr>
        <w:t>log1p</w:t>
      </w:r>
      <w:r>
        <w:rPr>
          <w:rFonts w:ascii="Times New Roman" w:hAnsi="Times New Roman"/>
          <w:b w:val="0"/>
          <w:i w:val="0"/>
        </w:rPr>
        <w:t xml:space="preserve"> RMSE across label-purged </w:t>
      </w:r>
      <w:r>
        <w:rPr>
          <w:rFonts w:ascii="Courier New" w:hAnsi="Courier New"/>
          <w:b w:val="0"/>
          <w:i w:val="0"/>
          <w:sz w:val="20"/>
        </w:rPr>
        <w:t>TimeSeriesSplit</w:t>
      </w:r>
      <w:r>
        <w:rPr>
          <w:rFonts w:ascii="Times New Roman" w:hAnsi="Times New Roman"/>
          <w:b w:val="0"/>
          <w:i w:val="0"/>
        </w:rPr>
        <w:t xml:space="preserve"> folds of the training rows; the final model per resource by the lowest validation </w:t>
      </w:r>
      <w:r>
        <w:rPr>
          <w:rFonts w:ascii="Courier New" w:hAnsi="Courier New"/>
          <w:b w:val="0"/>
          <w:i w:val="0"/>
          <w:sz w:val="20"/>
        </w:rPr>
        <w:t>log1p</w:t>
      </w:r>
      <w:r>
        <w:rPr>
          <w:rFonts w:ascii="Times New Roman" w:hAnsi="Times New Roman"/>
          <w:b w:val="0"/>
          <w:i w:val="0"/>
        </w:rPr>
        <w:t xml:space="preserve"> RMSE on the common validation population, with lower raw MAE as the tie-breaker. </w:t>
      </w:r>
      <w:r>
        <w:rPr>
          <w:rFonts w:ascii="Courier New" w:hAnsi="Courier New"/>
          <w:b w:val="0"/>
          <w:i w:val="0"/>
          <w:sz w:val="20"/>
        </w:rPr>
        <w:t>GroupKFold</w:t>
      </w:r>
      <w:r>
        <w:rPr>
          <w:rFonts w:ascii="Times New Roman" w:hAnsi="Times New Roman"/>
          <w:b w:val="0"/>
          <w:i w:val="0"/>
        </w:rPr>
        <w:t xml:space="preserve"> by </w:t>
      </w:r>
      <w:r>
        <w:rPr>
          <w:rFonts w:ascii="Courier New" w:hAnsi="Courier New"/>
          <w:b w:val="0"/>
          <w:i w:val="0"/>
          <w:sz w:val="20"/>
        </w:rPr>
        <w:t>recurrence_key</w:t>
      </w:r>
      <w:r>
        <w:rPr>
          <w:rFonts w:ascii="Times New Roman" w:hAnsi="Times New Roman"/>
          <w:b w:val="0"/>
          <w:i w:val="0"/>
        </w:rPr>
        <w:t xml:space="preserve"> is reported separately and not used for decisions.</w:t>
      </w:r>
    </w:p>
    <w:p>
      <w:pPr>
        <w:pStyle w:val="ListBullet"/>
      </w:pPr>
      <w:r>
        <w:rPr>
          <w:rFonts w:ascii="Times New Roman" w:hAnsi="Times New Roman"/>
          <w:b/>
          <w:i w:val="0"/>
        </w:rPr>
        <w:t>Lock and refit:</w:t>
      </w:r>
      <w:r>
        <w:rPr>
          <w:rFonts w:ascii="Times New Roman" w:hAnsi="Times New Roman"/>
          <w:b w:val="0"/>
          <w:i w:val="0"/>
        </w:rPr>
        <w:t xml:space="preserve"> the selected model class, hyperparameters, feature order, and transform are locked and the models are refit on training plus validation rows.</w:t>
      </w:r>
    </w:p>
    <w:p>
      <w:pPr>
        <w:pStyle w:val="Heading3"/>
      </w:pPr>
      <w:r>
        <w:t>4.2.3 Hybrid Risk-Aware Layer</w:t>
      </w:r>
    </w:p>
    <w:p>
      <w:r>
        <w:rPr>
          <w:rFonts w:ascii="Times New Roman" w:hAnsi="Times New Roman"/>
          <w:b w:val="0"/>
          <w:i w:val="0"/>
        </w:rPr>
        <w:t xml:space="preserve">The Hybrid layer is planned. Its purpose is to combine a learned prediction with a conservative historical safeguard. The revised plan gives the starting rule HybridCPU = max(MLPredictedCPU, P95CPU) and HybridMemory = max(MLPredictedMemory, P95Memory) (backlog, p. 25). Notebook 05 already passes the P95 recommendation at the selected </w:t>
      </w:r>
      <w:r>
        <w:rPr>
          <w:rFonts w:ascii="Courier New" w:hAnsi="Courier New"/>
          <w:b w:val="0"/>
          <w:i w:val="0"/>
          <w:sz w:val="20"/>
        </w:rPr>
        <w:t>min_runs</w:t>
      </w:r>
      <w:r>
        <w:rPr>
          <w:rFonts w:ascii="Times New Roman" w:hAnsi="Times New Roman"/>
          <w:b w:val="0"/>
          <w:i w:val="0"/>
        </w:rPr>
        <w:t xml:space="preserve"> through as the safeguard input (</w:t>
      </w:r>
      <w:r>
        <w:rPr>
          <w:rFonts w:ascii="Courier New" w:hAnsi="Courier New"/>
          <w:b w:val="0"/>
          <w:i w:val="0"/>
          <w:sz w:val="20"/>
        </w:rPr>
        <w:t>p95_cpu</w:t>
      </w:r>
      <w:r>
        <w:rPr>
          <w:rFonts w:ascii="Times New Roman" w:hAnsi="Times New Roman"/>
          <w:b w:val="0"/>
          <w:i w:val="0"/>
        </w:rPr>
        <w:t xml:space="preserve">, </w:t>
      </w:r>
      <w:r>
        <w:rPr>
          <w:rFonts w:ascii="Courier New" w:hAnsi="Courier New"/>
          <w:b w:val="0"/>
          <w:i w:val="0"/>
          <w:sz w:val="20"/>
        </w:rPr>
        <w:t>p95_memory</w:t>
      </w:r>
      <w:r>
        <w:rPr>
          <w:rFonts w:ascii="Times New Roman" w:hAnsi="Times New Roman"/>
          <w:b w:val="0"/>
          <w:i w:val="0"/>
        </w:rPr>
        <w:t>). Under the team's notebook split, Hybrid recommendations are constructed in Notebook 06.</w:t>
      </w:r>
    </w:p>
    <w:p>
      <w:r>
        <w:rPr>
          <w:rFonts w:ascii="Times New Roman" w:hAnsi="Times New Roman"/>
          <w:b w:val="0"/>
          <w:i w:val="0"/>
        </w:rPr>
        <w:t xml:space="preserve">New Issue 6 extends the rule into an objective-driven policy engine: the user selects a Conservative, Balanced, or Efficient objective rather than a model or percentile; the engine chooses among the Request, Mean, percentile, ML-only, and Hybrid candidates available for the dataset, using criteria based on violation risk, utilization, waste, and shortfall; and the Hybrid rule and safety behavior are configurable and calibrated on validation data per dataset. </w:t>
      </w:r>
      <w:r>
        <w:rPr>
          <w:rFonts w:ascii="Times New Roman" w:hAnsi="Times New Roman"/>
          <w:b/>
          <w:i w:val="0"/>
          <w:color w:val="9C0006"/>
          <w:highlight w:val="yellow"/>
        </w:rPr>
        <w:t>[TBD — objective definitions, calibration procedure, and cold-start behavior (New Issue 6).]</w:t>
      </w:r>
    </w:p>
    <w:p>
      <w:pPr>
        <w:pStyle w:val="Heading2"/>
      </w:pPr>
      <w:r>
        <w:t>4.3 Replay and Evaluation Framework Design</w:t>
      </w:r>
    </w:p>
    <w:p>
      <w:r>
        <w:rPr>
          <w:rFonts w:ascii="Times New Roman" w:hAnsi="Times New Roman"/>
          <w:b w:val="0"/>
          <w:i w:val="0"/>
        </w:rPr>
        <w:t>Evaluation is a chronological replay at the occurrence level:</w:t>
      </w:r>
    </w:p>
    <w:p>
      <w:pPr>
        <w:pStyle w:val="ListBullet"/>
      </w:pPr>
      <w:r>
        <w:rPr>
          <w:rFonts w:ascii="Times New Roman" w:hAnsi="Times New Roman"/>
          <w:b/>
          <w:i w:val="0"/>
        </w:rPr>
        <w:t>Prediction-time convention.</w:t>
      </w:r>
      <w:r>
        <w:rPr>
          <w:rFonts w:ascii="Times New Roman" w:hAnsi="Times New Roman"/>
          <w:b w:val="0"/>
          <w:i w:val="0"/>
        </w:rPr>
        <w:t xml:space="preserve"> Features and history are those available at the start of the current occurrence; the target is the next distinct occurrence of the same recurrence. The last occurrence of each recurrence has no target.</w:t>
      </w:r>
    </w:p>
    <w:p>
      <w:pPr>
        <w:pStyle w:val="ListBullet"/>
      </w:pPr>
      <w:r>
        <w:rPr>
          <w:rFonts w:ascii="Times New Roman" w:hAnsi="Times New Roman"/>
          <w:b/>
          <w:i w:val="0"/>
        </w:rPr>
        <w:t>Chronological split.</w:t>
      </w:r>
      <w:r>
        <w:rPr>
          <w:rFonts w:ascii="Times New Roman" w:hAnsi="Times New Roman"/>
          <w:b w:val="0"/>
          <w:i w:val="0"/>
        </w:rPr>
        <w:t xml:space="preserve"> Execution rows are split by start time, targeting 70/15/15 (actual 70.5/14.5/15.0%), using a utility that places split boundaries only between complete timestamp groups, so no occurrence crosses a boundary.</w:t>
      </w:r>
    </w:p>
    <w:p>
      <w:pPr>
        <w:pStyle w:val="ListBullet"/>
      </w:pPr>
      <w:r>
        <w:rPr>
          <w:rFonts w:ascii="Times New Roman" w:hAnsi="Times New Roman"/>
          <w:b/>
          <w:i w:val="0"/>
        </w:rPr>
        <w:t>Targets before splitting.</w:t>
      </w:r>
      <w:r>
        <w:rPr>
          <w:rFonts w:ascii="Times New Roman" w:hAnsi="Times New Roman"/>
          <w:b w:val="0"/>
          <w:i w:val="0"/>
        </w:rPr>
        <w:t xml:space="preserve"> Targets are built once on the complete occurrence table before splitting, so a target may point into a later split but always to a strictly later occurrence. Notebook 05's label-period rule prevents such cross-boundary labels from being used in training. It does not apply to model selection: the validation population used to select the ML models includes the same test-period targets (Section 5.3.3).</w:t>
      </w:r>
    </w:p>
    <w:p>
      <w:pPr>
        <w:pStyle w:val="ListBullet"/>
      </w:pPr>
      <w:r>
        <w:rPr>
          <w:rFonts w:ascii="Times New Roman" w:hAnsi="Times New Roman"/>
          <w:b/>
          <w:i w:val="0"/>
        </w:rPr>
        <w:t>Common evaluation population.</w:t>
      </w:r>
      <w:r>
        <w:rPr>
          <w:rFonts w:ascii="Times New Roman" w:hAnsi="Times New Roman"/>
          <w:b w:val="0"/>
          <w:i w:val="0"/>
        </w:rPr>
        <w:t xml:space="preserve"> All validation policies and </w:t>
      </w:r>
      <w:r>
        <w:rPr>
          <w:rFonts w:ascii="Courier New" w:hAnsi="Courier New"/>
          <w:b w:val="0"/>
          <w:i w:val="0"/>
          <w:sz w:val="20"/>
        </w:rPr>
        <w:t>min_runs</w:t>
      </w:r>
      <w:r>
        <w:rPr>
          <w:rFonts w:ascii="Times New Roman" w:hAnsi="Times New Roman"/>
          <w:b w:val="0"/>
          <w:i w:val="0"/>
        </w:rPr>
        <w:t xml:space="preserve"> candidates are scored on the same validation occurrences, namely those with both CPU and memory targets available. Policies may still differ in their valid metric denominators when a recommendation is missing or non-positive.</w:t>
      </w:r>
    </w:p>
    <w:p>
      <w:pPr>
        <w:pStyle w:val="ListBullet"/>
      </w:pPr>
      <w:r>
        <w:rPr>
          <w:rFonts w:ascii="Times New Roman" w:hAnsi="Times New Roman"/>
          <w:b/>
          <w:i w:val="0"/>
        </w:rPr>
        <w:t>Final-test discipline.</w:t>
      </w:r>
      <w:r>
        <w:rPr>
          <w:rFonts w:ascii="Times New Roman" w:hAnsi="Times New Roman"/>
          <w:b w:val="0"/>
          <w:i w:val="0"/>
        </w:rPr>
        <w:t xml:space="preserve"> All choices (baseline and </w:t>
      </w:r>
      <w:r>
        <w:rPr>
          <w:rFonts w:ascii="Courier New" w:hAnsi="Courier New"/>
          <w:b w:val="0"/>
          <w:i w:val="0"/>
          <w:sz w:val="20"/>
        </w:rPr>
        <w:t>min_runs</w:t>
      </w:r>
      <w:r>
        <w:rPr>
          <w:rFonts w:ascii="Times New Roman" w:hAnsi="Times New Roman"/>
          <w:b w:val="0"/>
          <w:i w:val="0"/>
        </w:rPr>
        <w:t>, features, models and hyperparameters, Hybrid rules and thresholds, fallback behavior) are to be locked from training and validation data and recorded in a decision manifest (Issue 11, planned); only then will the untouched test split be evaluated, once (Issue 12, planned). So far, Notebook 04 does not score the test split, and Notebook 05 drops test target columns as soon as it loads them.</w:t>
      </w:r>
    </w:p>
    <w:p>
      <w:pPr>
        <w:pStyle w:val="Heading2"/>
      </w:pPr>
      <w:r>
        <w:t>4.4 Artifact and Presentation Layer Design</w:t>
      </w:r>
    </w:p>
    <w:p>
      <w:r>
        <w:rPr>
          <w:rFonts w:ascii="Times New Roman" w:hAnsi="Times New Roman"/>
          <w:b w:val="0"/>
          <w:i w:val="0"/>
        </w:rPr>
        <w:t>Artifacts are the interface between stages. Notebook 04 writes the canonical occurrence artifacts (</w:t>
      </w:r>
      <w:r>
        <w:rPr>
          <w:rFonts w:ascii="Courier New" w:hAnsi="Courier New"/>
          <w:b w:val="0"/>
          <w:i w:val="0"/>
          <w:sz w:val="20"/>
        </w:rPr>
        <w:t>train_occurrences.parquet</w:t>
      </w:r>
      <w:r>
        <w:rPr>
          <w:rFonts w:ascii="Times New Roman" w:hAnsi="Times New Roman"/>
          <w:b w:val="0"/>
          <w:i w:val="0"/>
        </w:rPr>
        <w:t xml:space="preserve">, </w:t>
      </w:r>
      <w:r>
        <w:rPr>
          <w:rFonts w:ascii="Courier New" w:hAnsi="Courier New"/>
          <w:b w:val="0"/>
          <w:i w:val="0"/>
          <w:sz w:val="20"/>
        </w:rPr>
        <w:t>val_occurrences.parquet</w:t>
      </w:r>
      <w:r>
        <w:rPr>
          <w:rFonts w:ascii="Times New Roman" w:hAnsi="Times New Roman"/>
          <w:b w:val="0"/>
          <w:i w:val="0"/>
        </w:rPr>
        <w:t xml:space="preserve">, </w:t>
      </w:r>
      <w:r>
        <w:rPr>
          <w:rFonts w:ascii="Courier New" w:hAnsi="Courier New"/>
          <w:b w:val="0"/>
          <w:i w:val="0"/>
          <w:sz w:val="20"/>
        </w:rPr>
        <w:t>test_occurrences.parquet</w:t>
      </w:r>
      <w:r>
        <w:rPr>
          <w:rFonts w:ascii="Times New Roman" w:hAnsi="Times New Roman"/>
          <w:b w:val="0"/>
          <w:i w:val="0"/>
        </w:rPr>
        <w:t xml:space="preserve">), execution-row compatibility artifacts, the validation comparison, and </w:t>
      </w:r>
      <w:r>
        <w:rPr>
          <w:rFonts w:ascii="Courier New" w:hAnsi="Courier New"/>
          <w:b w:val="0"/>
          <w:i w:val="0"/>
          <w:sz w:val="20"/>
        </w:rPr>
        <w:t>metadata.json</w:t>
      </w:r>
      <w:r>
        <w:rPr>
          <w:rFonts w:ascii="Times New Roman" w:hAnsi="Times New Roman"/>
          <w:b w:val="0"/>
          <w:i w:val="0"/>
        </w:rPr>
        <w:t xml:space="preserve">. Notebook 05 writes a feature manifest, tuning and cross-validation tables, the validation model comparison, validation and test prediction files, </w:t>
      </w:r>
      <w:r>
        <w:rPr>
          <w:rFonts w:ascii="Courier New" w:hAnsi="Courier New"/>
          <w:b w:val="0"/>
          <w:i w:val="0"/>
          <w:sz w:val="20"/>
        </w:rPr>
        <w:t>ml_metadata.json</w:t>
      </w:r>
      <w:r>
        <w:rPr>
          <w:rFonts w:ascii="Times New Roman" w:hAnsi="Times New Roman"/>
          <w:b w:val="0"/>
          <w:i w:val="0"/>
        </w:rPr>
        <w:t>, and the locked models.</w:t>
      </w:r>
    </w:p>
    <w:p>
      <w:r>
        <w:rPr>
          <w:rFonts w:ascii="Times New Roman" w:hAnsi="Times New Roman"/>
          <w:b w:val="0"/>
          <w:i w:val="0"/>
        </w:rPr>
        <w:t xml:space="preserve">For the product track, the revised plan defines one recommendation output contract for all datasets and policies (New Issue 5). Its fields cover the dataset, workload, occurrence, resource, policy, recommendation, model version, feature version, provenance, history count, confidence, fallback reason, capability status, validity status, and artifact version, with CPU and memory represented independently. The API (New Issue 7) and the UI (New Issues 8 and 9) consume this contract read-only and must not recompute evaluator metrics with separate formulas. </w:t>
      </w:r>
      <w:r>
        <w:rPr>
          <w:rFonts w:ascii="Times New Roman" w:hAnsi="Times New Roman"/>
          <w:b/>
          <w:i w:val="0"/>
          <w:color w:val="9C0006"/>
          <w:highlight w:val="yellow"/>
        </w:rPr>
        <w:t>[TBD — contract schema and API/UI design (New Issues 5–9).]</w:t>
      </w:r>
    </w:p>
    <w:p>
      <w:r>
        <w:br w:type="page"/>
      </w:r>
    </w:p>
    <w:p>
      <w:pPr>
        <w:pStyle w:val="Heading1"/>
      </w:pPr>
      <w:r>
        <w:t>Chapter 5. Project Implementation</w:t>
      </w:r>
    </w:p>
    <w:p>
      <w:pPr>
        <w:pStyle w:val="Heading2"/>
      </w:pPr>
      <w:r>
        <w:t>5.1 Data Pipeline</w:t>
      </w:r>
    </w:p>
    <w:p>
      <w:pPr>
        <w:pStyle w:val="Heading3"/>
      </w:pPr>
      <w:r>
        <w:t>5.1.1 Ingestion, Unit Normalization, and Dataset Adapters</w:t>
      </w:r>
    </w:p>
    <w:p>
      <w:r>
        <w:rPr>
          <w:rFonts w:ascii="Times New Roman" w:hAnsi="Times New Roman"/>
          <w:b w:val="0"/>
          <w:i w:val="0"/>
        </w:rPr>
        <w:t>Notebooks 00 and 01 load all 405,894 rows of the Kaggle sample without sampling. The audit produced the following findings, which shaped later stages:</w:t>
      </w:r>
    </w:p>
    <w:p>
      <w:pPr>
        <w:pStyle w:val="ListBullet"/>
      </w:pPr>
      <w:r>
        <w:rPr>
          <w:rFonts w:ascii="Times New Roman" w:hAnsi="Times New Roman"/>
          <w:b/>
          <w:i w:val="0"/>
        </w:rPr>
        <w:t>Resource fields.</w:t>
      </w:r>
      <w:r>
        <w:rPr>
          <w:rFonts w:ascii="Times New Roman" w:hAnsi="Times New Roman"/>
          <w:b w:val="0"/>
          <w:i w:val="0"/>
        </w:rPr>
        <w:t xml:space="preserve"> </w:t>
      </w:r>
      <w:r>
        <w:rPr>
          <w:rFonts w:ascii="Courier New" w:hAnsi="Courier New"/>
          <w:b w:val="0"/>
          <w:i w:val="0"/>
          <w:sz w:val="20"/>
        </w:rPr>
        <w:t>resource_request</w:t>
      </w:r>
      <w:r>
        <w:rPr>
          <w:rFonts w:ascii="Times New Roman" w:hAnsi="Times New Roman"/>
          <w:b w:val="0"/>
          <w:i w:val="0"/>
        </w:rPr>
        <w:t xml:space="preserve"> was missing or unparseable in 774 rows (0.19%); </w:t>
      </w:r>
      <w:r>
        <w:rPr>
          <w:rFonts w:ascii="Courier New" w:hAnsi="Courier New"/>
          <w:b w:val="0"/>
          <w:i w:val="0"/>
          <w:sz w:val="20"/>
        </w:rPr>
        <w:t>maximum_usage</w:t>
      </w:r>
      <w:r>
        <w:rPr>
          <w:rFonts w:ascii="Times New Roman" w:hAnsi="Times New Roman"/>
          <w:b w:val="0"/>
          <w:i w:val="0"/>
        </w:rPr>
        <w:t xml:space="preserve"> lacked a memory value in 4,927 rows (1.21%). No resource value was negative, and no peak was below the corresponding average. As a raw diagnostic only, peak CPU exceeded requested CPU in 203,459 rows and peak memory exceeded requested memory in 73,310 rows.</w:t>
      </w:r>
    </w:p>
    <w:p>
      <w:pPr>
        <w:pStyle w:val="ListBullet"/>
      </w:pPr>
      <w:r>
        <w:rPr>
          <w:rFonts w:ascii="Times New Roman" w:hAnsi="Times New Roman"/>
          <w:b/>
          <w:i w:val="0"/>
        </w:rPr>
        <w:t>Memory request.</w:t>
      </w:r>
      <w:r>
        <w:rPr>
          <w:rFonts w:ascii="Times New Roman" w:hAnsi="Times New Roman"/>
          <w:b w:val="0"/>
          <w:i w:val="0"/>
        </w:rPr>
        <w:t xml:space="preserve"> The request memory equals </w:t>
      </w:r>
      <w:r>
        <w:rPr>
          <w:rFonts w:ascii="Courier New" w:hAnsi="Courier New"/>
          <w:b w:val="0"/>
          <w:i w:val="0"/>
          <w:sz w:val="20"/>
        </w:rPr>
        <w:t>assigned_memory</w:t>
      </w:r>
      <w:r>
        <w:rPr>
          <w:rFonts w:ascii="Times New Roman" w:hAnsi="Times New Roman"/>
          <w:b w:val="0"/>
          <w:i w:val="0"/>
        </w:rPr>
        <w:t xml:space="preserve"> in 152,037 of the 405,120 rows with a request and differs in 253,083, so the two are treated as different quantities; the pipeline uses </w:t>
      </w:r>
      <w:r>
        <w:rPr>
          <w:rFonts w:ascii="Courier New" w:hAnsi="Courier New"/>
          <w:b w:val="0"/>
          <w:i w:val="0"/>
          <w:sz w:val="20"/>
        </w:rPr>
        <w:t>resource_request</w:t>
      </w:r>
      <w:r>
        <w:rPr>
          <w:rFonts w:ascii="Times New Roman" w:hAnsi="Times New Roman"/>
          <w:b w:val="0"/>
          <w:i w:val="0"/>
        </w:rPr>
        <w:t xml:space="preserve"> memory as the request.</w:t>
      </w:r>
    </w:p>
    <w:p>
      <w:pPr>
        <w:pStyle w:val="ListBullet"/>
      </w:pPr>
      <w:r>
        <w:rPr>
          <w:rFonts w:ascii="Times New Roman" w:hAnsi="Times New Roman"/>
          <w:b/>
          <w:i w:val="0"/>
        </w:rPr>
        <w:t>Timestamps.</w:t>
      </w:r>
      <w:r>
        <w:rPr>
          <w:rFonts w:ascii="Times New Roman" w:hAnsi="Times New Roman"/>
          <w:b w:val="0"/>
          <w:i w:val="0"/>
        </w:rPr>
        <w:t xml:space="preserve"> Three event times hold the 64-bit integer maximum and are converted to missing; thirteen event times fall after the last usage end and are kept. Usage windows last between 1 and 300 seconds (median 300 seconds). The event </w:t>
      </w:r>
      <w:r>
        <w:rPr>
          <w:rFonts w:ascii="Courier New" w:hAnsi="Courier New"/>
          <w:b w:val="0"/>
          <w:i w:val="0"/>
          <w:sz w:val="20"/>
        </w:rPr>
        <w:t>time</w:t>
      </w:r>
      <w:r>
        <w:rPr>
          <w:rFonts w:ascii="Times New Roman" w:hAnsi="Times New Roman"/>
          <w:b w:val="0"/>
          <w:i w:val="0"/>
        </w:rPr>
        <w:t xml:space="preserve"> field lies inside its row's usage window in only 1,506 of 405,894 rows (0.37%), so event time is not used for ordering; execution timing uses the usage-window fields.</w:t>
      </w:r>
    </w:p>
    <w:p>
      <w:pPr>
        <w:pStyle w:val="ListBullet"/>
      </w:pPr>
      <w:r>
        <w:rPr>
          <w:rFonts w:ascii="Times New Roman" w:hAnsi="Times New Roman"/>
          <w:b/>
          <w:i w:val="0"/>
        </w:rPr>
        <w:t>Observation identity.</w:t>
      </w:r>
      <w:r>
        <w:rPr>
          <w:rFonts w:ascii="Times New Roman" w:hAnsi="Times New Roman"/>
          <w:b w:val="0"/>
          <w:i w:val="0"/>
        </w:rPr>
        <w:t xml:space="preserve"> The key </w:t>
      </w:r>
      <w:r>
        <w:rPr>
          <w:rFonts w:ascii="Courier New" w:hAnsi="Courier New"/>
          <w:b w:val="0"/>
          <w:i w:val="0"/>
          <w:sz w:val="20"/>
        </w:rPr>
        <w:t>collection_id</w:t>
      </w:r>
      <w:r>
        <w:rPr>
          <w:rFonts w:ascii="Times New Roman" w:hAnsi="Times New Roman"/>
          <w:b w:val="0"/>
          <w:i w:val="0"/>
        </w:rPr>
        <w:t xml:space="preserve">, </w:t>
      </w:r>
      <w:r>
        <w:rPr>
          <w:rFonts w:ascii="Courier New" w:hAnsi="Courier New"/>
          <w:b w:val="0"/>
          <w:i w:val="0"/>
          <w:sz w:val="20"/>
        </w:rPr>
        <w:t>instance_index</w:t>
      </w:r>
      <w:r>
        <w:rPr>
          <w:rFonts w:ascii="Times New Roman" w:hAnsi="Times New Roman"/>
          <w:b w:val="0"/>
          <w:i w:val="0"/>
        </w:rPr>
        <w:t xml:space="preserve">, </w:t>
      </w:r>
      <w:r>
        <w:rPr>
          <w:rFonts w:ascii="Courier New" w:hAnsi="Courier New"/>
          <w:b w:val="0"/>
          <w:i w:val="0"/>
          <w:sz w:val="20"/>
        </w:rPr>
        <w:t>machine_id</w:t>
      </w:r>
      <w:r>
        <w:rPr>
          <w:rFonts w:ascii="Times New Roman" w:hAnsi="Times New Roman"/>
          <w:b w:val="0"/>
          <w:i w:val="0"/>
        </w:rPr>
        <w:t xml:space="preserve">, </w:t>
      </w:r>
      <w:r>
        <w:rPr>
          <w:rFonts w:ascii="Courier New" w:hAnsi="Courier New"/>
          <w:b w:val="0"/>
          <w:i w:val="0"/>
          <w:sz w:val="20"/>
        </w:rPr>
        <w:t>start_time</w:t>
      </w:r>
      <w:r>
        <w:rPr>
          <w:rFonts w:ascii="Times New Roman" w:hAnsi="Times New Roman"/>
          <w:b w:val="0"/>
          <w:i w:val="0"/>
        </w:rPr>
        <w:t xml:space="preserve">, </w:t>
      </w:r>
      <w:r>
        <w:rPr>
          <w:rFonts w:ascii="Courier New" w:hAnsi="Courier New"/>
          <w:b w:val="0"/>
          <w:i w:val="0"/>
          <w:sz w:val="20"/>
        </w:rPr>
        <w:t>end_time</w:t>
      </w:r>
      <w:r>
        <w:rPr>
          <w:rFonts w:ascii="Times New Roman" w:hAnsi="Times New Roman"/>
          <w:b w:val="0"/>
          <w:i w:val="0"/>
        </w:rPr>
        <w:t xml:space="preserve"> uniquely identifies all 405,894 rows, which become </w:t>
      </w:r>
      <w:r>
        <w:rPr>
          <w:rFonts w:ascii="Courier New" w:hAnsi="Courier New"/>
          <w:b w:val="0"/>
          <w:i w:val="0"/>
          <w:sz w:val="20"/>
        </w:rPr>
        <w:t>observation_id</w:t>
      </w:r>
      <w:r>
        <w:rPr>
          <w:rFonts w:ascii="Times New Roman" w:hAnsi="Times New Roman"/>
          <w:b w:val="0"/>
          <w:i w:val="0"/>
        </w:rPr>
        <w:t>.</w:t>
      </w:r>
    </w:p>
    <w:p>
      <w:r>
        <w:rPr>
          <w:rFonts w:ascii="Times New Roman" w:hAnsi="Times New Roman"/>
          <w:b w:val="0"/>
          <w:i w:val="0"/>
        </w:rPr>
        <w:t xml:space="preserve">Notebook 01 saves </w:t>
      </w:r>
      <w:r>
        <w:rPr>
          <w:rFonts w:ascii="Courier New" w:hAnsi="Courier New"/>
          <w:b w:val="0"/>
          <w:i w:val="0"/>
          <w:sz w:val="20"/>
        </w:rPr>
        <w:t>google_subset_observations_v1.parquet</w:t>
      </w:r>
      <w:r>
        <w:rPr>
          <w:rFonts w:ascii="Times New Roman" w:hAnsi="Times New Roman"/>
          <w:b w:val="0"/>
          <w:i w:val="0"/>
        </w:rPr>
        <w:t xml:space="preserve"> with 405,894 rows, keeping both the </w:t>
      </w:r>
      <w:r>
        <w:rPr>
          <w:rFonts w:ascii="Courier New" w:hAnsi="Courier New"/>
          <w:b w:val="0"/>
          <w:i w:val="0"/>
          <w:sz w:val="20"/>
        </w:rPr>
        <w:t>raw_*</w:t>
      </w:r>
      <w:r>
        <w:rPr>
          <w:rFonts w:ascii="Times New Roman" w:hAnsi="Times New Roman"/>
          <w:b w:val="0"/>
          <w:i w:val="0"/>
        </w:rPr>
        <w:t xml:space="preserve"> values and the canonical columns </w:t>
      </w:r>
      <w:r>
        <w:rPr>
          <w:rFonts w:ascii="Courier New" w:hAnsi="Courier New"/>
          <w:b w:val="0"/>
          <w:i w:val="0"/>
          <w:sz w:val="20"/>
        </w:rPr>
        <w:t>requested_cpu_ncu</w:t>
      </w:r>
      <w:r>
        <w:rPr>
          <w:rFonts w:ascii="Times New Roman" w:hAnsi="Times New Roman"/>
          <w:b w:val="0"/>
          <w:i w:val="0"/>
        </w:rPr>
        <w:t xml:space="preserve">, </w:t>
      </w:r>
      <w:r>
        <w:rPr>
          <w:rFonts w:ascii="Courier New" w:hAnsi="Courier New"/>
          <w:b w:val="0"/>
          <w:i w:val="0"/>
          <w:sz w:val="20"/>
        </w:rPr>
        <w:t>requested_memory_normalized</w:t>
      </w:r>
      <w:r>
        <w:rPr>
          <w:rFonts w:ascii="Times New Roman" w:hAnsi="Times New Roman"/>
          <w:b w:val="0"/>
          <w:i w:val="0"/>
        </w:rPr>
        <w:t xml:space="preserve">, </w:t>
      </w:r>
      <w:r>
        <w:rPr>
          <w:rFonts w:ascii="Courier New" w:hAnsi="Courier New"/>
          <w:b w:val="0"/>
          <w:i w:val="0"/>
          <w:sz w:val="20"/>
        </w:rPr>
        <w:t>average_cpu_ncu</w:t>
      </w:r>
      <w:r>
        <w:rPr>
          <w:rFonts w:ascii="Times New Roman" w:hAnsi="Times New Roman"/>
          <w:b w:val="0"/>
          <w:i w:val="0"/>
        </w:rPr>
        <w:t xml:space="preserve">, </w:t>
      </w:r>
      <w:r>
        <w:rPr>
          <w:rFonts w:ascii="Courier New" w:hAnsi="Courier New"/>
          <w:b w:val="0"/>
          <w:i w:val="0"/>
          <w:sz w:val="20"/>
        </w:rPr>
        <w:t>average_memory_normalized</w:t>
      </w:r>
      <w:r>
        <w:rPr>
          <w:rFonts w:ascii="Times New Roman" w:hAnsi="Times New Roman"/>
          <w:b w:val="0"/>
          <w:i w:val="0"/>
        </w:rPr>
        <w:t xml:space="preserve">, </w:t>
      </w:r>
      <w:r>
        <w:rPr>
          <w:rFonts w:ascii="Courier New" w:hAnsi="Courier New"/>
          <w:b w:val="0"/>
          <w:i w:val="0"/>
          <w:sz w:val="20"/>
        </w:rPr>
        <w:t>peak_cpu_ncu</w:t>
      </w:r>
      <w:r>
        <w:rPr>
          <w:rFonts w:ascii="Times New Roman" w:hAnsi="Times New Roman"/>
          <w:b w:val="0"/>
          <w:i w:val="0"/>
        </w:rPr>
        <w:t xml:space="preserve">, and </w:t>
      </w:r>
      <w:r>
        <w:rPr>
          <w:rFonts w:ascii="Courier New" w:hAnsi="Courier New"/>
          <w:b w:val="0"/>
          <w:i w:val="0"/>
          <w:sz w:val="20"/>
        </w:rPr>
        <w:t>peak_memory_normalized</w:t>
      </w:r>
      <w:r>
        <w:rPr>
          <w:rFonts w:ascii="Times New Roman" w:hAnsi="Times New Roman"/>
          <w:b w:val="0"/>
          <w:i w:val="0"/>
        </w:rPr>
        <w:t>.</w:t>
      </w:r>
    </w:p>
    <w:p>
      <w:r>
        <w:rPr>
          <w:rFonts w:ascii="Times New Roman" w:hAnsi="Times New Roman"/>
          <w:b w:val="0"/>
          <w:i w:val="0"/>
        </w:rPr>
        <w:t xml:space="preserve">For external datasets, PR #70 (merged) implements </w:t>
      </w:r>
      <w:r>
        <w:rPr>
          <w:rFonts w:ascii="Courier New" w:hAnsi="Courier New"/>
          <w:b w:val="0"/>
          <w:i w:val="0"/>
          <w:sz w:val="20"/>
        </w:rPr>
        <w:t>BaseDatasetAdapter</w:t>
      </w:r>
      <w:r>
        <w:rPr>
          <w:rFonts w:ascii="Times New Roman" w:hAnsi="Times New Roman"/>
          <w:b w:val="0"/>
          <w:i w:val="0"/>
        </w:rPr>
        <w:t xml:space="preserve">, whose </w:t>
      </w:r>
      <w:r>
        <w:rPr>
          <w:rFonts w:ascii="Courier New" w:hAnsi="Courier New"/>
          <w:b w:val="0"/>
          <w:i w:val="0"/>
          <w:sz w:val="20"/>
        </w:rPr>
        <w:t>adapt()</w:t>
      </w:r>
      <w:r>
        <w:rPr>
          <w:rFonts w:ascii="Times New Roman" w:hAnsi="Times New Roman"/>
          <w:b w:val="0"/>
          <w:i w:val="0"/>
        </w:rPr>
        <w:t xml:space="preserve"> method copies the source, applies the dataset mapping, checks that the caller's source was not mutated, and validates the result against the canonical schema. Validation also rejects duplicate canonical occurrence, execution, instance, and interval records (by their identifier keys). The review follow-up commit (d852630) added the following:</w:t>
      </w:r>
    </w:p>
    <w:p>
      <w:pPr>
        <w:pStyle w:val="ListBullet"/>
      </w:pPr>
      <w:r>
        <w:rPr>
          <w:rFonts w:ascii="Times New Roman" w:hAnsi="Times New Roman"/>
          <w:b/>
          <w:i w:val="0"/>
        </w:rPr>
        <w:t>Alibaba 2018 adapter.</w:t>
      </w:r>
      <w:r>
        <w:rPr>
          <w:rFonts w:ascii="Times New Roman" w:hAnsi="Times New Roman"/>
          <w:b w:val="0"/>
          <w:i w:val="0"/>
        </w:rPr>
        <w:t xml:space="preserve"> It produces instance-level canonical rows (</w:t>
      </w:r>
      <w:r>
        <w:rPr>
          <w:rFonts w:ascii="Courier New" w:hAnsi="Courier New"/>
          <w:b w:val="0"/>
          <w:i w:val="0"/>
          <w:sz w:val="20"/>
        </w:rPr>
        <w:t>job_name</w:t>
      </w:r>
      <w:r>
        <w:rPr>
          <w:rFonts w:ascii="Times New Roman" w:hAnsi="Times New Roman"/>
          <w:b w:val="0"/>
          <w:i w:val="0"/>
        </w:rPr>
        <w:t xml:space="preserve"> → </w:t>
      </w:r>
      <w:r>
        <w:rPr>
          <w:rFonts w:ascii="Courier New" w:hAnsi="Courier New"/>
          <w:b w:val="0"/>
          <w:i w:val="0"/>
          <w:sz w:val="20"/>
        </w:rPr>
        <w:t>workload_id</w:t>
      </w:r>
      <w:r>
        <w:rPr>
          <w:rFonts w:ascii="Times New Roman" w:hAnsi="Times New Roman"/>
          <w:b w:val="0"/>
          <w:i w:val="0"/>
        </w:rPr>
        <w:t xml:space="preserve">, </w:t>
      </w:r>
      <w:r>
        <w:rPr>
          <w:rFonts w:ascii="Courier New" w:hAnsi="Courier New"/>
          <w:b w:val="0"/>
          <w:i w:val="0"/>
          <w:sz w:val="20"/>
        </w:rPr>
        <w:t>plan_cpu</w:t>
      </w:r>
      <w:r>
        <w:rPr>
          <w:rFonts w:ascii="Times New Roman" w:hAnsi="Times New Roman"/>
          <w:b w:val="0"/>
          <w:i w:val="0"/>
        </w:rPr>
        <w:t>/</w:t>
      </w:r>
      <w:r>
        <w:rPr>
          <w:rFonts w:ascii="Courier New" w:hAnsi="Courier New"/>
          <w:b w:val="0"/>
          <w:i w:val="0"/>
          <w:sz w:val="20"/>
        </w:rPr>
        <w:t>plan_mem</w:t>
      </w:r>
      <w:r>
        <w:rPr>
          <w:rFonts w:ascii="Times New Roman" w:hAnsi="Times New Roman"/>
          <w:b w:val="0"/>
          <w:i w:val="0"/>
        </w:rPr>
        <w:t xml:space="preserve"> → requested CPU/memory, </w:t>
      </w:r>
      <w:r>
        <w:rPr>
          <w:rFonts w:ascii="Courier New" w:hAnsi="Courier New"/>
          <w:b w:val="0"/>
          <w:i w:val="0"/>
          <w:sz w:val="20"/>
        </w:rPr>
        <w:t>cpu_avg</w:t>
      </w:r>
      <w:r>
        <w:rPr>
          <w:rFonts w:ascii="Times New Roman" w:hAnsi="Times New Roman"/>
          <w:b w:val="0"/>
          <w:i w:val="0"/>
        </w:rPr>
        <w:t>/</w:t>
      </w:r>
      <w:r>
        <w:rPr>
          <w:rFonts w:ascii="Courier New" w:hAnsi="Courier New"/>
          <w:b w:val="0"/>
          <w:i w:val="0"/>
          <w:sz w:val="20"/>
        </w:rPr>
        <w:t>cpu_max</w:t>
      </w:r>
      <w:r>
        <w:rPr>
          <w:rFonts w:ascii="Times New Roman" w:hAnsi="Times New Roman"/>
          <w:b w:val="0"/>
          <w:i w:val="0"/>
        </w:rPr>
        <w:t xml:space="preserve"> and </w:t>
      </w:r>
      <w:r>
        <w:rPr>
          <w:rFonts w:ascii="Courier New" w:hAnsi="Courier New"/>
          <w:b w:val="0"/>
          <w:i w:val="0"/>
          <w:sz w:val="20"/>
        </w:rPr>
        <w:t>mem_avg</w:t>
      </w:r>
      <w:r>
        <w:rPr>
          <w:rFonts w:ascii="Times New Roman" w:hAnsi="Times New Roman"/>
          <w:b w:val="0"/>
          <w:i w:val="0"/>
        </w:rPr>
        <w:t>/</w:t>
      </w:r>
      <w:r>
        <w:rPr>
          <w:rFonts w:ascii="Courier New" w:hAnsi="Courier New"/>
          <w:b w:val="0"/>
          <w:i w:val="0"/>
          <w:sz w:val="20"/>
        </w:rPr>
        <w:t>mem_max</w:t>
      </w:r>
      <w:r>
        <w:rPr>
          <w:rFonts w:ascii="Times New Roman" w:hAnsi="Times New Roman"/>
          <w:b w:val="0"/>
          <w:i w:val="0"/>
        </w:rPr>
        <w:t xml:space="preserve"> → observed and peak CPU/memory) and does not populate a recurrence key. Each row carries dataset-specific unit labels and separate CPU and memory validity statuses (</w:t>
      </w:r>
      <w:r>
        <w:rPr>
          <w:rFonts w:ascii="Courier New" w:hAnsi="Courier New"/>
          <w:b w:val="0"/>
          <w:i w:val="0"/>
          <w:sz w:val="20"/>
        </w:rPr>
        <w:t>cpu_validity_status</w:t>
      </w:r>
      <w:r>
        <w:rPr>
          <w:rFonts w:ascii="Times New Roman" w:hAnsi="Times New Roman"/>
          <w:b w:val="0"/>
          <w:i w:val="0"/>
        </w:rPr>
        <w:t xml:space="preserve">, </w:t>
      </w:r>
      <w:r>
        <w:rPr>
          <w:rFonts w:ascii="Courier New" w:hAnsi="Courier New"/>
          <w:b w:val="0"/>
          <w:i w:val="0"/>
          <w:sz w:val="20"/>
        </w:rPr>
        <w:t>memory_validity_status</w:t>
      </w:r>
      <w:r>
        <w:rPr>
          <w:rFonts w:ascii="Times New Roman" w:hAnsi="Times New Roman"/>
          <w:b w:val="0"/>
          <w:i w:val="0"/>
        </w:rPr>
        <w:t>). Rows whose average exceeds their maximum are marked invalid and flagged (</w:t>
      </w:r>
      <w:r>
        <w:rPr>
          <w:rFonts w:ascii="Courier New" w:hAnsi="Courier New"/>
          <w:b w:val="0"/>
          <w:i w:val="0"/>
          <w:sz w:val="20"/>
        </w:rPr>
        <w:t>source_cpu_avg_gt_max</w:t>
      </w:r>
      <w:r>
        <w:rPr>
          <w:rFonts w:ascii="Times New Roman" w:hAnsi="Times New Roman"/>
          <w:b w:val="0"/>
          <w:i w:val="0"/>
        </w:rPr>
        <w:t xml:space="preserve">, </w:t>
      </w:r>
      <w:r>
        <w:rPr>
          <w:rFonts w:ascii="Courier New" w:hAnsi="Courier New"/>
          <w:b w:val="0"/>
          <w:i w:val="0"/>
          <w:sz w:val="20"/>
        </w:rPr>
        <w:t>source_memory_avg_gt_max</w:t>
      </w:r>
      <w:r>
        <w:rPr>
          <w:rFonts w:ascii="Times New Roman" w:hAnsi="Times New Roman"/>
          <w:b w:val="0"/>
          <w:i w:val="0"/>
        </w:rPr>
        <w:t>).</w:t>
      </w:r>
    </w:p>
    <w:p>
      <w:pPr>
        <w:pStyle w:val="ListBullet"/>
      </w:pPr>
      <w:r>
        <w:rPr>
          <w:rFonts w:ascii="Times New Roman" w:hAnsi="Times New Roman"/>
          <w:b/>
          <w:i w:val="0"/>
        </w:rPr>
        <w:t>Azure VM adapter.</w:t>
      </w:r>
      <w:r>
        <w:rPr>
          <w:rFonts w:ascii="Times New Roman" w:hAnsi="Times New Roman"/>
          <w:b w:val="0"/>
          <w:i w:val="0"/>
        </w:rPr>
        <w:t xml:space="preserve"> It supports a VM lifecycle and capacity view and a five-minute CPU interval view; observed memory is always null. The interval view raises an error if any CPU-reading VM ID is missing from the VM table, not only when there is no overlap at all. Open-ended capacity buckets such as </w:t>
      </w:r>
      <w:r>
        <w:rPr>
          <w:rFonts w:ascii="Courier New" w:hAnsi="Courier New"/>
          <w:b w:val="0"/>
          <w:i w:val="0"/>
          <w:sz w:val="20"/>
        </w:rPr>
        <w:t>&gt;24</w:t>
      </w:r>
      <w:r>
        <w:rPr>
          <w:rFonts w:ascii="Times New Roman" w:hAnsi="Times New Roman"/>
          <w:b w:val="0"/>
          <w:i w:val="0"/>
        </w:rPr>
        <w:t xml:space="preserve"> are kept as a missing value with an open-ended flag and a lower bound instead of a fabricated number.</w:t>
      </w:r>
    </w:p>
    <w:p>
      <w:r>
        <w:rPr>
          <w:rFonts w:ascii="Times New Roman" w:hAnsi="Times New Roman"/>
          <w:b/>
          <w:i w:val="0"/>
          <w:color w:val="9C0006"/>
          <w:highlight w:val="yellow"/>
        </w:rPr>
        <w:t>[TBD — whether canonical Alibaba or Azure VM artifacts will be generated and reported, and their downstream history and ML-ready preparation (New Issue 4, GitHub #66).]</w:t>
      </w:r>
    </w:p>
    <w:p>
      <w:pPr>
        <w:pStyle w:val="Heading3"/>
      </w:pPr>
      <w:r>
        <w:t>5.1.2 Execution Reconstruction and Dataset-Specific Temporal Features</w:t>
      </w:r>
    </w:p>
    <w:p>
      <w:r>
        <w:rPr>
          <w:rFonts w:ascii="Times New Roman" w:hAnsi="Times New Roman"/>
          <w:b w:val="0"/>
          <w:i w:val="0"/>
        </w:rPr>
        <w:t xml:space="preserve">The 405,894 observations form 242,946 candidate </w:t>
      </w:r>
      <w:r>
        <w:rPr>
          <w:rFonts w:ascii="Courier New" w:hAnsi="Courier New"/>
          <w:b w:val="0"/>
          <w:i w:val="0"/>
          <w:sz w:val="20"/>
        </w:rPr>
        <w:t>collection_id + instance_index</w:t>
      </w:r>
      <w:r>
        <w:rPr>
          <w:rFonts w:ascii="Times New Roman" w:hAnsi="Times New Roman"/>
          <w:b w:val="0"/>
          <w:i w:val="0"/>
        </w:rPr>
        <w:t xml:space="preserve"> groups. These groups are not single executions: the largest contains 7,704 observations on 6,640 machines over two usage windows about 22 days apart. Notebook 02 sorts each group by time and measures the gap between each observation and the latest end time seen so far in its group. There are 10,639 positive gaps; the smallest is 25 minutes and the median is about 4 days. Because every positive gap exceeds one five-minute observation window, a gap larger than five minutes starts a new execution episode, and </w:t>
      </w:r>
      <w:r>
        <w:rPr>
          <w:rFonts w:ascii="Courier New" w:hAnsi="Courier New"/>
          <w:b w:val="0"/>
          <w:i w:val="0"/>
          <w:sz w:val="20"/>
        </w:rPr>
        <w:t>execution_id = candidate_instance_key || episode_number</w:t>
      </w:r>
      <w:r>
        <w:rPr>
          <w:rFonts w:ascii="Times New Roman" w:hAnsi="Times New Roman"/>
          <w:b w:val="0"/>
          <w:i w:val="0"/>
        </w:rPr>
        <w:t>.</w:t>
      </w:r>
    </w:p>
    <w:p>
      <w:r>
        <w:rPr>
          <w:rFonts w:ascii="Times New Roman" w:hAnsi="Times New Roman"/>
          <w:b w:val="0"/>
          <w:i w:val="0"/>
        </w:rPr>
        <w:t>This produces 253,585 executions: 242,946 first episodes, 10,291 second, 340 third, and 8 fourth episodes. For each execution:</w:t>
      </w:r>
    </w:p>
    <w:p>
      <w:pPr>
        <w:pStyle w:val="ListBullet"/>
      </w:pPr>
      <w:r>
        <w:rPr>
          <w:rFonts w:ascii="Times New Roman" w:hAnsi="Times New Roman"/>
          <w:b w:val="0"/>
          <w:i w:val="0"/>
        </w:rPr>
        <w:t>the request is the maximum request per machine, summed across the execution's machines;</w:t>
      </w:r>
    </w:p>
    <w:p>
      <w:pPr>
        <w:pStyle w:val="ListBullet"/>
      </w:pPr>
      <w:r>
        <w:rPr>
          <w:rFonts w:ascii="Times New Roman" w:hAnsi="Times New Roman"/>
          <w:b w:val="0"/>
          <w:i w:val="0"/>
        </w:rPr>
        <w:t>the peak is the sum of machine peaks within each usage window, maximized over the execution's windows;</w:t>
      </w:r>
    </w:p>
    <w:p>
      <w:pPr>
        <w:pStyle w:val="ListBullet"/>
      </w:pPr>
      <w:r>
        <w:rPr>
          <w:rFonts w:ascii="Times New Roman" w:hAnsi="Times New Roman"/>
          <w:b w:val="0"/>
          <w:i w:val="0"/>
        </w:rPr>
        <w:t>start and end are the earliest usage start and latest usage end.</w:t>
      </w:r>
    </w:p>
    <w:p>
      <w:r>
        <w:rPr>
          <w:rFonts w:ascii="Times New Roman" w:hAnsi="Times New Roman"/>
          <w:b w:val="0"/>
          <w:i w:val="0"/>
        </w:rPr>
        <w:t>All sums and maxima are strict, so any missing component makes the result missing.</w:t>
      </w:r>
    </w:p>
    <w:p>
      <w:r>
        <w:rPr>
          <w:rFonts w:ascii="Times New Roman" w:hAnsi="Times New Roman"/>
          <w:b w:val="0"/>
          <w:i w:val="0"/>
        </w:rPr>
        <w:t>A merged analysis of the pipeline (</w:t>
      </w:r>
      <w:r>
        <w:rPr>
          <w:rFonts w:ascii="Courier New" w:hAnsi="Courier New"/>
          <w:b w:val="0"/>
          <w:i w:val="0"/>
          <w:sz w:val="20"/>
        </w:rPr>
        <w:t>docs/data/google_subset_pipeline_analysis.md</w:t>
      </w:r>
      <w:r>
        <w:rPr>
          <w:rFonts w:ascii="Times New Roman" w:hAnsi="Times New Roman"/>
          <w:b w:val="0"/>
          <w:i w:val="0"/>
        </w:rPr>
        <w:t xml:space="preserve">, finding F8) identifies an open data-quality question in this aggregation. In 38,146 of 253,594 instance-windows, one instance appears on several machines, and all those machines carry identical peak values, which are summed. Keeping one row per instance and window instead would change the CPU peak of 1,159 of the 4,879 occurrences. The analysis describes the repeated rows as suspected but not proven duplicates; both counts were reproduced from the saved artifacts for this draft. </w:t>
      </w:r>
      <w:r>
        <w:rPr>
          <w:rFonts w:ascii="Times New Roman" w:hAnsi="Times New Roman"/>
          <w:b/>
          <w:i w:val="0"/>
          <w:color w:val="9C0006"/>
          <w:highlight w:val="yellow"/>
        </w:rPr>
        <w:t>[TBD — team decision on whether repeated instance-window rows are duplicates, and any resulting correction to Notebooks 02–03.]</w:t>
      </w:r>
    </w:p>
    <w:p>
      <w:r>
        <w:rPr>
          <w:rFonts w:ascii="Times New Roman" w:hAnsi="Times New Roman"/>
          <w:b w:val="0"/>
          <w:i w:val="0"/>
        </w:rPr>
        <w:t xml:space="preserve">Each execution is assigned </w:t>
      </w:r>
      <w:r>
        <w:rPr>
          <w:rFonts w:ascii="Courier New" w:hAnsi="Courier New"/>
          <w:b w:val="0"/>
          <w:i w:val="0"/>
          <w:sz w:val="20"/>
        </w:rPr>
        <w:t>recurrence_key = user_clean || logical_workload_name</w:t>
      </w:r>
      <w:r>
        <w:rPr>
          <w:rFonts w:ascii="Times New Roman" w:hAnsi="Times New Roman"/>
          <w:b w:val="0"/>
          <w:i w:val="0"/>
        </w:rPr>
        <w:t xml:space="preserve">, where the logical name is </w:t>
      </w:r>
      <w:r>
        <w:rPr>
          <w:rFonts w:ascii="Courier New" w:hAnsi="Courier New"/>
          <w:b w:val="0"/>
          <w:i w:val="0"/>
          <w:sz w:val="20"/>
        </w:rPr>
        <w:t>collection_logical_name</w:t>
      </w:r>
      <w:r>
        <w:rPr>
          <w:rFonts w:ascii="Times New Roman" w:hAnsi="Times New Roman"/>
          <w:b w:val="0"/>
          <w:i w:val="0"/>
        </w:rPr>
        <w:t xml:space="preserve"> with </w:t>
      </w:r>
      <w:r>
        <w:rPr>
          <w:rFonts w:ascii="Courier New" w:hAnsi="Courier New"/>
          <w:b w:val="0"/>
          <w:i w:val="0"/>
          <w:sz w:val="20"/>
        </w:rPr>
        <w:t>collection_name</w:t>
      </w:r>
      <w:r>
        <w:rPr>
          <w:rFonts w:ascii="Times New Roman" w:hAnsi="Times New Roman"/>
          <w:b w:val="0"/>
          <w:i w:val="0"/>
        </w:rPr>
        <w:t xml:space="preserve"> as a fallback. This yields 2,280 recurrence keys; 1,504 have more than one execution and 776 have one. The most frequent key has 25,180 executions. The recurrence key is an inferred grouping, not a ground-truth job identifier in the dataset.</w:t>
      </w:r>
    </w:p>
    <w:p>
      <w:r>
        <w:rPr>
          <w:rFonts w:ascii="Times New Roman" w:hAnsi="Times New Roman"/>
          <w:b w:val="0"/>
          <w:i w:val="0"/>
        </w:rPr>
        <w:t>The temporal features differ by dataset. Google timestamps are in microseconds (Notebook 01) and usage is reported in windows of up to five minutes. According to the PR #70 documentation (</w:t>
      </w:r>
      <w:r>
        <w:rPr>
          <w:rFonts w:ascii="Courier New" w:hAnsi="Courier New"/>
          <w:b w:val="0"/>
          <w:i w:val="0"/>
          <w:sz w:val="20"/>
        </w:rPr>
        <w:t>docs/data/dataset_semantics_study_FINAL.md</w:t>
      </w:r>
      <w:r>
        <w:rPr>
          <w:rFonts w:ascii="Times New Roman" w:hAnsi="Times New Roman"/>
          <w:b w:val="0"/>
          <w:i w:val="0"/>
        </w:rPr>
        <w:t xml:space="preserve">, </w:t>
      </w:r>
      <w:r>
        <w:rPr>
          <w:rFonts w:ascii="Courier New" w:hAnsi="Courier New"/>
          <w:b w:val="0"/>
          <w:i w:val="0"/>
          <w:sz w:val="20"/>
        </w:rPr>
        <w:t>docs/data/external_dataset_integration.md</w:t>
      </w:r>
      <w:r>
        <w:rPr>
          <w:rFonts w:ascii="Times New Roman" w:hAnsi="Times New Roman"/>
          <w:b w:val="0"/>
          <w:i w:val="0"/>
        </w:rPr>
        <w:t>), Alibaba 2018 timestamps are relative seconds from the start of the trace, and Azure VM CPU readings use a five-minute cadence (</w:t>
      </w:r>
      <w:r>
        <w:rPr>
          <w:rFonts w:ascii="Courier New" w:hAnsi="Courier New"/>
          <w:b w:val="0"/>
          <w:i w:val="0"/>
          <w:sz w:val="20"/>
        </w:rPr>
        <w:t>aggregation_window_sec = 300</w:t>
      </w:r>
      <w:r>
        <w:rPr>
          <w:rFonts w:ascii="Times New Roman" w:hAnsi="Times New Roman"/>
          <w:b w:val="0"/>
          <w:i w:val="0"/>
        </w:rPr>
        <w:t xml:space="preserve"> in the canonical interval view).</w:t>
      </w:r>
    </w:p>
    <w:p>
      <w:pPr>
        <w:pStyle w:val="Heading3"/>
      </w:pPr>
      <w:r>
        <w:t>5.1.3 Peak Usage and Resource Metrics</w:t>
      </w:r>
    </w:p>
    <w:p>
      <w:r>
        <w:rPr>
          <w:rFonts w:ascii="Times New Roman" w:hAnsi="Times New Roman"/>
          <w:b w:val="0"/>
          <w:i w:val="0"/>
        </w:rPr>
        <w:t>Notebook 03 builds the 4,879 full-workload occurrences. For each occurrence, it sums the observation-level peaks of all parallel executions within each aligned usage window and takes the largest window total as the occurrence peak; a window with any missing component is missing. The occurrence request is the strict sum of the execution requests, and the occurrence runtime is the latest end minus the earliest start. A regression check pins the largest occurrence (6,921 executions): its full-workload CPU peak is 91.877289, whereas the largest individual execution peak in it is 0.013275. Of the 4,879 occurrences, 73 have a missing request and 60 have a missing memory peak; no CPU peak is missing. No stage filters by lifecycle event: failed, evicted, lost, and killed records are aggregated with finished ones, and 2,584 of the 4,879 occurrences contain at least one FAIL, KILL, EVICT, or LOST row (</w:t>
      </w:r>
      <w:r>
        <w:rPr>
          <w:rFonts w:ascii="Courier New" w:hAnsi="Courier New"/>
          <w:b w:val="0"/>
          <w:i w:val="0"/>
          <w:sz w:val="20"/>
        </w:rPr>
        <w:t>docs/data/google_subset_pipeline_analysis.md</w:t>
      </w:r>
      <w:r>
        <w:rPr>
          <w:rFonts w:ascii="Times New Roman" w:hAnsi="Times New Roman"/>
          <w:b w:val="0"/>
          <w:i w:val="0"/>
        </w:rPr>
        <w:t>, finding F7; count reproduced from the saved artifacts).</w:t>
      </w:r>
    </w:p>
    <w:p>
      <w:r>
        <w:rPr>
          <w:rFonts w:ascii="Times New Roman" w:hAnsi="Times New Roman"/>
          <w:b w:val="0"/>
          <w:i w:val="0"/>
        </w:rPr>
        <w:t xml:space="preserve">Historical profiles are then built per occurrence from prior completed occurrences of the same recurrence. For CPU peak, memory peak, and runtime, the profile stores the count of valid values and their mean, standard deviation, P50, P90, P95, and P99 (pandas </w:t>
      </w:r>
      <w:r>
        <w:rPr>
          <w:rFonts w:ascii="Courier New" w:hAnsi="Courier New"/>
          <w:b w:val="0"/>
          <w:i w:val="0"/>
          <w:sz w:val="20"/>
        </w:rPr>
        <w:t>quantile</w:t>
      </w:r>
      <w:r>
        <w:rPr>
          <w:rFonts w:ascii="Times New Roman" w:hAnsi="Times New Roman"/>
          <w:b w:val="0"/>
          <w:i w:val="0"/>
        </w:rPr>
        <w:t xml:space="preserve">). Cold starts keep null statistics instead of imputed values. There are 2,280 cold-start occurrences, one per recurrence key. At the execution level, 80,801 rows are cold starts and 172,784 have history. Notebook 03 saves </w:t>
      </w:r>
      <w:r>
        <w:rPr>
          <w:rFonts w:ascii="Courier New" w:hAnsi="Courier New"/>
          <w:b w:val="0"/>
          <w:i w:val="0"/>
          <w:sz w:val="20"/>
        </w:rPr>
        <w:t>job_profiles_google_subset_history_v1.parquet</w:t>
      </w:r>
      <w:r>
        <w:rPr>
          <w:rFonts w:ascii="Times New Roman" w:hAnsi="Times New Roman"/>
          <w:b w:val="0"/>
          <w:i w:val="0"/>
        </w:rPr>
        <w:t xml:space="preserve"> (4,879 rows) and </w:t>
      </w:r>
      <w:r>
        <w:rPr>
          <w:rFonts w:ascii="Courier New" w:hAnsi="Courier New"/>
          <w:b w:val="0"/>
          <w:i w:val="0"/>
          <w:sz w:val="20"/>
        </w:rPr>
        <w:t>job_metrics_v0.parquet</w:t>
      </w:r>
      <w:r>
        <w:rPr>
          <w:rFonts w:ascii="Times New Roman" w:hAnsi="Times New Roman"/>
          <w:b w:val="0"/>
          <w:i w:val="0"/>
        </w:rPr>
        <w:t xml:space="preserve"> (253,585 rows).</w:t>
      </w:r>
    </w:p>
    <w:p>
      <w:pPr>
        <w:pStyle w:val="Heading2"/>
      </w:pPr>
      <w:r>
        <w:t>5.2 Baseline Recommenders</w:t>
      </w:r>
    </w:p>
    <w:p>
      <w:r>
        <w:rPr>
          <w:rFonts w:ascii="Times New Roman" w:hAnsi="Times New Roman"/>
          <w:b w:val="0"/>
          <w:i w:val="0"/>
        </w:rPr>
        <w:t>Notebook 04 implements the baselines on the occurrence artifacts (Section 4.2.1). Before generating recommendations, it splits the data chronologically (Table 6.1 in Section 6.2) and builds next-occurrence targets. Of the 675 validation occurrences, 330 have a CPU target, 329 have a memory target, and the common validation population with both targets has 329 occurrences.</w:t>
      </w:r>
    </w:p>
    <w:p>
      <w:pPr>
        <w:pStyle w:val="Heading3"/>
      </w:pPr>
      <w:r>
        <w:t>5.2.1 Request-As-Is</w:t>
      </w:r>
    </w:p>
    <w:p>
      <w:r>
        <w:rPr>
          <w:rFonts w:ascii="Times New Roman" w:hAnsi="Times New Roman"/>
          <w:b w:val="0"/>
          <w:i w:val="0"/>
        </w:rPr>
        <w:t>The Request policy recommends the current occurrence's total request (</w:t>
      </w:r>
      <w:r>
        <w:rPr>
          <w:rFonts w:ascii="Courier New" w:hAnsi="Courier New"/>
          <w:b w:val="0"/>
          <w:i w:val="0"/>
          <w:sz w:val="20"/>
        </w:rPr>
        <w:t>occurrence_requested_cpu_ncu</w:t>
      </w:r>
      <w:r>
        <w:rPr>
          <w:rFonts w:ascii="Times New Roman" w:hAnsi="Times New Roman"/>
          <w:b w:val="0"/>
          <w:i w:val="0"/>
        </w:rPr>
        <w:t xml:space="preserve">, </w:t>
      </w:r>
      <w:r>
        <w:rPr>
          <w:rFonts w:ascii="Courier New" w:hAnsi="Courier New"/>
          <w:b w:val="0"/>
          <w:i w:val="0"/>
          <w:sz w:val="20"/>
        </w:rPr>
        <w:t>occurrence_requested_memory_normalized</w:t>
      </w:r>
      <w:r>
        <w:rPr>
          <w:rFonts w:ascii="Times New Roman" w:hAnsi="Times New Roman"/>
          <w:b w:val="0"/>
          <w:i w:val="0"/>
        </w:rPr>
        <w:t xml:space="preserve">) for the next occurrence. It does not depend on </w:t>
      </w:r>
      <w:r>
        <w:rPr>
          <w:rFonts w:ascii="Courier New" w:hAnsi="Courier New"/>
          <w:b w:val="0"/>
          <w:i w:val="0"/>
          <w:sz w:val="20"/>
        </w:rPr>
        <w:t>min_runs</w:t>
      </w:r>
      <w:r>
        <w:rPr>
          <w:rFonts w:ascii="Times New Roman" w:hAnsi="Times New Roman"/>
          <w:b w:val="0"/>
          <w:i w:val="0"/>
        </w:rPr>
        <w:t xml:space="preserve">, and Notebook 04 confirms that its validation metrics are identical across all four </w:t>
      </w:r>
      <w:r>
        <w:rPr>
          <w:rFonts w:ascii="Courier New" w:hAnsi="Courier New"/>
          <w:b w:val="0"/>
          <w:i w:val="0"/>
          <w:sz w:val="20"/>
        </w:rPr>
        <w:t>min_runs</w:t>
      </w:r>
      <w:r>
        <w:rPr>
          <w:rFonts w:ascii="Times New Roman" w:hAnsi="Times New Roman"/>
          <w:b w:val="0"/>
          <w:i w:val="0"/>
        </w:rPr>
        <w:t xml:space="preserve"> candidates.</w:t>
      </w:r>
    </w:p>
    <w:p>
      <w:pPr>
        <w:pStyle w:val="Heading3"/>
      </w:pPr>
      <w:r>
        <w:t>5.2.2 Mean and Percentile Recommendations</w:t>
      </w:r>
    </w:p>
    <w:p>
      <w:r>
        <w:rPr>
          <w:rFonts w:ascii="Times New Roman" w:hAnsi="Times New Roman"/>
          <w:b w:val="0"/>
          <w:i w:val="0"/>
        </w:rPr>
        <w:t xml:space="preserve">Mean, P90, P95, and P99 use the Notebook 03 history statistics (renamed with an </w:t>
      </w:r>
      <w:r>
        <w:rPr>
          <w:rFonts w:ascii="Courier New" w:hAnsi="Courier New"/>
          <w:b w:val="0"/>
          <w:i w:val="0"/>
          <w:sz w:val="20"/>
        </w:rPr>
        <w:t>occ_hist_</w:t>
      </w:r>
      <w:r>
        <w:rPr>
          <w:rFonts w:ascii="Times New Roman" w:hAnsi="Times New Roman"/>
          <w:b w:val="0"/>
          <w:i w:val="0"/>
        </w:rPr>
        <w:t xml:space="preserve"> prefix in Notebook 04 and verified as exact copies). CPU and memory are handled independently, each with its own valid history count. The selected configuration, chosen on validation only, is P99 with </w:t>
      </w:r>
      <w:r>
        <w:rPr>
          <w:rFonts w:ascii="Courier New" w:hAnsi="Courier New"/>
          <w:b w:val="0"/>
          <w:i w:val="0"/>
          <w:sz w:val="20"/>
        </w:rPr>
        <w:t>min_runs = 1</w:t>
      </w:r>
      <w:r>
        <w:rPr>
          <w:rFonts w:ascii="Times New Roman" w:hAnsi="Times New Roman"/>
          <w:b w:val="0"/>
          <w:i w:val="0"/>
        </w:rPr>
        <w:t xml:space="preserve"> (</w:t>
      </w:r>
      <w:r>
        <w:rPr>
          <w:rFonts w:ascii="Courier New" w:hAnsi="Courier New"/>
          <w:b w:val="0"/>
          <w:i w:val="0"/>
          <w:sz w:val="20"/>
        </w:rPr>
        <w:t>metadata.json</w:t>
      </w:r>
      <w:r>
        <w:rPr>
          <w:rFonts w:ascii="Times New Roman" w:hAnsi="Times New Roman"/>
          <w:b w:val="0"/>
          <w:i w:val="0"/>
        </w:rPr>
        <w:t>). Validation results are reported in Section 7.1.1.</w:t>
      </w:r>
    </w:p>
    <w:p>
      <w:pPr>
        <w:pStyle w:val="Heading3"/>
      </w:pPr>
      <w:r>
        <w:t>5.2.3 Cold-Start Handling and Fallbacks</w:t>
      </w:r>
    </w:p>
    <w:p>
      <w:r>
        <w:rPr>
          <w:rFonts w:ascii="Times New Roman" w:hAnsi="Times New Roman"/>
          <w:b w:val="0"/>
          <w:i w:val="0"/>
        </w:rPr>
        <w:t xml:space="preserve">When a resource has fewer than </w:t>
      </w:r>
      <w:r>
        <w:rPr>
          <w:rFonts w:ascii="Courier New" w:hAnsi="Courier New"/>
          <w:b w:val="0"/>
          <w:i w:val="0"/>
          <w:sz w:val="20"/>
        </w:rPr>
        <w:t>min_runs</w:t>
      </w:r>
      <w:r>
        <w:rPr>
          <w:rFonts w:ascii="Times New Roman" w:hAnsi="Times New Roman"/>
          <w:b w:val="0"/>
          <w:i w:val="0"/>
        </w:rPr>
        <w:t xml:space="preserve"> valid completed occurrences, or the history statistic is missing, the historical policies fall back to the current occurrence request. On the 675 validation occurrences, the CPU fallback share is 35.4% at </w:t>
      </w:r>
      <w:r>
        <w:rPr>
          <w:rFonts w:ascii="Courier New" w:hAnsi="Courier New"/>
          <w:b w:val="0"/>
          <w:i w:val="0"/>
          <w:sz w:val="20"/>
        </w:rPr>
        <w:t>min_runs = 1</w:t>
      </w:r>
      <w:r>
        <w:rPr>
          <w:rFonts w:ascii="Times New Roman" w:hAnsi="Times New Roman"/>
          <w:b w:val="0"/>
          <w:i w:val="0"/>
        </w:rPr>
        <w:t xml:space="preserve">, 56.0% at 3, 64.6% at 5, and 75.0% at 10; the memory fallback share is 35.9%, 56.9%, 65.2%, and 75.6%, respectively. In the common validation population, 26 occurrences have no prior history. If the request itself is missing, the recommendation is missing, and the shared evaluator records the row as unknown rather than as a non-violation (Section 6.4.3). </w:t>
      </w:r>
      <w:r>
        <w:rPr>
          <w:rFonts w:ascii="Times New Roman" w:hAnsi="Times New Roman"/>
          <w:b/>
          <w:i w:val="0"/>
          <w:color w:val="9C0006"/>
          <w:highlight w:val="yellow"/>
        </w:rPr>
        <w:t>[TBD — final cold-start and fallback behavior of the policy engine (New Issue 6) and its record in the decision manifest (Issue 11).]</w:t>
      </w:r>
    </w:p>
    <w:p>
      <w:pPr>
        <w:pStyle w:val="Heading2"/>
      </w:pPr>
      <w:r>
        <w:t>5.3 Machine Learning Recommender</w:t>
      </w:r>
    </w:p>
    <w:p>
      <w:r>
        <w:rPr>
          <w:rFonts w:ascii="Times New Roman" w:hAnsi="Times New Roman"/>
          <w:b w:val="0"/>
          <w:i w:val="0"/>
        </w:rPr>
        <w:t xml:space="preserve">The ML recommender is implemented in Notebook 05 and in </w:t>
      </w:r>
      <w:r>
        <w:rPr>
          <w:rFonts w:ascii="Courier New" w:hAnsi="Courier New"/>
          <w:b w:val="0"/>
          <w:i w:val="0"/>
          <w:sz w:val="20"/>
        </w:rPr>
        <w:t>src/features/feature_config.py</w:t>
      </w:r>
      <w:r>
        <w:rPr>
          <w:rFonts w:ascii="Times New Roman" w:hAnsi="Times New Roman"/>
          <w:b w:val="0"/>
          <w:i w:val="0"/>
        </w:rPr>
        <w:t xml:space="preserve"> and </w:t>
      </w:r>
      <w:r>
        <w:rPr>
          <w:rFonts w:ascii="Courier New" w:hAnsi="Courier New"/>
          <w:b w:val="0"/>
          <w:i w:val="0"/>
          <w:sz w:val="20"/>
        </w:rPr>
        <w:t>src/features/ml_prep.py</w:t>
      </w:r>
      <w:r>
        <w:rPr>
          <w:rFonts w:ascii="Times New Roman" w:hAnsi="Times New Roman"/>
          <w:b w:val="0"/>
          <w:i w:val="0"/>
        </w:rPr>
        <w:t xml:space="preserve"> on the PR #61 branch, which is in review. The outputs described here come from the saved artifacts of that notebook.</w:t>
      </w:r>
    </w:p>
    <w:p>
      <w:pPr>
        <w:pStyle w:val="Heading3"/>
      </w:pPr>
      <w:r>
        <w:t>5.3.1 Feature and Target Preparation</w:t>
      </w:r>
    </w:p>
    <w:p>
      <w:r>
        <w:rPr>
          <w:rFonts w:ascii="Times New Roman" w:hAnsi="Times New Roman"/>
          <w:b w:val="0"/>
          <w:i w:val="0"/>
        </w:rPr>
        <w:t>The feature manifest (</w:t>
      </w:r>
      <w:r>
        <w:rPr>
          <w:rFonts w:ascii="Courier New" w:hAnsi="Courier New"/>
          <w:b w:val="0"/>
          <w:i w:val="0"/>
          <w:sz w:val="20"/>
        </w:rPr>
        <w:t>ml_feature_manifest.json</w:t>
      </w:r>
      <w:r>
        <w:rPr>
          <w:rFonts w:ascii="Times New Roman" w:hAnsi="Times New Roman"/>
          <w:b w:val="0"/>
          <w:i w:val="0"/>
        </w:rPr>
        <w:t xml:space="preserve">, mirrored in </w:t>
      </w:r>
      <w:r>
        <w:rPr>
          <w:rFonts w:ascii="Courier New" w:hAnsi="Courier New"/>
          <w:b w:val="0"/>
          <w:i w:val="0"/>
          <w:sz w:val="20"/>
        </w:rPr>
        <w:t>OCCURRENCE_FEATURE_COLS</w:t>
      </w:r>
      <w:r>
        <w:rPr>
          <w:rFonts w:ascii="Times New Roman" w:hAnsi="Times New Roman"/>
          <w:b w:val="0"/>
          <w:i w:val="0"/>
        </w:rPr>
        <w:t>) has 24 features, all known at the start of the current occurrence:</w:t>
      </w:r>
    </w:p>
    <w:p>
      <w:pPr>
        <w:pStyle w:val="ListBullet"/>
      </w:pPr>
      <w:r>
        <w:rPr>
          <w:rFonts w:ascii="Times New Roman" w:hAnsi="Times New Roman"/>
          <w:b/>
          <w:i w:val="0"/>
        </w:rPr>
        <w:t>current occurrence (5):</w:t>
      </w:r>
      <w:r>
        <w:rPr>
          <w:rFonts w:ascii="Times New Roman" w:hAnsi="Times New Roman"/>
          <w:b w:val="0"/>
          <w:i w:val="0"/>
        </w:rPr>
        <w:t xml:space="preserve"> requested CPU and memory, number of parallel executions, and the number of distinct CPU and memory request values;</w:t>
      </w:r>
    </w:p>
    <w:p>
      <w:pPr>
        <w:pStyle w:val="ListBullet"/>
      </w:pPr>
      <w:r>
        <w:rPr>
          <w:rFonts w:ascii="Times New Roman" w:hAnsi="Times New Roman"/>
          <w:b/>
          <w:i w:val="0"/>
        </w:rPr>
        <w:t>history (19):</w:t>
      </w:r>
      <w:r>
        <w:rPr>
          <w:rFonts w:ascii="Times New Roman" w:hAnsi="Times New Roman"/>
          <w:b w:val="0"/>
          <w:i w:val="0"/>
        </w:rPr>
        <w:t xml:space="preserve"> the number of prior completed occurrences, and for CPU peak, memory peak, and runtime the valid count, mean, standard deviation, P90, P95, and P99.</w:t>
      </w:r>
    </w:p>
    <w:p>
      <w:r>
        <w:rPr>
          <w:rFonts w:ascii="Times New Roman" w:hAnsi="Times New Roman"/>
          <w:b w:val="0"/>
          <w:i w:val="0"/>
        </w:rPr>
        <w:t xml:space="preserve">The leakage audit rejects the current occurrence's peaks, end time, and runtime, every </w:t>
      </w:r>
      <w:r>
        <w:rPr>
          <w:rFonts w:ascii="Courier New" w:hAnsi="Courier New"/>
          <w:b w:val="0"/>
          <w:i w:val="0"/>
          <w:sz w:val="20"/>
        </w:rPr>
        <w:t>target_*</w:t>
      </w:r>
      <w:r>
        <w:rPr>
          <w:rFonts w:ascii="Times New Roman" w:hAnsi="Times New Roman"/>
          <w:b w:val="0"/>
          <w:i w:val="0"/>
        </w:rPr>
        <w:t xml:space="preserve"> column, every </w:t>
      </w:r>
      <w:r>
        <w:rPr>
          <w:rFonts w:ascii="Courier New" w:hAnsi="Courier New"/>
          <w:b w:val="0"/>
          <w:i w:val="0"/>
          <w:sz w:val="20"/>
        </w:rPr>
        <w:t>rec_*</w:t>
      </w:r>
      <w:r>
        <w:rPr>
          <w:rFonts w:ascii="Times New Roman" w:hAnsi="Times New Roman"/>
          <w:b w:val="0"/>
          <w:i w:val="0"/>
        </w:rPr>
        <w:t xml:space="preserve"> baseline recommendation, and every </w:t>
      </w:r>
      <w:r>
        <w:rPr>
          <w:rFonts w:ascii="Courier New" w:hAnsi="Courier New"/>
          <w:b w:val="0"/>
          <w:i w:val="0"/>
          <w:sz w:val="20"/>
        </w:rPr>
        <w:t>uses_history_*</w:t>
      </w:r>
      <w:r>
        <w:rPr>
          <w:rFonts w:ascii="Times New Roman" w:hAnsi="Times New Roman"/>
          <w:b w:val="0"/>
          <w:i w:val="0"/>
        </w:rPr>
        <w:t xml:space="preserve"> flag, and it passes on the training, validation, and test data. Missing values are preserved; the three model families handle </w:t>
      </w:r>
      <w:r>
        <w:rPr>
          <w:rFonts w:ascii="Courier New" w:hAnsi="Courier New"/>
          <w:b w:val="0"/>
          <w:i w:val="0"/>
          <w:sz w:val="20"/>
        </w:rPr>
        <w:t>NaN</w:t>
      </w:r>
      <w:r>
        <w:rPr>
          <w:rFonts w:ascii="Times New Roman" w:hAnsi="Times New Roman"/>
          <w:b w:val="0"/>
          <w:i w:val="0"/>
        </w:rPr>
        <w:t xml:space="preserve"> natively, so there is no imputation and no learned preprocessing.</w:t>
      </w:r>
    </w:p>
    <w:p>
      <w:r>
        <w:rPr>
          <w:rFonts w:ascii="Times New Roman" w:hAnsi="Times New Roman"/>
          <w:b w:val="0"/>
          <w:i w:val="0"/>
        </w:rPr>
        <w:t xml:space="preserve">The targets are Notebook 04's </w:t>
      </w:r>
      <w:r>
        <w:rPr>
          <w:rFonts w:ascii="Courier New" w:hAnsi="Courier New"/>
          <w:b w:val="0"/>
          <w:i w:val="0"/>
          <w:sz w:val="20"/>
        </w:rPr>
        <w:t>target_cpu_next_occurrence_peak_ncu</w:t>
      </w:r>
      <w:r>
        <w:rPr>
          <w:rFonts w:ascii="Times New Roman" w:hAnsi="Times New Roman"/>
          <w:b w:val="0"/>
          <w:i w:val="0"/>
        </w:rPr>
        <w:t xml:space="preserve"> and </w:t>
      </w:r>
      <w:r>
        <w:rPr>
          <w:rFonts w:ascii="Courier New" w:hAnsi="Courier New"/>
          <w:b w:val="0"/>
          <w:i w:val="0"/>
          <w:sz w:val="20"/>
        </w:rPr>
        <w:t>target_memory_next_occurrence_peak_normalized</w:t>
      </w:r>
      <w:r>
        <w:rPr>
          <w:rFonts w:ascii="Times New Roman" w:hAnsi="Times New Roman"/>
          <w:b w:val="0"/>
          <w:i w:val="0"/>
        </w:rPr>
        <w:t xml:space="preserve">, read from </w:t>
      </w:r>
      <w:r>
        <w:rPr>
          <w:rFonts w:ascii="Courier New" w:hAnsi="Courier New"/>
          <w:b w:val="0"/>
          <w:i w:val="0"/>
          <w:sz w:val="20"/>
        </w:rPr>
        <w:t>metadata.json</w:t>
      </w:r>
      <w:r>
        <w:rPr>
          <w:rFonts w:ascii="Times New Roman" w:hAnsi="Times New Roman"/>
          <w:b w:val="0"/>
          <w:i w:val="0"/>
        </w:rPr>
        <w:t>. CPU and memory rows are built independently. Under the label-period rule, there are 1,672 CPU and 1,649 memory training rows; 338 CPU labels are excluded because their target occurrence starts after the training period. A sensitivity variant uses all 2,010 CPU and 1,983 memory training labels but is not used for any decision.</w:t>
      </w:r>
    </w:p>
    <w:p>
      <w:pPr>
        <w:pStyle w:val="Heading3"/>
      </w:pPr>
      <w:r>
        <w:t>5.3.2 Model Training and Selection</w:t>
      </w:r>
    </w:p>
    <w:p>
      <w:r>
        <w:rPr>
          <w:rFonts w:ascii="Times New Roman" w:hAnsi="Times New Roman"/>
          <w:b w:val="0"/>
          <w:i w:val="0"/>
        </w:rPr>
        <w:t>The hyperparameter grids contain 16 Decision Tree, 27 Random Forest, and 32 XGBoost combinations (</w:t>
      </w:r>
      <w:r>
        <w:rPr>
          <w:rFonts w:ascii="Courier New" w:hAnsi="Courier New"/>
          <w:b w:val="0"/>
          <w:i w:val="0"/>
          <w:sz w:val="20"/>
        </w:rPr>
        <w:t>ml_metadata.json</w:t>
      </w:r>
      <w:r>
        <w:rPr>
          <w:rFonts w:ascii="Times New Roman" w:hAnsi="Times New Roman"/>
          <w:b w:val="0"/>
          <w:i w:val="0"/>
        </w:rPr>
        <w:t xml:space="preserve">). Tuning uses five label-purged </w:t>
      </w:r>
      <w:r>
        <w:rPr>
          <w:rFonts w:ascii="Courier New" w:hAnsi="Courier New"/>
          <w:b w:val="0"/>
          <w:i w:val="0"/>
          <w:sz w:val="20"/>
        </w:rPr>
        <w:t>TimeSeriesSplit</w:t>
      </w:r>
      <w:r>
        <w:rPr>
          <w:rFonts w:ascii="Times New Roman" w:hAnsi="Times New Roman"/>
          <w:b w:val="0"/>
          <w:i w:val="0"/>
        </w:rPr>
        <w:t xml:space="preserve"> folds of the training rows; the validation split is not used during tuning. In tuning, Random Forest had the lowest mean </w:t>
      </w:r>
      <w:r>
        <w:rPr>
          <w:rFonts w:ascii="Courier New" w:hAnsi="Courier New"/>
          <w:b w:val="0"/>
          <w:i w:val="0"/>
          <w:sz w:val="20"/>
        </w:rPr>
        <w:t>log1p</w:t>
      </w:r>
      <w:r>
        <w:rPr>
          <w:rFonts w:ascii="Times New Roman" w:hAnsi="Times New Roman"/>
          <w:b w:val="0"/>
          <w:i w:val="0"/>
        </w:rPr>
        <w:t xml:space="preserve"> RMSE for both resources (CPU 0.839, memory 0.471; </w:t>
      </w:r>
      <w:r>
        <w:rPr>
          <w:rFonts w:ascii="Courier New" w:hAnsi="Courier New"/>
          <w:b w:val="0"/>
          <w:i w:val="0"/>
          <w:sz w:val="20"/>
        </w:rPr>
        <w:t>ml_cv_summary.csv</w:t>
      </w:r>
      <w:r>
        <w:rPr>
          <w:rFonts w:ascii="Times New Roman" w:hAnsi="Times New Roman"/>
          <w:b w:val="0"/>
          <w:i w:val="0"/>
        </w:rPr>
        <w:t xml:space="preserve">). </w:t>
      </w:r>
      <w:r>
        <w:rPr>
          <w:rFonts w:ascii="Courier New" w:hAnsi="Courier New"/>
          <w:b w:val="0"/>
          <w:i w:val="0"/>
          <w:sz w:val="20"/>
        </w:rPr>
        <w:t>GroupKFold</w:t>
      </w:r>
      <w:r>
        <w:rPr>
          <w:rFonts w:ascii="Times New Roman" w:hAnsi="Times New Roman"/>
          <w:b w:val="0"/>
          <w:i w:val="0"/>
        </w:rPr>
        <w:t xml:space="preserve"> means were close to these values (CPU 0.781, memory 0.442), but the fold-to-fold standard deviation was large (CPU 0.285, memory 0.188), so accuracy varies strongly across held-out groups of recurrences.</w:t>
      </w:r>
    </w:p>
    <w:p>
      <w:r>
        <w:rPr>
          <w:rFonts w:ascii="Times New Roman" w:hAnsi="Times New Roman"/>
          <w:b w:val="0"/>
          <w:i w:val="0"/>
        </w:rPr>
        <w:t xml:space="preserve">Applying the pre-declared validation rule, Notebook 05 selected </w:t>
      </w:r>
      <w:r>
        <w:rPr>
          <w:rFonts w:ascii="Times New Roman" w:hAnsi="Times New Roman"/>
          <w:b/>
          <w:i w:val="0"/>
        </w:rPr>
        <w:t>Random Forest for both CPU and memory</w:t>
      </w:r>
      <w:r>
        <w:rPr>
          <w:rFonts w:ascii="Times New Roman" w:hAnsi="Times New Roman"/>
          <w:b w:val="0"/>
          <w:i w:val="0"/>
        </w:rPr>
        <w:t xml:space="preserve">. The locked hyperparameters are 300 trees, </w:t>
      </w:r>
      <w:r>
        <w:rPr>
          <w:rFonts w:ascii="Courier New" w:hAnsi="Courier New"/>
          <w:b w:val="0"/>
          <w:i w:val="0"/>
          <w:sz w:val="20"/>
        </w:rPr>
        <w:t>max_features = "sqrt"</w:t>
      </w:r>
      <w:r>
        <w:rPr>
          <w:rFonts w:ascii="Times New Roman" w:hAnsi="Times New Roman"/>
          <w:b w:val="0"/>
          <w:i w:val="0"/>
        </w:rPr>
        <w:t xml:space="preserve">, </w:t>
      </w:r>
      <w:r>
        <w:rPr>
          <w:rFonts w:ascii="Courier New" w:hAnsi="Courier New"/>
          <w:b w:val="0"/>
          <w:i w:val="0"/>
          <w:sz w:val="20"/>
        </w:rPr>
        <w:t>min_samples_leaf = 10</w:t>
      </w:r>
      <w:r>
        <w:rPr>
          <w:rFonts w:ascii="Times New Roman" w:hAnsi="Times New Roman"/>
          <w:b w:val="0"/>
          <w:i w:val="0"/>
        </w:rPr>
        <w:t xml:space="preserve">, and </w:t>
      </w:r>
      <w:r>
        <w:rPr>
          <w:rFonts w:ascii="Courier New" w:hAnsi="Courier New"/>
          <w:b w:val="0"/>
          <w:i w:val="0"/>
          <w:sz w:val="20"/>
        </w:rPr>
        <w:t>max_depth</w:t>
      </w:r>
      <w:r>
        <w:rPr>
          <w:rFonts w:ascii="Times New Roman" w:hAnsi="Times New Roman"/>
          <w:b w:val="0"/>
          <w:i w:val="0"/>
        </w:rPr>
        <w:t xml:space="preserve"> 10 for CPU and 6 for memory. The locked models were refit on training plus validation rows whose target occurrence starts no later than the end of validation: 2,108 CPU rows and 2,082 memory rows. They then predicted all 731 test occurrences. The test prediction file contains </w:t>
      </w:r>
      <w:r>
        <w:rPr>
          <w:rFonts w:ascii="Courier New" w:hAnsi="Courier New"/>
          <w:b w:val="0"/>
          <w:i w:val="0"/>
          <w:sz w:val="20"/>
        </w:rPr>
        <w:t>ml_pred_cpu</w:t>
      </w:r>
      <w:r>
        <w:rPr>
          <w:rFonts w:ascii="Times New Roman" w:hAnsi="Times New Roman"/>
          <w:b w:val="0"/>
          <w:i w:val="0"/>
        </w:rPr>
        <w:t xml:space="preserve">, </w:t>
      </w:r>
      <w:r>
        <w:rPr>
          <w:rFonts w:ascii="Courier New" w:hAnsi="Courier New"/>
          <w:b w:val="0"/>
          <w:i w:val="0"/>
          <w:sz w:val="20"/>
        </w:rPr>
        <w:t>ml_pred_memory</w:t>
      </w:r>
      <w:r>
        <w:rPr>
          <w:rFonts w:ascii="Times New Roman" w:hAnsi="Times New Roman"/>
          <w:b w:val="0"/>
          <w:i w:val="0"/>
        </w:rPr>
        <w:t xml:space="preserve">, </w:t>
      </w:r>
      <w:r>
        <w:rPr>
          <w:rFonts w:ascii="Courier New" w:hAnsi="Courier New"/>
          <w:b w:val="0"/>
          <w:i w:val="0"/>
          <w:sz w:val="20"/>
        </w:rPr>
        <w:t>p95_cpu</w:t>
      </w:r>
      <w:r>
        <w:rPr>
          <w:rFonts w:ascii="Times New Roman" w:hAnsi="Times New Roman"/>
          <w:b w:val="0"/>
          <w:i w:val="0"/>
        </w:rPr>
        <w:t xml:space="preserve">, and </w:t>
      </w:r>
      <w:r>
        <w:rPr>
          <w:rFonts w:ascii="Courier New" w:hAnsi="Courier New"/>
          <w:b w:val="0"/>
          <w:i w:val="0"/>
          <w:sz w:val="20"/>
        </w:rPr>
        <w:t>p95_memory</w:t>
      </w:r>
      <w:r>
        <w:rPr>
          <w:rFonts w:ascii="Times New Roman" w:hAnsi="Times New Roman"/>
          <w:b w:val="0"/>
          <w:i w:val="0"/>
        </w:rPr>
        <w:t xml:space="preserve"> and no target column; P95 inputs are missing for 2 test occurrences per resource. No test metric was computed.</w:t>
      </w:r>
    </w:p>
    <w:p>
      <w:pPr>
        <w:pStyle w:val="Heading3"/>
      </w:pPr>
      <w:r>
        <w:t>5.3.3 Validation-Based Model Comparison</w:t>
      </w:r>
    </w:p>
    <w:p>
      <w:r>
        <w:rPr>
          <w:rFonts w:ascii="Times New Roman" w:hAnsi="Times New Roman"/>
          <w:b w:val="0"/>
          <w:i w:val="0"/>
        </w:rPr>
        <w:t>Table 5.1 compares the candidate models on the 329-occurrence common validation population. These are validation results from models trained on training-period labels; the "starting" rows use the fixed hyperparameters of an earlier subset notebook and the median reference is a constant predictor, and neither is selectable.</w:t>
      </w:r>
    </w:p>
    <w:p>
      <w:pPr>
        <w:pStyle w:val="Caption"/>
      </w:pPr>
      <w:r>
        <w:rPr>
          <w:rFonts w:ascii="Times New Roman" w:hAnsi="Times New Roman"/>
          <w:b w:val="0"/>
          <w:i/>
          <w:sz w:val="20"/>
        </w:rPr>
        <w:t xml:space="preserve">Table 5.1. Validation comparison of CPU and memory regression models (Notebook 05, PR #61, in review). Source: </w:t>
      </w:r>
      <w:r>
        <w:rPr>
          <w:rFonts w:ascii="Courier New" w:hAnsi="Courier New"/>
          <w:b w:val="0"/>
          <w:i/>
          <w:sz w:val="18"/>
        </w:rPr>
        <w:t>ml_validation_model_comparison.csv</w:t>
      </w:r>
      <w:r>
        <w:rPr>
          <w:rFonts w:ascii="Times New Roman" w:hAnsi="Times New Roman"/>
          <w:b w:val="0"/>
          <w:i/>
          <w:sz w:val="20"/>
        </w:rPr>
        <w:t xml:space="preserve">. MAE, RMSE, and R² are on the raw scale (CPU in </w:t>
      </w:r>
      <w:r>
        <w:rPr>
          <w:rFonts w:ascii="Courier New" w:hAnsi="Courier New"/>
          <w:b w:val="0"/>
          <w:i/>
          <w:sz w:val="18"/>
        </w:rPr>
        <w:t>_ncu</w:t>
      </w:r>
      <w:r>
        <w:rPr>
          <w:rFonts w:ascii="Times New Roman" w:hAnsi="Times New Roman"/>
          <w:b w:val="0"/>
          <w:i/>
          <w:sz w:val="20"/>
        </w:rPr>
        <w:t xml:space="preserve"> units, memory in normalized units); log1p metrics are on the transformed scale.</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9D9D9"/>
          </w:tcPr>
          <w:p>
            <w:pPr>
              <w:spacing w:after="0"/>
            </w:pPr>
            <w:r/>
            <w:r>
              <w:rPr>
                <w:rFonts w:ascii="Times New Roman" w:hAnsi="Times New Roman"/>
                <w:b/>
                <w:i w:val="0"/>
                <w:sz w:val="15"/>
              </w:rPr>
              <w:t>Resource</w:t>
            </w:r>
          </w:p>
        </w:tc>
        <w:tc>
          <w:tcPr>
            <w:tcW w:type="dxa" w:w="785"/>
            <w:shd w:val="clear" w:color="auto" w:fill="D9D9D9"/>
          </w:tcPr>
          <w:p>
            <w:pPr>
              <w:spacing w:after="0"/>
            </w:pPr>
            <w:r/>
            <w:r>
              <w:rPr>
                <w:rFonts w:ascii="Times New Roman" w:hAnsi="Times New Roman"/>
                <w:b/>
                <w:i w:val="0"/>
                <w:sz w:val="15"/>
              </w:rPr>
              <w:t>Variant</w:t>
            </w:r>
          </w:p>
        </w:tc>
        <w:tc>
          <w:tcPr>
            <w:tcW w:type="dxa" w:w="785"/>
            <w:shd w:val="clear" w:color="auto" w:fill="D9D9D9"/>
          </w:tcPr>
          <w:p>
            <w:pPr>
              <w:spacing w:after="0"/>
            </w:pPr>
            <w:r/>
            <w:r>
              <w:rPr>
                <w:rFonts w:ascii="Times New Roman" w:hAnsi="Times New Roman"/>
                <w:b/>
                <w:i w:val="0"/>
                <w:sz w:val="15"/>
              </w:rPr>
              <w:t>Model</w:t>
            </w:r>
          </w:p>
        </w:tc>
        <w:tc>
          <w:tcPr>
            <w:tcW w:type="dxa" w:w="785"/>
            <w:shd w:val="clear" w:color="auto" w:fill="D9D9D9"/>
          </w:tcPr>
          <w:p>
            <w:pPr>
              <w:spacing w:after="0"/>
            </w:pPr>
            <w:r/>
            <w:r>
              <w:rPr>
                <w:rFonts w:ascii="Times New Roman" w:hAnsi="Times New Roman"/>
                <w:b/>
                <w:i w:val="0"/>
                <w:sz w:val="15"/>
              </w:rPr>
              <w:t>Selectable</w:t>
            </w:r>
          </w:p>
        </w:tc>
        <w:tc>
          <w:tcPr>
            <w:tcW w:type="dxa" w:w="785"/>
            <w:shd w:val="clear" w:color="auto" w:fill="D9D9D9"/>
          </w:tcPr>
          <w:p>
            <w:pPr>
              <w:spacing w:after="0"/>
            </w:pPr>
            <w:r/>
            <w:r>
              <w:rPr>
                <w:rFonts w:ascii="Times New Roman" w:hAnsi="Times New Roman"/>
                <w:b/>
                <w:i w:val="0"/>
                <w:sz w:val="15"/>
              </w:rPr>
              <w:t>Train rows</w:t>
            </w:r>
          </w:p>
        </w:tc>
        <w:tc>
          <w:tcPr>
            <w:tcW w:type="dxa" w:w="785"/>
            <w:shd w:val="clear" w:color="auto" w:fill="D9D9D9"/>
          </w:tcPr>
          <w:p>
            <w:pPr>
              <w:spacing w:after="0"/>
            </w:pPr>
            <w:r/>
            <w:r>
              <w:rPr>
                <w:rFonts w:ascii="Times New Roman" w:hAnsi="Times New Roman"/>
                <w:b/>
                <w:i w:val="0"/>
                <w:sz w:val="15"/>
              </w:rPr>
              <w:t>Val. rows</w:t>
            </w:r>
          </w:p>
        </w:tc>
        <w:tc>
          <w:tcPr>
            <w:tcW w:type="dxa" w:w="785"/>
            <w:shd w:val="clear" w:color="auto" w:fill="D9D9D9"/>
          </w:tcPr>
          <w:p>
            <w:pPr>
              <w:spacing w:after="0"/>
            </w:pPr>
            <w:r/>
            <w:r>
              <w:rPr>
                <w:rFonts w:ascii="Times New Roman" w:hAnsi="Times New Roman"/>
                <w:b/>
                <w:i w:val="0"/>
                <w:sz w:val="15"/>
              </w:rPr>
              <w:t>MAE</w:t>
            </w:r>
          </w:p>
        </w:tc>
        <w:tc>
          <w:tcPr>
            <w:tcW w:type="dxa" w:w="785"/>
            <w:shd w:val="clear" w:color="auto" w:fill="D9D9D9"/>
          </w:tcPr>
          <w:p>
            <w:pPr>
              <w:spacing w:after="0"/>
            </w:pPr>
            <w:r/>
            <w:r>
              <w:rPr>
                <w:rFonts w:ascii="Times New Roman" w:hAnsi="Times New Roman"/>
                <w:b/>
                <w:i w:val="0"/>
                <w:sz w:val="15"/>
              </w:rPr>
              <w:t>RMSE</w:t>
            </w:r>
          </w:p>
        </w:tc>
        <w:tc>
          <w:tcPr>
            <w:tcW w:type="dxa" w:w="785"/>
            <w:shd w:val="clear" w:color="auto" w:fill="D9D9D9"/>
          </w:tcPr>
          <w:p>
            <w:pPr>
              <w:spacing w:after="0"/>
            </w:pPr>
            <w:r/>
            <w:r>
              <w:rPr>
                <w:rFonts w:ascii="Times New Roman" w:hAnsi="Times New Roman"/>
                <w:b/>
                <w:i w:val="0"/>
                <w:sz w:val="15"/>
              </w:rPr>
              <w:t>R²</w:t>
            </w:r>
          </w:p>
        </w:tc>
        <w:tc>
          <w:tcPr>
            <w:tcW w:type="dxa" w:w="785"/>
            <w:shd w:val="clear" w:color="auto" w:fill="D9D9D9"/>
          </w:tcPr>
          <w:p>
            <w:pPr>
              <w:spacing w:after="0"/>
            </w:pPr>
            <w:r/>
            <w:r>
              <w:rPr>
                <w:rFonts w:ascii="Times New Roman" w:hAnsi="Times New Roman"/>
                <w:b/>
                <w:i w:val="0"/>
                <w:sz w:val="15"/>
              </w:rPr>
              <w:t>log1p RMSE</w:t>
            </w:r>
          </w:p>
        </w:tc>
        <w:tc>
          <w:tcPr>
            <w:tcW w:type="dxa" w:w="785"/>
            <w:shd w:val="clear" w:color="auto" w:fill="D9D9D9"/>
          </w:tcPr>
          <w:p>
            <w:pPr>
              <w:spacing w:after="0"/>
            </w:pPr>
            <w:r/>
            <w:r>
              <w:rPr>
                <w:rFonts w:ascii="Times New Roman" w:hAnsi="Times New Roman"/>
                <w:b/>
                <w:i w:val="0"/>
                <w:sz w:val="15"/>
              </w:rPr>
              <w:t>log1p R²</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tuned</w:t>
            </w:r>
          </w:p>
        </w:tc>
        <w:tc>
          <w:tcPr>
            <w:tcW w:type="dxa" w:w="785"/>
          </w:tcPr>
          <w:p>
            <w:pPr>
              <w:spacing w:after="0"/>
            </w:pPr>
            <w:r/>
            <w:r>
              <w:rPr>
                <w:rFonts w:ascii="Times New Roman" w:hAnsi="Times New Roman"/>
                <w:b w:val="0"/>
                <w:i w:val="0"/>
                <w:sz w:val="15"/>
              </w:rPr>
              <w:t>Decision Tree</w:t>
            </w:r>
          </w:p>
        </w:tc>
        <w:tc>
          <w:tcPr>
            <w:tcW w:type="dxa" w:w="785"/>
          </w:tcPr>
          <w:p>
            <w:pPr>
              <w:spacing w:after="0"/>
            </w:pPr>
            <w:r/>
            <w:r>
              <w:rPr>
                <w:rFonts w:ascii="Times New Roman" w:hAnsi="Times New Roman"/>
                <w:b w:val="0"/>
                <w:i w:val="0"/>
                <w:sz w:val="15"/>
              </w:rPr>
              <w:t>yes</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2.852</w:t>
            </w:r>
          </w:p>
        </w:tc>
        <w:tc>
          <w:tcPr>
            <w:tcW w:type="dxa" w:w="785"/>
          </w:tcPr>
          <w:p>
            <w:pPr>
              <w:spacing w:after="0"/>
            </w:pPr>
            <w:r/>
            <w:r>
              <w:rPr>
                <w:rFonts w:ascii="Times New Roman" w:hAnsi="Times New Roman"/>
                <w:b w:val="0"/>
                <w:i w:val="0"/>
                <w:sz w:val="15"/>
              </w:rPr>
              <w:t>9.686</w:t>
            </w:r>
          </w:p>
        </w:tc>
        <w:tc>
          <w:tcPr>
            <w:tcW w:type="dxa" w:w="785"/>
          </w:tcPr>
          <w:p>
            <w:pPr>
              <w:spacing w:after="0"/>
            </w:pPr>
            <w:r/>
            <w:r>
              <w:rPr>
                <w:rFonts w:ascii="Times New Roman" w:hAnsi="Times New Roman"/>
                <w:b w:val="0"/>
                <w:i w:val="0"/>
                <w:sz w:val="15"/>
              </w:rPr>
              <w:t>-0.032</w:t>
            </w:r>
          </w:p>
        </w:tc>
        <w:tc>
          <w:tcPr>
            <w:tcW w:type="dxa" w:w="785"/>
          </w:tcPr>
          <w:p>
            <w:pPr>
              <w:spacing w:after="0"/>
            </w:pPr>
            <w:r/>
            <w:r>
              <w:rPr>
                <w:rFonts w:ascii="Times New Roman" w:hAnsi="Times New Roman"/>
                <w:b w:val="0"/>
                <w:i w:val="0"/>
                <w:sz w:val="15"/>
              </w:rPr>
              <w:t>0.891</w:t>
            </w:r>
          </w:p>
        </w:tc>
        <w:tc>
          <w:tcPr>
            <w:tcW w:type="dxa" w:w="785"/>
          </w:tcPr>
          <w:p>
            <w:pPr>
              <w:spacing w:after="0"/>
            </w:pPr>
            <w:r/>
            <w:r>
              <w:rPr>
                <w:rFonts w:ascii="Times New Roman" w:hAnsi="Times New Roman"/>
                <w:b w:val="0"/>
                <w:i w:val="0"/>
                <w:sz w:val="15"/>
              </w:rPr>
              <w:t>0.053</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tuned</w:t>
            </w:r>
          </w:p>
        </w:tc>
        <w:tc>
          <w:tcPr>
            <w:tcW w:type="dxa" w:w="785"/>
          </w:tcPr>
          <w:p>
            <w:pPr>
              <w:spacing w:after="0"/>
            </w:pPr>
            <w:r/>
            <w:r>
              <w:rPr>
                <w:rFonts w:ascii="Times New Roman" w:hAnsi="Times New Roman"/>
                <w:b w:val="0"/>
                <w:i w:val="0"/>
                <w:sz w:val="15"/>
              </w:rPr>
              <w:t>Random Forest</w:t>
            </w:r>
          </w:p>
        </w:tc>
        <w:tc>
          <w:tcPr>
            <w:tcW w:type="dxa" w:w="785"/>
          </w:tcPr>
          <w:p>
            <w:pPr>
              <w:spacing w:after="0"/>
            </w:pPr>
            <w:r/>
            <w:r>
              <w:rPr>
                <w:rFonts w:ascii="Times New Roman" w:hAnsi="Times New Roman"/>
                <w:b w:val="0"/>
                <w:i w:val="0"/>
                <w:sz w:val="15"/>
              </w:rPr>
              <w:t>yes</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2.824</w:t>
            </w:r>
          </w:p>
        </w:tc>
        <w:tc>
          <w:tcPr>
            <w:tcW w:type="dxa" w:w="785"/>
          </w:tcPr>
          <w:p>
            <w:pPr>
              <w:spacing w:after="0"/>
            </w:pPr>
            <w:r/>
            <w:r>
              <w:rPr>
                <w:rFonts w:ascii="Times New Roman" w:hAnsi="Times New Roman"/>
                <w:b w:val="0"/>
                <w:i w:val="0"/>
                <w:sz w:val="15"/>
              </w:rPr>
              <w:t>9.559</w:t>
            </w:r>
          </w:p>
        </w:tc>
        <w:tc>
          <w:tcPr>
            <w:tcW w:type="dxa" w:w="785"/>
          </w:tcPr>
          <w:p>
            <w:pPr>
              <w:spacing w:after="0"/>
            </w:pPr>
            <w:r/>
            <w:r>
              <w:rPr>
                <w:rFonts w:ascii="Times New Roman" w:hAnsi="Times New Roman"/>
                <w:b w:val="0"/>
                <w:i w:val="0"/>
                <w:sz w:val="15"/>
              </w:rPr>
              <w:t>-0.005</w:t>
            </w:r>
          </w:p>
        </w:tc>
        <w:tc>
          <w:tcPr>
            <w:tcW w:type="dxa" w:w="785"/>
          </w:tcPr>
          <w:p>
            <w:pPr>
              <w:spacing w:after="0"/>
            </w:pPr>
            <w:r/>
            <w:r>
              <w:rPr>
                <w:rFonts w:ascii="Times New Roman" w:hAnsi="Times New Roman"/>
                <w:b w:val="0"/>
                <w:i w:val="0"/>
                <w:sz w:val="15"/>
              </w:rPr>
              <w:t>0.850</w:t>
            </w:r>
          </w:p>
        </w:tc>
        <w:tc>
          <w:tcPr>
            <w:tcW w:type="dxa" w:w="785"/>
          </w:tcPr>
          <w:p>
            <w:pPr>
              <w:spacing w:after="0"/>
            </w:pPr>
            <w:r/>
            <w:r>
              <w:rPr>
                <w:rFonts w:ascii="Times New Roman" w:hAnsi="Times New Roman"/>
                <w:b w:val="0"/>
                <w:i w:val="0"/>
                <w:sz w:val="15"/>
              </w:rPr>
              <w:t>0.137</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tuned</w:t>
            </w:r>
          </w:p>
        </w:tc>
        <w:tc>
          <w:tcPr>
            <w:tcW w:type="dxa" w:w="785"/>
          </w:tcPr>
          <w:p>
            <w:pPr>
              <w:spacing w:after="0"/>
            </w:pPr>
            <w:r/>
            <w:r>
              <w:rPr>
                <w:rFonts w:ascii="Times New Roman" w:hAnsi="Times New Roman"/>
                <w:b w:val="0"/>
                <w:i w:val="0"/>
                <w:sz w:val="15"/>
              </w:rPr>
              <w:t>XGBoost</w:t>
            </w:r>
          </w:p>
        </w:tc>
        <w:tc>
          <w:tcPr>
            <w:tcW w:type="dxa" w:w="785"/>
          </w:tcPr>
          <w:p>
            <w:pPr>
              <w:spacing w:after="0"/>
            </w:pPr>
            <w:r/>
            <w:r>
              <w:rPr>
                <w:rFonts w:ascii="Times New Roman" w:hAnsi="Times New Roman"/>
                <w:b w:val="0"/>
                <w:i w:val="0"/>
                <w:sz w:val="15"/>
              </w:rPr>
              <w:t>yes</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2.851</w:t>
            </w:r>
          </w:p>
        </w:tc>
        <w:tc>
          <w:tcPr>
            <w:tcW w:type="dxa" w:w="785"/>
          </w:tcPr>
          <w:p>
            <w:pPr>
              <w:spacing w:after="0"/>
            </w:pPr>
            <w:r/>
            <w:r>
              <w:rPr>
                <w:rFonts w:ascii="Times New Roman" w:hAnsi="Times New Roman"/>
                <w:b w:val="0"/>
                <w:i w:val="0"/>
                <w:sz w:val="15"/>
              </w:rPr>
              <w:t>9.600</w:t>
            </w:r>
          </w:p>
        </w:tc>
        <w:tc>
          <w:tcPr>
            <w:tcW w:type="dxa" w:w="785"/>
          </w:tcPr>
          <w:p>
            <w:pPr>
              <w:spacing w:after="0"/>
            </w:pPr>
            <w:r/>
            <w:r>
              <w:rPr>
                <w:rFonts w:ascii="Times New Roman" w:hAnsi="Times New Roman"/>
                <w:b w:val="0"/>
                <w:i w:val="0"/>
                <w:sz w:val="15"/>
              </w:rPr>
              <w:t>-0.014</w:t>
            </w:r>
          </w:p>
        </w:tc>
        <w:tc>
          <w:tcPr>
            <w:tcW w:type="dxa" w:w="785"/>
          </w:tcPr>
          <w:p>
            <w:pPr>
              <w:spacing w:after="0"/>
            </w:pPr>
            <w:r/>
            <w:r>
              <w:rPr>
                <w:rFonts w:ascii="Times New Roman" w:hAnsi="Times New Roman"/>
                <w:b w:val="0"/>
                <w:i w:val="0"/>
                <w:sz w:val="15"/>
              </w:rPr>
              <w:t>0.860</w:t>
            </w:r>
          </w:p>
        </w:tc>
        <w:tc>
          <w:tcPr>
            <w:tcW w:type="dxa" w:w="785"/>
          </w:tcPr>
          <w:p>
            <w:pPr>
              <w:spacing w:after="0"/>
            </w:pPr>
            <w:r/>
            <w:r>
              <w:rPr>
                <w:rFonts w:ascii="Times New Roman" w:hAnsi="Times New Roman"/>
                <w:b w:val="0"/>
                <w:i w:val="0"/>
                <w:sz w:val="15"/>
              </w:rPr>
              <w:t>0.117</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starting</w:t>
            </w:r>
          </w:p>
        </w:tc>
        <w:tc>
          <w:tcPr>
            <w:tcW w:type="dxa" w:w="785"/>
          </w:tcPr>
          <w:p>
            <w:pPr>
              <w:spacing w:after="0"/>
            </w:pPr>
            <w:r/>
            <w:r>
              <w:rPr>
                <w:rFonts w:ascii="Times New Roman" w:hAnsi="Times New Roman"/>
                <w:b w:val="0"/>
                <w:i w:val="0"/>
                <w:sz w:val="15"/>
              </w:rPr>
              <w:t>Decision Tree</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3.017</w:t>
            </w:r>
          </w:p>
        </w:tc>
        <w:tc>
          <w:tcPr>
            <w:tcW w:type="dxa" w:w="785"/>
          </w:tcPr>
          <w:p>
            <w:pPr>
              <w:spacing w:after="0"/>
            </w:pPr>
            <w:r/>
            <w:r>
              <w:rPr>
                <w:rFonts w:ascii="Times New Roman" w:hAnsi="Times New Roman"/>
                <w:b w:val="0"/>
                <w:i w:val="0"/>
                <w:sz w:val="15"/>
              </w:rPr>
              <w:t>9.808</w:t>
            </w:r>
          </w:p>
        </w:tc>
        <w:tc>
          <w:tcPr>
            <w:tcW w:type="dxa" w:w="785"/>
          </w:tcPr>
          <w:p>
            <w:pPr>
              <w:spacing w:after="0"/>
            </w:pPr>
            <w:r/>
            <w:r>
              <w:rPr>
                <w:rFonts w:ascii="Times New Roman" w:hAnsi="Times New Roman"/>
                <w:b w:val="0"/>
                <w:i w:val="0"/>
                <w:sz w:val="15"/>
              </w:rPr>
              <w:t>-0.058</w:t>
            </w:r>
          </w:p>
        </w:tc>
        <w:tc>
          <w:tcPr>
            <w:tcW w:type="dxa" w:w="785"/>
          </w:tcPr>
          <w:p>
            <w:pPr>
              <w:spacing w:after="0"/>
            </w:pPr>
            <w:r/>
            <w:r>
              <w:rPr>
                <w:rFonts w:ascii="Times New Roman" w:hAnsi="Times New Roman"/>
                <w:b w:val="0"/>
                <w:i w:val="0"/>
                <w:sz w:val="15"/>
              </w:rPr>
              <w:t>0.981</w:t>
            </w:r>
          </w:p>
        </w:tc>
        <w:tc>
          <w:tcPr>
            <w:tcW w:type="dxa" w:w="785"/>
          </w:tcPr>
          <w:p>
            <w:pPr>
              <w:spacing w:after="0"/>
            </w:pPr>
            <w:r/>
            <w:r>
              <w:rPr>
                <w:rFonts w:ascii="Times New Roman" w:hAnsi="Times New Roman"/>
                <w:b w:val="0"/>
                <w:i w:val="0"/>
                <w:sz w:val="15"/>
              </w:rPr>
              <w:t>-0.149</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starting</w:t>
            </w:r>
          </w:p>
        </w:tc>
        <w:tc>
          <w:tcPr>
            <w:tcW w:type="dxa" w:w="785"/>
          </w:tcPr>
          <w:p>
            <w:pPr>
              <w:spacing w:after="0"/>
            </w:pPr>
            <w:r/>
            <w:r>
              <w:rPr>
                <w:rFonts w:ascii="Times New Roman" w:hAnsi="Times New Roman"/>
                <w:b w:val="0"/>
                <w:i w:val="0"/>
                <w:sz w:val="15"/>
              </w:rPr>
              <w:t>Random Forest</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2.879</w:t>
            </w:r>
          </w:p>
        </w:tc>
        <w:tc>
          <w:tcPr>
            <w:tcW w:type="dxa" w:w="785"/>
          </w:tcPr>
          <w:p>
            <w:pPr>
              <w:spacing w:after="0"/>
            </w:pPr>
            <w:r/>
            <w:r>
              <w:rPr>
                <w:rFonts w:ascii="Times New Roman" w:hAnsi="Times New Roman"/>
                <w:b w:val="0"/>
                <w:i w:val="0"/>
                <w:sz w:val="15"/>
              </w:rPr>
              <w:t>9.575</w:t>
            </w:r>
          </w:p>
        </w:tc>
        <w:tc>
          <w:tcPr>
            <w:tcW w:type="dxa" w:w="785"/>
          </w:tcPr>
          <w:p>
            <w:pPr>
              <w:spacing w:after="0"/>
            </w:pPr>
            <w:r/>
            <w:r>
              <w:rPr>
                <w:rFonts w:ascii="Times New Roman" w:hAnsi="Times New Roman"/>
                <w:b w:val="0"/>
                <w:i w:val="0"/>
                <w:sz w:val="15"/>
              </w:rPr>
              <w:t>-0.009</w:t>
            </w:r>
          </w:p>
        </w:tc>
        <w:tc>
          <w:tcPr>
            <w:tcW w:type="dxa" w:w="785"/>
          </w:tcPr>
          <w:p>
            <w:pPr>
              <w:spacing w:after="0"/>
            </w:pPr>
            <w:r/>
            <w:r>
              <w:rPr>
                <w:rFonts w:ascii="Times New Roman" w:hAnsi="Times New Roman"/>
                <w:b w:val="0"/>
                <w:i w:val="0"/>
                <w:sz w:val="15"/>
              </w:rPr>
              <w:t>0.866</w:t>
            </w:r>
          </w:p>
        </w:tc>
        <w:tc>
          <w:tcPr>
            <w:tcW w:type="dxa" w:w="785"/>
          </w:tcPr>
          <w:p>
            <w:pPr>
              <w:spacing w:after="0"/>
            </w:pPr>
            <w:r/>
            <w:r>
              <w:rPr>
                <w:rFonts w:ascii="Times New Roman" w:hAnsi="Times New Roman"/>
                <w:b w:val="0"/>
                <w:i w:val="0"/>
                <w:sz w:val="15"/>
              </w:rPr>
              <w:t>0.106</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starting</w:t>
            </w:r>
          </w:p>
        </w:tc>
        <w:tc>
          <w:tcPr>
            <w:tcW w:type="dxa" w:w="785"/>
          </w:tcPr>
          <w:p>
            <w:pPr>
              <w:spacing w:after="0"/>
            </w:pPr>
            <w:r/>
            <w:r>
              <w:rPr>
                <w:rFonts w:ascii="Times New Roman" w:hAnsi="Times New Roman"/>
                <w:b w:val="0"/>
                <w:i w:val="0"/>
                <w:sz w:val="15"/>
              </w:rPr>
              <w:t>XGBoost</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2.963</w:t>
            </w:r>
          </w:p>
        </w:tc>
        <w:tc>
          <w:tcPr>
            <w:tcW w:type="dxa" w:w="785"/>
          </w:tcPr>
          <w:p>
            <w:pPr>
              <w:spacing w:after="0"/>
            </w:pPr>
            <w:r/>
            <w:r>
              <w:rPr>
                <w:rFonts w:ascii="Times New Roman" w:hAnsi="Times New Roman"/>
                <w:b w:val="0"/>
                <w:i w:val="0"/>
                <w:sz w:val="15"/>
              </w:rPr>
              <w:t>9.637</w:t>
            </w:r>
          </w:p>
        </w:tc>
        <w:tc>
          <w:tcPr>
            <w:tcW w:type="dxa" w:w="785"/>
          </w:tcPr>
          <w:p>
            <w:pPr>
              <w:spacing w:after="0"/>
            </w:pPr>
            <w:r/>
            <w:r>
              <w:rPr>
                <w:rFonts w:ascii="Times New Roman" w:hAnsi="Times New Roman"/>
                <w:b w:val="0"/>
                <w:i w:val="0"/>
                <w:sz w:val="15"/>
              </w:rPr>
              <w:t>-0.022</w:t>
            </w:r>
          </w:p>
        </w:tc>
        <w:tc>
          <w:tcPr>
            <w:tcW w:type="dxa" w:w="785"/>
          </w:tcPr>
          <w:p>
            <w:pPr>
              <w:spacing w:after="0"/>
            </w:pPr>
            <w:r/>
            <w:r>
              <w:rPr>
                <w:rFonts w:ascii="Times New Roman" w:hAnsi="Times New Roman"/>
                <w:b w:val="0"/>
                <w:i w:val="0"/>
                <w:sz w:val="15"/>
              </w:rPr>
              <w:t>0.905</w:t>
            </w:r>
          </w:p>
        </w:tc>
        <w:tc>
          <w:tcPr>
            <w:tcW w:type="dxa" w:w="785"/>
          </w:tcPr>
          <w:p>
            <w:pPr>
              <w:spacing w:after="0"/>
            </w:pPr>
            <w:r/>
            <w:r>
              <w:rPr>
                <w:rFonts w:ascii="Times New Roman" w:hAnsi="Times New Roman"/>
                <w:b w:val="0"/>
                <w:i w:val="0"/>
                <w:sz w:val="15"/>
              </w:rPr>
              <w:t>0.022</w:t>
            </w:r>
          </w:p>
        </w:tc>
      </w:tr>
      <w:tr>
        <w:tc>
          <w:tcPr>
            <w:tcW w:type="dxa" w:w="785"/>
          </w:tcPr>
          <w:p>
            <w:pPr>
              <w:spacing w:after="0"/>
            </w:pPr>
            <w:r/>
            <w:r>
              <w:rPr>
                <w:rFonts w:ascii="Times New Roman" w:hAnsi="Times New Roman"/>
                <w:b w:val="0"/>
                <w:i w:val="0"/>
                <w:sz w:val="15"/>
              </w:rPr>
              <w:t>CPU</w:t>
            </w:r>
          </w:p>
        </w:tc>
        <w:tc>
          <w:tcPr>
            <w:tcW w:type="dxa" w:w="785"/>
          </w:tcPr>
          <w:p>
            <w:pPr>
              <w:spacing w:after="0"/>
            </w:pPr>
            <w:r/>
            <w:r>
              <w:rPr>
                <w:rFonts w:ascii="Times New Roman" w:hAnsi="Times New Roman"/>
                <w:b w:val="0"/>
                <w:i w:val="0"/>
                <w:sz w:val="15"/>
              </w:rPr>
              <w:t>reference</w:t>
            </w:r>
          </w:p>
        </w:tc>
        <w:tc>
          <w:tcPr>
            <w:tcW w:type="dxa" w:w="785"/>
          </w:tcPr>
          <w:p>
            <w:pPr>
              <w:spacing w:after="0"/>
            </w:pPr>
            <w:r/>
            <w:r>
              <w:rPr>
                <w:rFonts w:ascii="Times New Roman" w:hAnsi="Times New Roman"/>
                <w:b w:val="0"/>
                <w:i w:val="0"/>
                <w:sz w:val="15"/>
              </w:rPr>
              <w:t>Median reference</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1672</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2.756</w:t>
            </w:r>
          </w:p>
        </w:tc>
        <w:tc>
          <w:tcPr>
            <w:tcW w:type="dxa" w:w="785"/>
          </w:tcPr>
          <w:p>
            <w:pPr>
              <w:spacing w:after="0"/>
            </w:pPr>
            <w:r/>
            <w:r>
              <w:rPr>
                <w:rFonts w:ascii="Times New Roman" w:hAnsi="Times New Roman"/>
                <w:b w:val="0"/>
                <w:i w:val="0"/>
                <w:sz w:val="15"/>
              </w:rPr>
              <w:t>9.914</w:t>
            </w:r>
          </w:p>
        </w:tc>
        <w:tc>
          <w:tcPr>
            <w:tcW w:type="dxa" w:w="785"/>
          </w:tcPr>
          <w:p>
            <w:pPr>
              <w:spacing w:after="0"/>
            </w:pPr>
            <w:r/>
            <w:r>
              <w:rPr>
                <w:rFonts w:ascii="Times New Roman" w:hAnsi="Times New Roman"/>
                <w:b w:val="0"/>
                <w:i w:val="0"/>
                <w:sz w:val="15"/>
              </w:rPr>
              <w:t>-0.081</w:t>
            </w:r>
          </w:p>
        </w:tc>
        <w:tc>
          <w:tcPr>
            <w:tcW w:type="dxa" w:w="785"/>
          </w:tcPr>
          <w:p>
            <w:pPr>
              <w:spacing w:after="0"/>
            </w:pPr>
            <w:r/>
            <w:r>
              <w:rPr>
                <w:rFonts w:ascii="Times New Roman" w:hAnsi="Times New Roman"/>
                <w:b w:val="0"/>
                <w:i w:val="0"/>
                <w:sz w:val="15"/>
              </w:rPr>
              <w:t>1.048</w:t>
            </w:r>
          </w:p>
        </w:tc>
        <w:tc>
          <w:tcPr>
            <w:tcW w:type="dxa" w:w="785"/>
          </w:tcPr>
          <w:p>
            <w:pPr>
              <w:spacing w:after="0"/>
            </w:pPr>
            <w:r/>
            <w:r>
              <w:rPr>
                <w:rFonts w:ascii="Times New Roman" w:hAnsi="Times New Roman"/>
                <w:b w:val="0"/>
                <w:i w:val="0"/>
                <w:sz w:val="15"/>
              </w:rPr>
              <w:t>-0.310</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tuned</w:t>
            </w:r>
          </w:p>
        </w:tc>
        <w:tc>
          <w:tcPr>
            <w:tcW w:type="dxa" w:w="785"/>
          </w:tcPr>
          <w:p>
            <w:pPr>
              <w:spacing w:after="0"/>
            </w:pPr>
            <w:r/>
            <w:r>
              <w:rPr>
                <w:rFonts w:ascii="Times New Roman" w:hAnsi="Times New Roman"/>
                <w:b w:val="0"/>
                <w:i w:val="0"/>
                <w:sz w:val="15"/>
              </w:rPr>
              <w:t>Decision Tree</w:t>
            </w:r>
          </w:p>
        </w:tc>
        <w:tc>
          <w:tcPr>
            <w:tcW w:type="dxa" w:w="785"/>
          </w:tcPr>
          <w:p>
            <w:pPr>
              <w:spacing w:after="0"/>
            </w:pPr>
            <w:r/>
            <w:r>
              <w:rPr>
                <w:rFonts w:ascii="Times New Roman" w:hAnsi="Times New Roman"/>
                <w:b w:val="0"/>
                <w:i w:val="0"/>
                <w:sz w:val="15"/>
              </w:rPr>
              <w:t>yes</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0.488</w:t>
            </w:r>
          </w:p>
        </w:tc>
        <w:tc>
          <w:tcPr>
            <w:tcW w:type="dxa" w:w="785"/>
          </w:tcPr>
          <w:p>
            <w:pPr>
              <w:spacing w:after="0"/>
            </w:pPr>
            <w:r/>
            <w:r>
              <w:rPr>
                <w:rFonts w:ascii="Times New Roman" w:hAnsi="Times New Roman"/>
                <w:b w:val="0"/>
                <w:i w:val="0"/>
                <w:sz w:val="15"/>
              </w:rPr>
              <w:t>1.313</w:t>
            </w:r>
          </w:p>
        </w:tc>
        <w:tc>
          <w:tcPr>
            <w:tcW w:type="dxa" w:w="785"/>
          </w:tcPr>
          <w:p>
            <w:pPr>
              <w:spacing w:after="0"/>
            </w:pPr>
            <w:r/>
            <w:r>
              <w:rPr>
                <w:rFonts w:ascii="Times New Roman" w:hAnsi="Times New Roman"/>
                <w:b w:val="0"/>
                <w:i w:val="0"/>
                <w:sz w:val="15"/>
              </w:rPr>
              <w:t>0.024</w:t>
            </w:r>
          </w:p>
        </w:tc>
        <w:tc>
          <w:tcPr>
            <w:tcW w:type="dxa" w:w="785"/>
          </w:tcPr>
          <w:p>
            <w:pPr>
              <w:spacing w:after="0"/>
            </w:pPr>
            <w:r/>
            <w:r>
              <w:rPr>
                <w:rFonts w:ascii="Times New Roman" w:hAnsi="Times New Roman"/>
                <w:b w:val="0"/>
                <w:i w:val="0"/>
                <w:sz w:val="15"/>
              </w:rPr>
              <w:t>0.421</w:t>
            </w:r>
          </w:p>
        </w:tc>
        <w:tc>
          <w:tcPr>
            <w:tcW w:type="dxa" w:w="785"/>
          </w:tcPr>
          <w:p>
            <w:pPr>
              <w:spacing w:after="0"/>
            </w:pPr>
            <w:r/>
            <w:r>
              <w:rPr>
                <w:rFonts w:ascii="Times New Roman" w:hAnsi="Times New Roman"/>
                <w:b w:val="0"/>
                <w:i w:val="0"/>
                <w:sz w:val="15"/>
              </w:rPr>
              <w:t>0.033</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tuned</w:t>
            </w:r>
          </w:p>
        </w:tc>
        <w:tc>
          <w:tcPr>
            <w:tcW w:type="dxa" w:w="785"/>
          </w:tcPr>
          <w:p>
            <w:pPr>
              <w:spacing w:after="0"/>
            </w:pPr>
            <w:r/>
            <w:r>
              <w:rPr>
                <w:rFonts w:ascii="Times New Roman" w:hAnsi="Times New Roman"/>
                <w:b w:val="0"/>
                <w:i w:val="0"/>
                <w:sz w:val="15"/>
              </w:rPr>
              <w:t>Random Forest</w:t>
            </w:r>
          </w:p>
        </w:tc>
        <w:tc>
          <w:tcPr>
            <w:tcW w:type="dxa" w:w="785"/>
          </w:tcPr>
          <w:p>
            <w:pPr>
              <w:spacing w:after="0"/>
            </w:pPr>
            <w:r/>
            <w:r>
              <w:rPr>
                <w:rFonts w:ascii="Times New Roman" w:hAnsi="Times New Roman"/>
                <w:b w:val="0"/>
                <w:i w:val="0"/>
                <w:sz w:val="15"/>
              </w:rPr>
              <w:t>yes</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0.454</w:t>
            </w:r>
          </w:p>
        </w:tc>
        <w:tc>
          <w:tcPr>
            <w:tcW w:type="dxa" w:w="785"/>
          </w:tcPr>
          <w:p>
            <w:pPr>
              <w:spacing w:after="0"/>
            </w:pPr>
            <w:r/>
            <w:r>
              <w:rPr>
                <w:rFonts w:ascii="Times New Roman" w:hAnsi="Times New Roman"/>
                <w:b w:val="0"/>
                <w:i w:val="0"/>
                <w:sz w:val="15"/>
              </w:rPr>
              <w:t>1.255</w:t>
            </w:r>
          </w:p>
        </w:tc>
        <w:tc>
          <w:tcPr>
            <w:tcW w:type="dxa" w:w="785"/>
          </w:tcPr>
          <w:p>
            <w:pPr>
              <w:spacing w:after="0"/>
            </w:pPr>
            <w:r/>
            <w:r>
              <w:rPr>
                <w:rFonts w:ascii="Times New Roman" w:hAnsi="Times New Roman"/>
                <w:b w:val="0"/>
                <w:i w:val="0"/>
                <w:sz w:val="15"/>
              </w:rPr>
              <w:t>0.107</w:t>
            </w:r>
          </w:p>
        </w:tc>
        <w:tc>
          <w:tcPr>
            <w:tcW w:type="dxa" w:w="785"/>
          </w:tcPr>
          <w:p>
            <w:pPr>
              <w:spacing w:after="0"/>
            </w:pPr>
            <w:r/>
            <w:r>
              <w:rPr>
                <w:rFonts w:ascii="Times New Roman" w:hAnsi="Times New Roman"/>
                <w:b w:val="0"/>
                <w:i w:val="0"/>
                <w:sz w:val="15"/>
              </w:rPr>
              <w:t>0.387</w:t>
            </w:r>
          </w:p>
        </w:tc>
        <w:tc>
          <w:tcPr>
            <w:tcW w:type="dxa" w:w="785"/>
          </w:tcPr>
          <w:p>
            <w:pPr>
              <w:spacing w:after="0"/>
            </w:pPr>
            <w:r/>
            <w:r>
              <w:rPr>
                <w:rFonts w:ascii="Times New Roman" w:hAnsi="Times New Roman"/>
                <w:b w:val="0"/>
                <w:i w:val="0"/>
                <w:sz w:val="15"/>
              </w:rPr>
              <w:t>0.185</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tuned</w:t>
            </w:r>
          </w:p>
        </w:tc>
        <w:tc>
          <w:tcPr>
            <w:tcW w:type="dxa" w:w="785"/>
          </w:tcPr>
          <w:p>
            <w:pPr>
              <w:spacing w:after="0"/>
            </w:pPr>
            <w:r/>
            <w:r>
              <w:rPr>
                <w:rFonts w:ascii="Times New Roman" w:hAnsi="Times New Roman"/>
                <w:b w:val="0"/>
                <w:i w:val="0"/>
                <w:sz w:val="15"/>
              </w:rPr>
              <w:t>XGBoost</w:t>
            </w:r>
          </w:p>
        </w:tc>
        <w:tc>
          <w:tcPr>
            <w:tcW w:type="dxa" w:w="785"/>
          </w:tcPr>
          <w:p>
            <w:pPr>
              <w:spacing w:after="0"/>
            </w:pPr>
            <w:r/>
            <w:r>
              <w:rPr>
                <w:rFonts w:ascii="Times New Roman" w:hAnsi="Times New Roman"/>
                <w:b w:val="0"/>
                <w:i w:val="0"/>
                <w:sz w:val="15"/>
              </w:rPr>
              <w:t>yes</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0.528</w:t>
            </w:r>
          </w:p>
        </w:tc>
        <w:tc>
          <w:tcPr>
            <w:tcW w:type="dxa" w:w="785"/>
          </w:tcPr>
          <w:p>
            <w:pPr>
              <w:spacing w:after="0"/>
            </w:pPr>
            <w:r/>
            <w:r>
              <w:rPr>
                <w:rFonts w:ascii="Times New Roman" w:hAnsi="Times New Roman"/>
                <w:b w:val="0"/>
                <w:i w:val="0"/>
                <w:sz w:val="15"/>
              </w:rPr>
              <w:t>1.306</w:t>
            </w:r>
          </w:p>
        </w:tc>
        <w:tc>
          <w:tcPr>
            <w:tcW w:type="dxa" w:w="785"/>
          </w:tcPr>
          <w:p>
            <w:pPr>
              <w:spacing w:after="0"/>
            </w:pPr>
            <w:r/>
            <w:r>
              <w:rPr>
                <w:rFonts w:ascii="Times New Roman" w:hAnsi="Times New Roman"/>
                <w:b w:val="0"/>
                <w:i w:val="0"/>
                <w:sz w:val="15"/>
              </w:rPr>
              <w:t>0.034</w:t>
            </w:r>
          </w:p>
        </w:tc>
        <w:tc>
          <w:tcPr>
            <w:tcW w:type="dxa" w:w="785"/>
          </w:tcPr>
          <w:p>
            <w:pPr>
              <w:spacing w:after="0"/>
            </w:pPr>
            <w:r/>
            <w:r>
              <w:rPr>
                <w:rFonts w:ascii="Times New Roman" w:hAnsi="Times New Roman"/>
                <w:b w:val="0"/>
                <w:i w:val="0"/>
                <w:sz w:val="15"/>
              </w:rPr>
              <w:t>0.439</w:t>
            </w:r>
          </w:p>
        </w:tc>
        <w:tc>
          <w:tcPr>
            <w:tcW w:type="dxa" w:w="785"/>
          </w:tcPr>
          <w:p>
            <w:pPr>
              <w:spacing w:after="0"/>
            </w:pPr>
            <w:r/>
            <w:r>
              <w:rPr>
                <w:rFonts w:ascii="Times New Roman" w:hAnsi="Times New Roman"/>
                <w:b w:val="0"/>
                <w:i w:val="0"/>
                <w:sz w:val="15"/>
              </w:rPr>
              <w:t>-0.051</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starting</w:t>
            </w:r>
          </w:p>
        </w:tc>
        <w:tc>
          <w:tcPr>
            <w:tcW w:type="dxa" w:w="785"/>
          </w:tcPr>
          <w:p>
            <w:pPr>
              <w:spacing w:after="0"/>
            </w:pPr>
            <w:r/>
            <w:r>
              <w:rPr>
                <w:rFonts w:ascii="Times New Roman" w:hAnsi="Times New Roman"/>
                <w:b w:val="0"/>
                <w:i w:val="0"/>
                <w:sz w:val="15"/>
              </w:rPr>
              <w:t>Decision Tree</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0.656</w:t>
            </w:r>
          </w:p>
        </w:tc>
        <w:tc>
          <w:tcPr>
            <w:tcW w:type="dxa" w:w="785"/>
          </w:tcPr>
          <w:p>
            <w:pPr>
              <w:spacing w:after="0"/>
            </w:pPr>
            <w:r/>
            <w:r>
              <w:rPr>
                <w:rFonts w:ascii="Times New Roman" w:hAnsi="Times New Roman"/>
                <w:b w:val="0"/>
                <w:i w:val="0"/>
                <w:sz w:val="15"/>
              </w:rPr>
              <w:t>1.600</w:t>
            </w:r>
          </w:p>
        </w:tc>
        <w:tc>
          <w:tcPr>
            <w:tcW w:type="dxa" w:w="785"/>
          </w:tcPr>
          <w:p>
            <w:pPr>
              <w:spacing w:after="0"/>
            </w:pPr>
            <w:r/>
            <w:r>
              <w:rPr>
                <w:rFonts w:ascii="Times New Roman" w:hAnsi="Times New Roman"/>
                <w:b w:val="0"/>
                <w:i w:val="0"/>
                <w:sz w:val="15"/>
              </w:rPr>
              <w:t>-0.451</w:t>
            </w:r>
          </w:p>
        </w:tc>
        <w:tc>
          <w:tcPr>
            <w:tcW w:type="dxa" w:w="785"/>
          </w:tcPr>
          <w:p>
            <w:pPr>
              <w:spacing w:after="0"/>
            </w:pPr>
            <w:r/>
            <w:r>
              <w:rPr>
                <w:rFonts w:ascii="Times New Roman" w:hAnsi="Times New Roman"/>
                <w:b w:val="0"/>
                <w:i w:val="0"/>
                <w:sz w:val="15"/>
              </w:rPr>
              <w:t>0.539</w:t>
            </w:r>
          </w:p>
        </w:tc>
        <w:tc>
          <w:tcPr>
            <w:tcW w:type="dxa" w:w="785"/>
          </w:tcPr>
          <w:p>
            <w:pPr>
              <w:spacing w:after="0"/>
            </w:pPr>
            <w:r/>
            <w:r>
              <w:rPr>
                <w:rFonts w:ascii="Times New Roman" w:hAnsi="Times New Roman"/>
                <w:b w:val="0"/>
                <w:i w:val="0"/>
                <w:sz w:val="15"/>
              </w:rPr>
              <w:t>-0.583</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starting</w:t>
            </w:r>
          </w:p>
        </w:tc>
        <w:tc>
          <w:tcPr>
            <w:tcW w:type="dxa" w:w="785"/>
          </w:tcPr>
          <w:p>
            <w:pPr>
              <w:spacing w:after="0"/>
            </w:pPr>
            <w:r/>
            <w:r>
              <w:rPr>
                <w:rFonts w:ascii="Times New Roman" w:hAnsi="Times New Roman"/>
                <w:b w:val="0"/>
                <w:i w:val="0"/>
                <w:sz w:val="15"/>
              </w:rPr>
              <w:t>Random Forest</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0.496</w:t>
            </w:r>
          </w:p>
        </w:tc>
        <w:tc>
          <w:tcPr>
            <w:tcW w:type="dxa" w:w="785"/>
          </w:tcPr>
          <w:p>
            <w:pPr>
              <w:spacing w:after="0"/>
            </w:pPr>
            <w:r/>
            <w:r>
              <w:rPr>
                <w:rFonts w:ascii="Times New Roman" w:hAnsi="Times New Roman"/>
                <w:b w:val="0"/>
                <w:i w:val="0"/>
                <w:sz w:val="15"/>
              </w:rPr>
              <w:t>1.278</w:t>
            </w:r>
          </w:p>
        </w:tc>
        <w:tc>
          <w:tcPr>
            <w:tcW w:type="dxa" w:w="785"/>
          </w:tcPr>
          <w:p>
            <w:pPr>
              <w:spacing w:after="0"/>
            </w:pPr>
            <w:r/>
            <w:r>
              <w:rPr>
                <w:rFonts w:ascii="Times New Roman" w:hAnsi="Times New Roman"/>
                <w:b w:val="0"/>
                <w:i w:val="0"/>
                <w:sz w:val="15"/>
              </w:rPr>
              <w:t>0.075</w:t>
            </w:r>
          </w:p>
        </w:tc>
        <w:tc>
          <w:tcPr>
            <w:tcW w:type="dxa" w:w="785"/>
          </w:tcPr>
          <w:p>
            <w:pPr>
              <w:spacing w:after="0"/>
            </w:pPr>
            <w:r/>
            <w:r>
              <w:rPr>
                <w:rFonts w:ascii="Times New Roman" w:hAnsi="Times New Roman"/>
                <w:b w:val="0"/>
                <w:i w:val="0"/>
                <w:sz w:val="15"/>
              </w:rPr>
              <w:t>0.415</w:t>
            </w:r>
          </w:p>
        </w:tc>
        <w:tc>
          <w:tcPr>
            <w:tcW w:type="dxa" w:w="785"/>
          </w:tcPr>
          <w:p>
            <w:pPr>
              <w:spacing w:after="0"/>
            </w:pPr>
            <w:r/>
            <w:r>
              <w:rPr>
                <w:rFonts w:ascii="Times New Roman" w:hAnsi="Times New Roman"/>
                <w:b w:val="0"/>
                <w:i w:val="0"/>
                <w:sz w:val="15"/>
              </w:rPr>
              <w:t>0.061</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starting</w:t>
            </w:r>
          </w:p>
        </w:tc>
        <w:tc>
          <w:tcPr>
            <w:tcW w:type="dxa" w:w="785"/>
          </w:tcPr>
          <w:p>
            <w:pPr>
              <w:spacing w:after="0"/>
            </w:pPr>
            <w:r/>
            <w:r>
              <w:rPr>
                <w:rFonts w:ascii="Times New Roman" w:hAnsi="Times New Roman"/>
                <w:b w:val="0"/>
                <w:i w:val="0"/>
                <w:sz w:val="15"/>
              </w:rPr>
              <w:t>XGBoost</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0.626</w:t>
            </w:r>
          </w:p>
        </w:tc>
        <w:tc>
          <w:tcPr>
            <w:tcW w:type="dxa" w:w="785"/>
          </w:tcPr>
          <w:p>
            <w:pPr>
              <w:spacing w:after="0"/>
            </w:pPr>
            <w:r/>
            <w:r>
              <w:rPr>
                <w:rFonts w:ascii="Times New Roman" w:hAnsi="Times New Roman"/>
                <w:b w:val="0"/>
                <w:i w:val="0"/>
                <w:sz w:val="15"/>
              </w:rPr>
              <w:t>2.071</w:t>
            </w:r>
          </w:p>
        </w:tc>
        <w:tc>
          <w:tcPr>
            <w:tcW w:type="dxa" w:w="785"/>
          </w:tcPr>
          <w:p>
            <w:pPr>
              <w:spacing w:after="0"/>
            </w:pPr>
            <w:r/>
            <w:r>
              <w:rPr>
                <w:rFonts w:ascii="Times New Roman" w:hAnsi="Times New Roman"/>
                <w:b w:val="0"/>
                <w:i w:val="0"/>
                <w:sz w:val="15"/>
              </w:rPr>
              <w:t>-1.429</w:t>
            </w:r>
          </w:p>
        </w:tc>
        <w:tc>
          <w:tcPr>
            <w:tcW w:type="dxa" w:w="785"/>
          </w:tcPr>
          <w:p>
            <w:pPr>
              <w:spacing w:after="0"/>
            </w:pPr>
            <w:r/>
            <w:r>
              <w:rPr>
                <w:rFonts w:ascii="Times New Roman" w:hAnsi="Times New Roman"/>
                <w:b w:val="0"/>
                <w:i w:val="0"/>
                <w:sz w:val="15"/>
              </w:rPr>
              <w:t>0.484</w:t>
            </w:r>
          </w:p>
        </w:tc>
        <w:tc>
          <w:tcPr>
            <w:tcW w:type="dxa" w:w="785"/>
          </w:tcPr>
          <w:p>
            <w:pPr>
              <w:spacing w:after="0"/>
            </w:pPr>
            <w:r/>
            <w:r>
              <w:rPr>
                <w:rFonts w:ascii="Times New Roman" w:hAnsi="Times New Roman"/>
                <w:b w:val="0"/>
                <w:i w:val="0"/>
                <w:sz w:val="15"/>
              </w:rPr>
              <w:t>-0.277</w:t>
            </w:r>
          </w:p>
        </w:tc>
      </w:tr>
      <w:tr>
        <w:tc>
          <w:tcPr>
            <w:tcW w:type="dxa" w:w="785"/>
          </w:tcPr>
          <w:p>
            <w:pPr>
              <w:spacing w:after="0"/>
            </w:pPr>
            <w:r/>
            <w:r>
              <w:rPr>
                <w:rFonts w:ascii="Times New Roman" w:hAnsi="Times New Roman"/>
                <w:b w:val="0"/>
                <w:i w:val="0"/>
                <w:sz w:val="15"/>
              </w:rPr>
              <w:t>Memory</w:t>
            </w:r>
          </w:p>
        </w:tc>
        <w:tc>
          <w:tcPr>
            <w:tcW w:type="dxa" w:w="785"/>
          </w:tcPr>
          <w:p>
            <w:pPr>
              <w:spacing w:after="0"/>
            </w:pPr>
            <w:r/>
            <w:r>
              <w:rPr>
                <w:rFonts w:ascii="Times New Roman" w:hAnsi="Times New Roman"/>
                <w:b w:val="0"/>
                <w:i w:val="0"/>
                <w:sz w:val="15"/>
              </w:rPr>
              <w:t>reference</w:t>
            </w:r>
          </w:p>
        </w:tc>
        <w:tc>
          <w:tcPr>
            <w:tcW w:type="dxa" w:w="785"/>
          </w:tcPr>
          <w:p>
            <w:pPr>
              <w:spacing w:after="0"/>
            </w:pPr>
            <w:r/>
            <w:r>
              <w:rPr>
                <w:rFonts w:ascii="Times New Roman" w:hAnsi="Times New Roman"/>
                <w:b w:val="0"/>
                <w:i w:val="0"/>
                <w:sz w:val="15"/>
              </w:rPr>
              <w:t>Median reference</w:t>
            </w:r>
          </w:p>
        </w:tc>
        <w:tc>
          <w:tcPr>
            <w:tcW w:type="dxa" w:w="785"/>
          </w:tcPr>
          <w:p>
            <w:pPr>
              <w:spacing w:after="0"/>
            </w:pPr>
            <w:r/>
            <w:r>
              <w:rPr>
                <w:rFonts w:ascii="Times New Roman" w:hAnsi="Times New Roman"/>
                <w:b w:val="0"/>
                <w:i w:val="0"/>
                <w:sz w:val="15"/>
              </w:rPr>
              <w:t>no</w:t>
            </w:r>
          </w:p>
        </w:tc>
        <w:tc>
          <w:tcPr>
            <w:tcW w:type="dxa" w:w="785"/>
          </w:tcPr>
          <w:p>
            <w:pPr>
              <w:spacing w:after="0"/>
            </w:pPr>
            <w:r/>
            <w:r>
              <w:rPr>
                <w:rFonts w:ascii="Times New Roman" w:hAnsi="Times New Roman"/>
                <w:b w:val="0"/>
                <w:i w:val="0"/>
                <w:sz w:val="15"/>
              </w:rPr>
              <w:t>1649</w:t>
            </w:r>
          </w:p>
        </w:tc>
        <w:tc>
          <w:tcPr>
            <w:tcW w:type="dxa" w:w="785"/>
          </w:tcPr>
          <w:p>
            <w:pPr>
              <w:spacing w:after="0"/>
            </w:pPr>
            <w:r/>
            <w:r>
              <w:rPr>
                <w:rFonts w:ascii="Times New Roman" w:hAnsi="Times New Roman"/>
                <w:b w:val="0"/>
                <w:i w:val="0"/>
                <w:sz w:val="15"/>
              </w:rPr>
              <w:t>329</w:t>
            </w:r>
          </w:p>
        </w:tc>
        <w:tc>
          <w:tcPr>
            <w:tcW w:type="dxa" w:w="785"/>
          </w:tcPr>
          <w:p>
            <w:pPr>
              <w:spacing w:after="0"/>
            </w:pPr>
            <w:r/>
            <w:r>
              <w:rPr>
                <w:rFonts w:ascii="Times New Roman" w:hAnsi="Times New Roman"/>
                <w:b w:val="0"/>
                <w:i w:val="0"/>
                <w:sz w:val="15"/>
              </w:rPr>
              <w:t>0.425</w:t>
            </w:r>
          </w:p>
        </w:tc>
        <w:tc>
          <w:tcPr>
            <w:tcW w:type="dxa" w:w="785"/>
          </w:tcPr>
          <w:p>
            <w:pPr>
              <w:spacing w:after="0"/>
            </w:pPr>
            <w:r/>
            <w:r>
              <w:rPr>
                <w:rFonts w:ascii="Times New Roman" w:hAnsi="Times New Roman"/>
                <w:b w:val="0"/>
                <w:i w:val="0"/>
                <w:sz w:val="15"/>
              </w:rPr>
              <w:t>1.393</w:t>
            </w:r>
          </w:p>
        </w:tc>
        <w:tc>
          <w:tcPr>
            <w:tcW w:type="dxa" w:w="785"/>
          </w:tcPr>
          <w:p>
            <w:pPr>
              <w:spacing w:after="0"/>
            </w:pPr>
            <w:r/>
            <w:r>
              <w:rPr>
                <w:rFonts w:ascii="Times New Roman" w:hAnsi="Times New Roman"/>
                <w:b w:val="0"/>
                <w:i w:val="0"/>
                <w:sz w:val="15"/>
              </w:rPr>
              <w:t>-0.099</w:t>
            </w:r>
          </w:p>
        </w:tc>
        <w:tc>
          <w:tcPr>
            <w:tcW w:type="dxa" w:w="785"/>
          </w:tcPr>
          <w:p>
            <w:pPr>
              <w:spacing w:after="0"/>
            </w:pPr>
            <w:r/>
            <w:r>
              <w:rPr>
                <w:rFonts w:ascii="Times New Roman" w:hAnsi="Times New Roman"/>
                <w:b w:val="0"/>
                <w:i w:val="0"/>
                <w:sz w:val="15"/>
              </w:rPr>
              <w:t>0.472</w:t>
            </w:r>
          </w:p>
        </w:tc>
        <w:tc>
          <w:tcPr>
            <w:tcW w:type="dxa" w:w="785"/>
          </w:tcPr>
          <w:p>
            <w:pPr>
              <w:spacing w:after="0"/>
            </w:pPr>
            <w:r/>
            <w:r>
              <w:rPr>
                <w:rFonts w:ascii="Times New Roman" w:hAnsi="Times New Roman"/>
                <w:b w:val="0"/>
                <w:i w:val="0"/>
                <w:sz w:val="15"/>
              </w:rPr>
              <w:t>-0.215</w:t>
            </w:r>
          </w:p>
        </w:tc>
      </w:tr>
    </w:tbl>
    <w:p>
      <w:pPr>
        <w:spacing w:after="40"/>
      </w:pPr>
    </w:p>
    <w:p>
      <w:r>
        <w:rPr>
          <w:rFonts w:ascii="Times New Roman" w:hAnsi="Times New Roman"/>
          <w:b w:val="0"/>
          <w:i w:val="0"/>
        </w:rPr>
        <w:t xml:space="preserve">The selected Random Forest models have the lowest validation </w:t>
      </w:r>
      <w:r>
        <w:rPr>
          <w:rFonts w:ascii="Courier New" w:hAnsi="Courier New"/>
          <w:b w:val="0"/>
          <w:i w:val="0"/>
          <w:sz w:val="20"/>
        </w:rPr>
        <w:t>log1p</w:t>
      </w:r>
      <w:r>
        <w:rPr>
          <w:rFonts w:ascii="Times New Roman" w:hAnsi="Times New Roman"/>
          <w:b w:val="0"/>
          <w:i w:val="0"/>
        </w:rPr>
        <w:t xml:space="preserve"> RMSE for CPU (0.850) and memory (0.387). Point accuracy on the raw scale is weak: raw R² is −0.005 for CPU and 0.107 for memory, and the median reference has a lower raw MAE than every model for both resources. Because the final model was selected on the same 329 validation occurrences on which it is scored, these numbers are optimistic. The same 329 occurrences include the 104 whose targets fall in the test period (Section 6.2), so test-period outcomes also enter the ML model-selection score and Table 5.1. </w:t>
      </w:r>
      <w:r>
        <w:rPr>
          <w:rFonts w:ascii="Times New Roman" w:hAnsi="Times New Roman"/>
          <w:b/>
          <w:i w:val="0"/>
          <w:color w:val="9C0006"/>
          <w:highlight w:val="yellow"/>
        </w:rPr>
        <w:t>[TBD — rerun ML selection on the 225 pre-test-period occurrences or record the decision on target split isolation (Issue 11).]</w:t>
      </w:r>
      <w:r>
        <w:rPr>
          <w:rFonts w:ascii="Times New Roman" w:hAnsi="Times New Roman"/>
          <w:b w:val="0"/>
          <w:i w:val="0"/>
        </w:rPr>
        <w:t xml:space="preserve"> Policy-level metrics (violation, utilization, waste, shortfall) for ML-only and Hybrid have not been computed; they belong to Notebook 06. </w:t>
      </w:r>
      <w:r>
        <w:rPr>
          <w:rFonts w:ascii="Times New Roman" w:hAnsi="Times New Roman"/>
          <w:b/>
          <w:i w:val="0"/>
          <w:color w:val="9C0006"/>
          <w:highlight w:val="yellow"/>
        </w:rPr>
        <w:t>[TBD — ML-only and Hybrid validation policy comparison (Notebook 06; Issue 11).]</w:t>
      </w:r>
    </w:p>
    <w:p>
      <w:pPr>
        <w:pStyle w:val="Heading2"/>
      </w:pPr>
      <w:r>
        <w:t>5.4 Hybrid Risk-Aware Recommender</w:t>
      </w:r>
    </w:p>
    <w:p>
      <w:r>
        <w:rPr>
          <w:rFonts w:ascii="Times New Roman" w:hAnsi="Times New Roman"/>
          <w:b w:val="0"/>
          <w:i w:val="0"/>
        </w:rPr>
        <w:t xml:space="preserve">The Hybrid recommender is planned and has not been implemented. Its inputs are ready in the Notebook 05 artifacts: </w:t>
      </w:r>
      <w:r>
        <w:rPr>
          <w:rFonts w:ascii="Courier New" w:hAnsi="Courier New"/>
          <w:b w:val="0"/>
          <w:i w:val="0"/>
          <w:sz w:val="20"/>
        </w:rPr>
        <w:t>val_ml_predictions.parquet</w:t>
      </w:r>
      <w:r>
        <w:rPr>
          <w:rFonts w:ascii="Times New Roman" w:hAnsi="Times New Roman"/>
          <w:b w:val="0"/>
          <w:i w:val="0"/>
        </w:rPr>
        <w:t xml:space="preserve"> (329 rows, with ML predictions, P95 inputs, and actual values for the common validation population) and </w:t>
      </w:r>
      <w:r>
        <w:rPr>
          <w:rFonts w:ascii="Courier New" w:hAnsi="Courier New"/>
          <w:b w:val="0"/>
          <w:i w:val="0"/>
          <w:sz w:val="20"/>
        </w:rPr>
        <w:t>test_ml_predictions.parquet</w:t>
      </w:r>
      <w:r>
        <w:rPr>
          <w:rFonts w:ascii="Times New Roman" w:hAnsi="Times New Roman"/>
          <w:b w:val="0"/>
          <w:i w:val="0"/>
        </w:rPr>
        <w:t xml:space="preserve"> (731 rows, without targets). Under the team's notebook split, Notebook 06 will construct Hybrid recommendations from </w:t>
      </w:r>
      <w:r>
        <w:rPr>
          <w:rFonts w:ascii="Courier New" w:hAnsi="Courier New"/>
          <w:b w:val="0"/>
          <w:i w:val="0"/>
          <w:sz w:val="20"/>
        </w:rPr>
        <w:t>ml_pred_*</w:t>
      </w:r>
      <w:r>
        <w:rPr>
          <w:rFonts w:ascii="Times New Roman" w:hAnsi="Times New Roman"/>
          <w:b w:val="0"/>
          <w:i w:val="0"/>
        </w:rPr>
        <w:t xml:space="preserve"> and </w:t>
      </w:r>
      <w:r>
        <w:rPr>
          <w:rFonts w:ascii="Courier New" w:hAnsi="Courier New"/>
          <w:b w:val="0"/>
          <w:i w:val="0"/>
          <w:sz w:val="20"/>
        </w:rPr>
        <w:t>p95_*</w:t>
      </w:r>
      <w:r>
        <w:rPr>
          <w:rFonts w:ascii="Times New Roman" w:hAnsi="Times New Roman"/>
          <w:b w:val="0"/>
          <w:i w:val="0"/>
        </w:rPr>
        <w:t xml:space="preserve"> and compare all seven policies through the shared evaluator. </w:t>
      </w:r>
      <w:r>
        <w:rPr>
          <w:rFonts w:ascii="Times New Roman" w:hAnsi="Times New Roman"/>
          <w:b/>
          <w:i w:val="0"/>
          <w:color w:val="9C0006"/>
          <w:highlight w:val="yellow"/>
        </w:rPr>
        <w:t>[TBD — Hybrid implementation, calibrated parameters, and validation evidence (Notebook 06; New Issue 6; Issue 11).]</w:t>
      </w:r>
    </w:p>
    <w:p>
      <w:pPr>
        <w:pStyle w:val="Heading2"/>
      </w:pPr>
      <w:r>
        <w:t>5.5 Shared Metrics and Evaluation Framework</w:t>
      </w:r>
    </w:p>
    <w:p>
      <w:r>
        <w:rPr>
          <w:rFonts w:ascii="Courier New" w:hAnsi="Courier New"/>
          <w:b w:val="0"/>
          <w:i w:val="0"/>
          <w:sz w:val="20"/>
        </w:rPr>
        <w:t>src/evaluation/metrics.py</w:t>
      </w:r>
      <w:r>
        <w:rPr>
          <w:rFonts w:ascii="Times New Roman" w:hAnsi="Times New Roman"/>
          <w:b w:val="0"/>
          <w:i w:val="0"/>
        </w:rPr>
        <w:t xml:space="preserve"> implements the official formulas, and </w:t>
      </w:r>
      <w:r>
        <w:rPr>
          <w:rFonts w:ascii="Courier New" w:hAnsi="Courier New"/>
          <w:b w:val="0"/>
          <w:i w:val="0"/>
          <w:sz w:val="20"/>
        </w:rPr>
        <w:t>src/evaluation/evaluator.py</w:t>
      </w:r>
      <w:r>
        <w:rPr>
          <w:rFonts w:ascii="Times New Roman" w:hAnsi="Times New Roman"/>
          <w:b w:val="0"/>
          <w:i w:val="0"/>
        </w:rPr>
        <w:t xml:space="preserve"> implements </w:t>
      </w:r>
      <w:r>
        <w:rPr>
          <w:rFonts w:ascii="Courier New" w:hAnsi="Courier New"/>
          <w:b w:val="0"/>
          <w:i w:val="0"/>
          <w:sz w:val="20"/>
        </w:rPr>
        <w:t>RecommendationEvaluator</w:t>
      </w:r>
      <w:r>
        <w:rPr>
          <w:rFonts w:ascii="Times New Roman" w:hAnsi="Times New Roman"/>
          <w:b w:val="0"/>
          <w:i w:val="0"/>
        </w:rPr>
        <w:t xml:space="preserve">. Its </w:t>
      </w:r>
      <w:r>
        <w:rPr>
          <w:rFonts w:ascii="Courier New" w:hAnsi="Courier New"/>
          <w:b w:val="0"/>
          <w:i w:val="0"/>
          <w:sz w:val="20"/>
        </w:rPr>
        <w:t>evaluate()</w:t>
      </w:r>
      <w:r>
        <w:rPr>
          <w:rFonts w:ascii="Times New Roman" w:hAnsi="Times New Roman"/>
          <w:b w:val="0"/>
          <w:i w:val="0"/>
        </w:rPr>
        <w:t xml:space="preserve"> method takes a DataFrame and the names of the actual and recommended CPU and memory columns, checks that they exist, and returns a copy with per-row CPU, memory, and any-resource violation, bounded CPU and memory utilization, waste, and shortfall. Its </w:t>
      </w:r>
      <w:r>
        <w:rPr>
          <w:rFonts w:ascii="Courier New" w:hAnsi="Courier New"/>
          <w:b w:val="0"/>
          <w:i w:val="0"/>
          <w:sz w:val="20"/>
        </w:rPr>
        <w:t>summarize()</w:t>
      </w:r>
      <w:r>
        <w:rPr>
          <w:rFonts w:ascii="Times New Roman" w:hAnsi="Times New Roman"/>
          <w:b w:val="0"/>
          <w:i w:val="0"/>
        </w:rPr>
        <w:t xml:space="preserve"> method returns violation percentages, average utilization, waste, and shortfall, together with the valid denominator for each violation and utilization metric. Because the evaluator takes column names as arguments, it does not depend on dataset-specific identifier columns.</w:t>
      </w:r>
    </w:p>
    <w:p>
      <w:r>
        <w:rPr>
          <w:rFonts w:ascii="Times New Roman" w:hAnsi="Times New Roman"/>
          <w:b w:val="0"/>
          <w:i w:val="0"/>
        </w:rPr>
        <w:t xml:space="preserve">Notebook 04 uses the evaluator for all baseline validation comparisons. Notebook 05 uses it to re-score the Notebook 04 baselines and confirms that all five policies' validation metrics at </w:t>
      </w:r>
      <w:r>
        <w:rPr>
          <w:rFonts w:ascii="Courier New" w:hAnsi="Courier New"/>
          <w:b w:val="0"/>
          <w:i w:val="0"/>
          <w:sz w:val="20"/>
        </w:rPr>
        <w:t>min_runs = 1</w:t>
      </w:r>
      <w:r>
        <w:rPr>
          <w:rFonts w:ascii="Times New Roman" w:hAnsi="Times New Roman"/>
          <w:b w:val="0"/>
          <w:i w:val="0"/>
        </w:rPr>
        <w:t xml:space="preserve"> are reproduced exactly. The metric definitions are given in Section 6.4.</w:t>
      </w:r>
    </w:p>
    <w:p>
      <w:pPr>
        <w:pStyle w:val="Heading2"/>
      </w:pPr>
      <w:r>
        <w:t>5.6 Artifact Storage and Developer-Facing Outputs</w:t>
      </w:r>
    </w:p>
    <w:p>
      <w:r>
        <w:rPr>
          <w:rFonts w:ascii="Times New Roman" w:hAnsi="Times New Roman"/>
          <w:b w:val="0"/>
          <w:i w:val="0"/>
        </w:rPr>
        <w:t xml:space="preserve">The Google pipeline writes the following artifacts to </w:t>
      </w:r>
      <w:r>
        <w:rPr>
          <w:rFonts w:ascii="Courier New" w:hAnsi="Courier New"/>
          <w:b w:val="0"/>
          <w:i w:val="0"/>
          <w:sz w:val="20"/>
        </w:rPr>
        <w:t>data/processed/google_subset_v1/</w:t>
      </w:r>
      <w:r>
        <w:rPr>
          <w:rFonts w:ascii="Times New Roman" w:hAnsi="Times New Roman"/>
          <w:b w:val="0"/>
          <w:i w:val="0"/>
        </w:rPr>
        <w:t>:</w:t>
      </w:r>
    </w:p>
    <w:p>
      <w:pPr>
        <w:pStyle w:val="ListBullet"/>
      </w:pPr>
      <w:r>
        <w:rPr>
          <w:rFonts w:ascii="Times New Roman" w:hAnsi="Times New Roman"/>
          <w:b/>
          <w:i w:val="0"/>
        </w:rPr>
        <w:t>N01:</w:t>
      </w:r>
      <w:r>
        <w:rPr>
          <w:rFonts w:ascii="Times New Roman" w:hAnsi="Times New Roman"/>
          <w:b w:val="0"/>
          <w:i w:val="0"/>
        </w:rPr>
        <w:t xml:space="preserve"> </w:t>
      </w:r>
      <w:r>
        <w:rPr>
          <w:rFonts w:ascii="Courier New" w:hAnsi="Courier New"/>
          <w:b w:val="0"/>
          <w:i w:val="0"/>
          <w:sz w:val="20"/>
        </w:rPr>
        <w:t>google_subset_observations_v1.parquet</w:t>
      </w:r>
    </w:p>
    <w:p>
      <w:pPr>
        <w:pStyle w:val="ListBullet"/>
      </w:pPr>
      <w:r>
        <w:rPr>
          <w:rFonts w:ascii="Times New Roman" w:hAnsi="Times New Roman"/>
          <w:b/>
          <w:i w:val="0"/>
        </w:rPr>
        <w:t>N02:</w:t>
      </w:r>
      <w:r>
        <w:rPr>
          <w:rFonts w:ascii="Times New Roman" w:hAnsi="Times New Roman"/>
          <w:b w:val="0"/>
          <w:i w:val="0"/>
        </w:rPr>
        <w:t xml:space="preserve"> </w:t>
      </w:r>
      <w:r>
        <w:rPr>
          <w:rFonts w:ascii="Courier New" w:hAnsi="Courier New"/>
          <w:b w:val="0"/>
          <w:i w:val="0"/>
          <w:sz w:val="20"/>
        </w:rPr>
        <w:t>google_subset_executions_v1.parquet</w:t>
      </w:r>
      <w:r>
        <w:rPr>
          <w:rFonts w:ascii="Times New Roman" w:hAnsi="Times New Roman"/>
          <w:b w:val="0"/>
          <w:i w:val="0"/>
        </w:rPr>
        <w:t xml:space="preserve">, </w:t>
      </w:r>
      <w:r>
        <w:rPr>
          <w:rFonts w:ascii="Courier New" w:hAnsi="Courier New"/>
          <w:b w:val="0"/>
          <w:i w:val="0"/>
          <w:sz w:val="20"/>
        </w:rPr>
        <w:t>google_subset_observations_reconstructed_v1.parquet</w:t>
      </w:r>
    </w:p>
    <w:p>
      <w:pPr>
        <w:pStyle w:val="ListBullet"/>
      </w:pPr>
      <w:r>
        <w:rPr>
          <w:rFonts w:ascii="Times New Roman" w:hAnsi="Times New Roman"/>
          <w:b/>
          <w:i w:val="0"/>
        </w:rPr>
        <w:t>N03:</w:t>
      </w:r>
      <w:r>
        <w:rPr>
          <w:rFonts w:ascii="Times New Roman" w:hAnsi="Times New Roman"/>
          <w:b w:val="0"/>
          <w:i w:val="0"/>
        </w:rPr>
        <w:t xml:space="preserve"> </w:t>
      </w:r>
      <w:r>
        <w:rPr>
          <w:rFonts w:ascii="Courier New" w:hAnsi="Courier New"/>
          <w:b w:val="0"/>
          <w:i w:val="0"/>
          <w:sz w:val="20"/>
        </w:rPr>
        <w:t>job_profiles_google_subset_history_v1.parquet</w:t>
      </w:r>
      <w:r>
        <w:rPr>
          <w:rFonts w:ascii="Times New Roman" w:hAnsi="Times New Roman"/>
          <w:b w:val="0"/>
          <w:i w:val="0"/>
        </w:rPr>
        <w:t xml:space="preserve">, </w:t>
      </w:r>
      <w:r>
        <w:rPr>
          <w:rFonts w:ascii="Courier New" w:hAnsi="Courier New"/>
          <w:b w:val="0"/>
          <w:i w:val="0"/>
          <w:sz w:val="20"/>
        </w:rPr>
        <w:t>job_metrics_v0.parquet</w:t>
      </w:r>
    </w:p>
    <w:p>
      <w:pPr>
        <w:pStyle w:val="ListBullet"/>
      </w:pPr>
      <w:r>
        <w:rPr>
          <w:rFonts w:ascii="Times New Roman" w:hAnsi="Times New Roman"/>
          <w:b/>
          <w:i w:val="0"/>
        </w:rPr>
        <w:t>N04:</w:t>
      </w:r>
      <w:r>
        <w:rPr>
          <w:rFonts w:ascii="Times New Roman" w:hAnsi="Times New Roman"/>
          <w:b w:val="0"/>
          <w:i w:val="0"/>
        </w:rPr>
        <w:t xml:space="preserve"> </w:t>
      </w:r>
      <w:r>
        <w:rPr>
          <w:rFonts w:ascii="Courier New" w:hAnsi="Courier New"/>
          <w:b w:val="0"/>
          <w:i w:val="0"/>
          <w:sz w:val="20"/>
        </w:rPr>
        <w:t>{train,val,test}_occurrences.parquet</w:t>
      </w:r>
      <w:r>
        <w:rPr>
          <w:rFonts w:ascii="Times New Roman" w:hAnsi="Times New Roman"/>
          <w:b w:val="0"/>
          <w:i w:val="0"/>
        </w:rPr>
        <w:t xml:space="preserve"> (canonical), </w:t>
      </w:r>
      <w:r>
        <w:rPr>
          <w:rFonts w:ascii="Courier New" w:hAnsi="Courier New"/>
          <w:b w:val="0"/>
          <w:i w:val="0"/>
          <w:sz w:val="20"/>
        </w:rPr>
        <w:t>{train,val,test}_features.parquet</w:t>
      </w:r>
      <w:r>
        <w:rPr>
          <w:rFonts w:ascii="Times New Roman" w:hAnsi="Times New Roman"/>
          <w:b w:val="0"/>
          <w:i w:val="0"/>
        </w:rPr>
        <w:t xml:space="preserve"> (execution-row compatibility), </w:t>
      </w:r>
      <w:r>
        <w:rPr>
          <w:rFonts w:ascii="Courier New" w:hAnsi="Courier New"/>
          <w:b w:val="0"/>
          <w:i w:val="0"/>
          <w:sz w:val="20"/>
        </w:rPr>
        <w:t>baseline_validation_comparison.csv</w:t>
      </w:r>
      <w:r>
        <w:rPr>
          <w:rFonts w:ascii="Times New Roman" w:hAnsi="Times New Roman"/>
          <w:b w:val="0"/>
          <w:i w:val="0"/>
        </w:rPr>
        <w:t xml:space="preserve">, </w:t>
      </w:r>
      <w:r>
        <w:rPr>
          <w:rFonts w:ascii="Courier New" w:hAnsi="Courier New"/>
          <w:b w:val="0"/>
          <w:i w:val="0"/>
          <w:sz w:val="20"/>
        </w:rPr>
        <w:t>metadata.json</w:t>
      </w:r>
    </w:p>
    <w:p>
      <w:pPr>
        <w:pStyle w:val="ListBullet"/>
      </w:pPr>
      <w:r>
        <w:rPr>
          <w:rFonts w:ascii="Times New Roman" w:hAnsi="Times New Roman"/>
          <w:b/>
          <w:i w:val="0"/>
        </w:rPr>
        <w:t>N05 (PR #61):</w:t>
      </w:r>
      <w:r>
        <w:rPr>
          <w:rFonts w:ascii="Times New Roman" w:hAnsi="Times New Roman"/>
          <w:b w:val="0"/>
          <w:i w:val="0"/>
        </w:rPr>
        <w:t xml:space="preserve"> </w:t>
      </w:r>
      <w:r>
        <w:rPr>
          <w:rFonts w:ascii="Courier New" w:hAnsi="Courier New"/>
          <w:b w:val="0"/>
          <w:i w:val="0"/>
          <w:sz w:val="20"/>
        </w:rPr>
        <w:t>ml_feature_manifest.json</w:t>
      </w:r>
      <w:r>
        <w:rPr>
          <w:rFonts w:ascii="Times New Roman" w:hAnsi="Times New Roman"/>
          <w:b w:val="0"/>
          <w:i w:val="0"/>
        </w:rPr>
        <w:t xml:space="preserve">, </w:t>
      </w:r>
      <w:r>
        <w:rPr>
          <w:rFonts w:ascii="Courier New" w:hAnsi="Courier New"/>
          <w:b w:val="0"/>
          <w:i w:val="0"/>
          <w:sz w:val="20"/>
        </w:rPr>
        <w:t>ml_tuning_results.csv</w:t>
      </w:r>
      <w:r>
        <w:rPr>
          <w:rFonts w:ascii="Times New Roman" w:hAnsi="Times New Roman"/>
          <w:b w:val="0"/>
          <w:i w:val="0"/>
        </w:rPr>
        <w:t xml:space="preserve">, </w:t>
      </w:r>
      <w:r>
        <w:rPr>
          <w:rFonts w:ascii="Courier New" w:hAnsi="Courier New"/>
          <w:b w:val="0"/>
          <w:i w:val="0"/>
          <w:sz w:val="20"/>
        </w:rPr>
        <w:t>ml_cv_summary.csv</w:t>
      </w:r>
      <w:r>
        <w:rPr>
          <w:rFonts w:ascii="Times New Roman" w:hAnsi="Times New Roman"/>
          <w:b w:val="0"/>
          <w:i w:val="0"/>
        </w:rPr>
        <w:t xml:space="preserve">, </w:t>
      </w:r>
      <w:r>
        <w:rPr>
          <w:rFonts w:ascii="Courier New" w:hAnsi="Courier New"/>
          <w:b w:val="0"/>
          <w:i w:val="0"/>
          <w:sz w:val="20"/>
        </w:rPr>
        <w:t>ml_validation_model_comparison.csv</w:t>
      </w:r>
      <w:r>
        <w:rPr>
          <w:rFonts w:ascii="Times New Roman" w:hAnsi="Times New Roman"/>
          <w:b w:val="0"/>
          <w:i w:val="0"/>
        </w:rPr>
        <w:t xml:space="preserve">, </w:t>
      </w:r>
      <w:r>
        <w:rPr>
          <w:rFonts w:ascii="Courier New" w:hAnsi="Courier New"/>
          <w:b w:val="0"/>
          <w:i w:val="0"/>
          <w:sz w:val="20"/>
        </w:rPr>
        <w:t>val_ml_predictions.parquet</w:t>
      </w:r>
      <w:r>
        <w:rPr>
          <w:rFonts w:ascii="Times New Roman" w:hAnsi="Times New Roman"/>
          <w:b w:val="0"/>
          <w:i w:val="0"/>
        </w:rPr>
        <w:t xml:space="preserve">, </w:t>
      </w:r>
      <w:r>
        <w:rPr>
          <w:rFonts w:ascii="Courier New" w:hAnsi="Courier New"/>
          <w:b w:val="0"/>
          <w:i w:val="0"/>
          <w:sz w:val="20"/>
        </w:rPr>
        <w:t>test_ml_predictions.parquet</w:t>
      </w:r>
      <w:r>
        <w:rPr>
          <w:rFonts w:ascii="Times New Roman" w:hAnsi="Times New Roman"/>
          <w:b w:val="0"/>
          <w:i w:val="0"/>
        </w:rPr>
        <w:t xml:space="preserve">, </w:t>
      </w:r>
      <w:r>
        <w:rPr>
          <w:rFonts w:ascii="Courier New" w:hAnsi="Courier New"/>
          <w:b w:val="0"/>
          <w:i w:val="0"/>
          <w:sz w:val="20"/>
        </w:rPr>
        <w:t>ml_metadata.json</w:t>
      </w:r>
      <w:r>
        <w:rPr>
          <w:rFonts w:ascii="Times New Roman" w:hAnsi="Times New Roman"/>
          <w:b w:val="0"/>
          <w:i w:val="0"/>
        </w:rPr>
        <w:t xml:space="preserve">, </w:t>
      </w:r>
      <w:r>
        <w:rPr>
          <w:rFonts w:ascii="Courier New" w:hAnsi="Courier New"/>
          <w:b w:val="0"/>
          <w:i w:val="0"/>
          <w:sz w:val="20"/>
        </w:rPr>
        <w:t>n05_locked_models/</w:t>
      </w:r>
    </w:p>
    <w:p>
      <w:r>
        <w:rPr>
          <w:rFonts w:ascii="Times New Roman" w:hAnsi="Times New Roman"/>
          <w:b w:val="0"/>
          <w:i w:val="0"/>
        </w:rPr>
        <w:t xml:space="preserve">No developer-facing output, API, or UI exists yet. </w:t>
      </w:r>
      <w:r>
        <w:rPr>
          <w:rFonts w:ascii="Times New Roman" w:hAnsi="Times New Roman"/>
          <w:b/>
          <w:i w:val="0"/>
          <w:color w:val="9C0006"/>
          <w:highlight w:val="yellow"/>
        </w:rPr>
        <w:t>[TBD — common output contract (New Issue 5), read-only API (New Issue 7), and UI (New Issues 8 and 9).]</w:t>
      </w:r>
    </w:p>
    <w:p>
      <w:r>
        <w:br w:type="page"/>
      </w:r>
    </w:p>
    <w:p>
      <w:pPr>
        <w:pStyle w:val="Heading1"/>
      </w:pPr>
      <w:r>
        <w:t>Chapter 6. Testing and Verification</w:t>
      </w:r>
    </w:p>
    <w:p>
      <w:pPr>
        <w:pStyle w:val="Heading2"/>
      </w:pPr>
      <w:r>
        <w:t>6.1 Data and Pipeline Correctness Checks</w:t>
      </w:r>
    </w:p>
    <w:p>
      <w:r>
        <w:rPr>
          <w:rFonts w:ascii="Times New Roman" w:hAnsi="Times New Roman"/>
          <w:b w:val="0"/>
          <w:i w:val="0"/>
        </w:rPr>
        <w:t>Correctness is checked by assertions inside each notebook and by reloading saved artifacts (Notebooks 02–05; Notebook 01's output is checked when Notebook 02 loads it):</w:t>
      </w:r>
    </w:p>
    <w:p>
      <w:pPr>
        <w:pStyle w:val="ListBullet"/>
      </w:pPr>
      <w:r>
        <w:rPr>
          <w:rFonts w:ascii="Times New Roman" w:hAnsi="Times New Roman"/>
          <w:b/>
          <w:i w:val="0"/>
        </w:rPr>
        <w:t>N01:</w:t>
      </w:r>
      <w:r>
        <w:rPr>
          <w:rFonts w:ascii="Times New Roman" w:hAnsi="Times New Roman"/>
          <w:b w:val="0"/>
          <w:i w:val="0"/>
        </w:rPr>
        <w:t xml:space="preserve"> all 405,894 observation IDs are unique before saving; Notebook 02 reloads the saved file and confirms 405,894 rows and no duplicate IDs.</w:t>
      </w:r>
    </w:p>
    <w:p>
      <w:pPr>
        <w:pStyle w:val="ListBullet"/>
      </w:pPr>
      <w:r>
        <w:rPr>
          <w:rFonts w:ascii="Times New Roman" w:hAnsi="Times New Roman"/>
          <w:b/>
          <w:i w:val="0"/>
        </w:rPr>
        <w:t>N02:</w:t>
      </w:r>
      <w:r>
        <w:rPr>
          <w:rFonts w:ascii="Times New Roman" w:hAnsi="Times New Roman"/>
          <w:b w:val="0"/>
          <w:i w:val="0"/>
        </w:rPr>
        <w:t xml:space="preserve"> every observation receives an execution ID (0 missing); all 253,585 execution IDs are unique; no runtime is negative; no execution spans more than one candidate group or episode number; and the saved observation and execution files reload with matching counts.</w:t>
      </w:r>
    </w:p>
    <w:p>
      <w:pPr>
        <w:pStyle w:val="ListBullet"/>
      </w:pPr>
      <w:r>
        <w:rPr>
          <w:rFonts w:ascii="Times New Roman" w:hAnsi="Times New Roman"/>
          <w:b/>
          <w:i w:val="0"/>
        </w:rPr>
        <w:t>N03:</w:t>
      </w:r>
      <w:r>
        <w:rPr>
          <w:rFonts w:ascii="Times New Roman" w:hAnsi="Times New Roman"/>
          <w:b w:val="0"/>
          <w:i w:val="0"/>
        </w:rPr>
        <w:t xml:space="preserve"> all 405,894 observations map to an execution (0 unmatched). An independent recomputation confirms the occurrence CPU and memory peaks, runtime boundaries, and request totals for all 4,879 occurrences. The point-in-time history check recomputes 87,822 historical metrics and confirms prior-occurrence counts, resource-specific counts, statistics, and missing-value handling. Cold starts have no non-null historical statistic, and all parallel executions of an occurrence share an identical profile.</w:t>
      </w:r>
    </w:p>
    <w:p>
      <w:pPr>
        <w:pStyle w:val="ListBullet"/>
      </w:pPr>
      <w:r>
        <w:rPr>
          <w:rFonts w:ascii="Times New Roman" w:hAnsi="Times New Roman"/>
          <w:b/>
          <w:i w:val="0"/>
        </w:rPr>
        <w:t>N04:</w:t>
      </w:r>
      <w:r>
        <w:rPr>
          <w:rFonts w:ascii="Times New Roman" w:hAnsi="Times New Roman"/>
          <w:b w:val="0"/>
          <w:i w:val="0"/>
        </w:rPr>
        <w:t xml:space="preserve"> the Notebook 03 history is adopted without recomputation (aliases are verified as exact copies), and the 6,921-execution regression case keeps its full-workload CPU peak of 91.877289.</w:t>
      </w:r>
    </w:p>
    <w:p>
      <w:pPr>
        <w:pStyle w:val="Heading2"/>
      </w:pPr>
      <w:r>
        <w:t>6.2 Temporal Leakage and Split Integrity</w:t>
      </w:r>
    </w:p>
    <w:p>
      <w:r>
        <w:rPr>
          <w:rFonts w:ascii="Times New Roman" w:hAnsi="Times New Roman"/>
          <w:b w:val="0"/>
          <w:i w:val="0"/>
        </w:rPr>
        <w:t xml:space="preserve">The chronological split is implemented in </w:t>
      </w:r>
      <w:r>
        <w:rPr>
          <w:rFonts w:ascii="Courier New" w:hAnsi="Courier New"/>
          <w:b w:val="0"/>
          <w:i w:val="0"/>
          <w:sz w:val="20"/>
        </w:rPr>
        <w:t>src/features/split_utils.py</w:t>
      </w:r>
      <w:r>
        <w:rPr>
          <w:rFonts w:ascii="Times New Roman" w:hAnsi="Times New Roman"/>
          <w:b w:val="0"/>
          <w:i w:val="0"/>
        </w:rPr>
        <w:t xml:space="preserve">. It sorts rows by time and ID, places boundaries only between complete timestamp groups, and raises an error if the partitions overlap in IDs or timestamps. Notebook 04 checks that no </w:t>
      </w:r>
      <w:r>
        <w:rPr>
          <w:rFonts w:ascii="Courier New" w:hAnsi="Courier New"/>
          <w:b w:val="0"/>
          <w:i w:val="0"/>
          <w:sz w:val="20"/>
        </w:rPr>
        <w:t>occurrence_key</w:t>
      </w:r>
      <w:r>
        <w:rPr>
          <w:rFonts w:ascii="Times New Roman" w:hAnsi="Times New Roman"/>
          <w:b w:val="0"/>
          <w:i w:val="0"/>
        </w:rPr>
        <w:t xml:space="preserve"> crosses a split boundary and that every target points to a strictly later occurrence (2,010 training, 330 validation, and 259 test targets checked). Table 6.1 summarizes the split.</w:t>
      </w:r>
    </w:p>
    <w:p>
      <w:pPr>
        <w:pStyle w:val="Caption"/>
      </w:pPr>
      <w:r>
        <w:rPr>
          <w:rFonts w:ascii="Times New Roman" w:hAnsi="Times New Roman"/>
          <w:b w:val="0"/>
          <w:i/>
          <w:sz w:val="20"/>
        </w:rPr>
        <w:t xml:space="preserve">Table 6.1. Chronological split summary (Notebook 04). Execution rows and boundaries from </w:t>
      </w:r>
      <w:r>
        <w:rPr>
          <w:rFonts w:ascii="Courier New" w:hAnsi="Courier New"/>
          <w:b w:val="0"/>
          <w:i/>
          <w:sz w:val="18"/>
        </w:rPr>
        <w:t>metadata.json</w:t>
      </w:r>
      <w:r>
        <w:rPr>
          <w:rFonts w:ascii="Times New Roman" w:hAnsi="Times New Roman"/>
          <w:b w:val="0"/>
          <w:i/>
          <w:sz w:val="20"/>
        </w:rPr>
        <w:t>; occurrence and target counts from the saved occurrence artifacts. Times are the first and last occurrence start times in each split, as raw trace timestamps in seconds (microsecond timestamps divided by 10⁶).</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D9D9"/>
          </w:tcPr>
          <w:p>
            <w:pPr>
              <w:spacing w:after="0"/>
            </w:pPr>
            <w:r/>
            <w:r>
              <w:rPr>
                <w:rFonts w:ascii="Times New Roman" w:hAnsi="Times New Roman"/>
                <w:b/>
                <w:i w:val="0"/>
                <w:sz w:val="15"/>
              </w:rPr>
              <w:t>Split</w:t>
            </w:r>
          </w:p>
        </w:tc>
        <w:tc>
          <w:tcPr>
            <w:tcW w:type="dxa" w:w="960"/>
            <w:shd w:val="clear" w:color="auto" w:fill="D9D9D9"/>
          </w:tcPr>
          <w:p>
            <w:pPr>
              <w:spacing w:after="0"/>
            </w:pPr>
            <w:r/>
            <w:r>
              <w:rPr>
                <w:rFonts w:ascii="Times New Roman" w:hAnsi="Times New Roman"/>
                <w:b/>
                <w:i w:val="0"/>
                <w:sz w:val="15"/>
              </w:rPr>
              <w:t>Execution rows</w:t>
            </w:r>
          </w:p>
        </w:tc>
        <w:tc>
          <w:tcPr>
            <w:tcW w:type="dxa" w:w="960"/>
            <w:shd w:val="clear" w:color="auto" w:fill="D9D9D9"/>
          </w:tcPr>
          <w:p>
            <w:pPr>
              <w:spacing w:after="0"/>
            </w:pPr>
            <w:r/>
            <w:r>
              <w:rPr>
                <w:rFonts w:ascii="Times New Roman" w:hAnsi="Times New Roman"/>
                <w:b/>
                <w:i w:val="0"/>
                <w:sz w:val="15"/>
              </w:rPr>
              <w:t>Execution share</w:t>
            </w:r>
          </w:p>
        </w:tc>
        <w:tc>
          <w:tcPr>
            <w:tcW w:type="dxa" w:w="960"/>
            <w:shd w:val="clear" w:color="auto" w:fill="D9D9D9"/>
          </w:tcPr>
          <w:p>
            <w:pPr>
              <w:spacing w:after="0"/>
            </w:pPr>
            <w:r/>
            <w:r>
              <w:rPr>
                <w:rFonts w:ascii="Times New Roman" w:hAnsi="Times New Roman"/>
                <w:b/>
                <w:i w:val="0"/>
                <w:sz w:val="15"/>
              </w:rPr>
              <w:t>Occurrences</w:t>
            </w:r>
          </w:p>
        </w:tc>
        <w:tc>
          <w:tcPr>
            <w:tcW w:type="dxa" w:w="960"/>
            <w:shd w:val="clear" w:color="auto" w:fill="D9D9D9"/>
          </w:tcPr>
          <w:p>
            <w:pPr>
              <w:spacing w:after="0"/>
            </w:pPr>
            <w:r/>
            <w:r>
              <w:rPr>
                <w:rFonts w:ascii="Times New Roman" w:hAnsi="Times New Roman"/>
                <w:b/>
                <w:i w:val="0"/>
                <w:sz w:val="15"/>
              </w:rPr>
              <w:t>Multi-execution occurrences</w:t>
            </w:r>
          </w:p>
        </w:tc>
        <w:tc>
          <w:tcPr>
            <w:tcW w:type="dxa" w:w="960"/>
            <w:shd w:val="clear" w:color="auto" w:fill="D9D9D9"/>
          </w:tcPr>
          <w:p>
            <w:pPr>
              <w:spacing w:after="0"/>
            </w:pPr>
            <w:r/>
            <w:r>
              <w:rPr>
                <w:rFonts w:ascii="Times New Roman" w:hAnsi="Times New Roman"/>
                <w:b/>
                <w:i w:val="0"/>
                <w:sz w:val="15"/>
              </w:rPr>
              <w:t>With CPU target</w:t>
            </w:r>
          </w:p>
        </w:tc>
        <w:tc>
          <w:tcPr>
            <w:tcW w:type="dxa" w:w="960"/>
            <w:shd w:val="clear" w:color="auto" w:fill="D9D9D9"/>
          </w:tcPr>
          <w:p>
            <w:pPr>
              <w:spacing w:after="0"/>
            </w:pPr>
            <w:r/>
            <w:r>
              <w:rPr>
                <w:rFonts w:ascii="Times New Roman" w:hAnsi="Times New Roman"/>
                <w:b/>
                <w:i w:val="0"/>
                <w:sz w:val="15"/>
              </w:rPr>
              <w:t>With memory target</w:t>
            </w:r>
          </w:p>
        </w:tc>
        <w:tc>
          <w:tcPr>
            <w:tcW w:type="dxa" w:w="960"/>
            <w:shd w:val="clear" w:color="auto" w:fill="D9D9D9"/>
          </w:tcPr>
          <w:p>
            <w:pPr>
              <w:spacing w:after="0"/>
            </w:pPr>
            <w:r/>
            <w:r>
              <w:rPr>
                <w:rFonts w:ascii="Times New Roman" w:hAnsi="Times New Roman"/>
                <w:b/>
                <w:i w:val="0"/>
                <w:sz w:val="15"/>
              </w:rPr>
              <w:t>First start (s)</w:t>
            </w:r>
          </w:p>
        </w:tc>
        <w:tc>
          <w:tcPr>
            <w:tcW w:type="dxa" w:w="960"/>
            <w:shd w:val="clear" w:color="auto" w:fill="D9D9D9"/>
          </w:tcPr>
          <w:p>
            <w:pPr>
              <w:spacing w:after="0"/>
            </w:pPr>
            <w:r/>
            <w:r>
              <w:rPr>
                <w:rFonts w:ascii="Times New Roman" w:hAnsi="Times New Roman"/>
                <w:b/>
                <w:i w:val="0"/>
                <w:sz w:val="15"/>
              </w:rPr>
              <w:t>Last start (s)</w:t>
            </w:r>
          </w:p>
        </w:tc>
      </w:tr>
      <w:tr>
        <w:tc>
          <w:tcPr>
            <w:tcW w:type="dxa" w:w="960"/>
          </w:tcPr>
          <w:p>
            <w:pPr>
              <w:spacing w:after="0"/>
            </w:pPr>
            <w:r/>
            <w:r>
              <w:rPr>
                <w:rFonts w:ascii="Times New Roman" w:hAnsi="Times New Roman"/>
                <w:b w:val="0"/>
                <w:i w:val="0"/>
                <w:sz w:val="15"/>
              </w:rPr>
              <w:t>Train</w:t>
            </w:r>
          </w:p>
        </w:tc>
        <w:tc>
          <w:tcPr>
            <w:tcW w:type="dxa" w:w="960"/>
          </w:tcPr>
          <w:p>
            <w:pPr>
              <w:spacing w:after="0"/>
            </w:pPr>
            <w:r/>
            <w:r>
              <w:rPr>
                <w:rFonts w:ascii="Times New Roman" w:hAnsi="Times New Roman"/>
                <w:b w:val="0"/>
                <w:i w:val="0"/>
                <w:sz w:val="15"/>
              </w:rPr>
              <w:t>178,858</w:t>
            </w:r>
          </w:p>
        </w:tc>
        <w:tc>
          <w:tcPr>
            <w:tcW w:type="dxa" w:w="960"/>
          </w:tcPr>
          <w:p>
            <w:pPr>
              <w:spacing w:after="0"/>
            </w:pPr>
            <w:r/>
            <w:r>
              <w:rPr>
                <w:rFonts w:ascii="Times New Roman" w:hAnsi="Times New Roman"/>
                <w:b w:val="0"/>
                <w:i w:val="0"/>
                <w:sz w:val="15"/>
              </w:rPr>
              <w:t>70.5%</w:t>
            </w:r>
          </w:p>
        </w:tc>
        <w:tc>
          <w:tcPr>
            <w:tcW w:type="dxa" w:w="960"/>
          </w:tcPr>
          <w:p>
            <w:pPr>
              <w:spacing w:after="0"/>
            </w:pPr>
            <w:r/>
            <w:r>
              <w:rPr>
                <w:rFonts w:ascii="Times New Roman" w:hAnsi="Times New Roman"/>
                <w:b w:val="0"/>
                <w:i w:val="0"/>
                <w:sz w:val="15"/>
              </w:rPr>
              <w:t>3,473</w:t>
            </w:r>
          </w:p>
        </w:tc>
        <w:tc>
          <w:tcPr>
            <w:tcW w:type="dxa" w:w="960"/>
          </w:tcPr>
          <w:p>
            <w:pPr>
              <w:spacing w:after="0"/>
            </w:pPr>
            <w:r/>
            <w:r>
              <w:rPr>
                <w:rFonts w:ascii="Times New Roman" w:hAnsi="Times New Roman"/>
                <w:b w:val="0"/>
                <w:i w:val="0"/>
                <w:sz w:val="15"/>
              </w:rPr>
              <w:t>2,277</w:t>
            </w:r>
          </w:p>
        </w:tc>
        <w:tc>
          <w:tcPr>
            <w:tcW w:type="dxa" w:w="960"/>
          </w:tcPr>
          <w:p>
            <w:pPr>
              <w:spacing w:after="0"/>
            </w:pPr>
            <w:r/>
            <w:r>
              <w:rPr>
                <w:rFonts w:ascii="Times New Roman" w:hAnsi="Times New Roman"/>
                <w:b w:val="0"/>
                <w:i w:val="0"/>
                <w:sz w:val="15"/>
              </w:rPr>
              <w:t>2,010</w:t>
            </w:r>
          </w:p>
        </w:tc>
        <w:tc>
          <w:tcPr>
            <w:tcW w:type="dxa" w:w="960"/>
          </w:tcPr>
          <w:p>
            <w:pPr>
              <w:spacing w:after="0"/>
            </w:pPr>
            <w:r/>
            <w:r>
              <w:rPr>
                <w:rFonts w:ascii="Times New Roman" w:hAnsi="Times New Roman"/>
                <w:b w:val="0"/>
                <w:i w:val="0"/>
                <w:sz w:val="15"/>
              </w:rPr>
              <w:t>1,983</w:t>
            </w:r>
          </w:p>
        </w:tc>
        <w:tc>
          <w:tcPr>
            <w:tcW w:type="dxa" w:w="960"/>
          </w:tcPr>
          <w:p>
            <w:pPr>
              <w:spacing w:after="0"/>
            </w:pPr>
            <w:r/>
            <w:r>
              <w:rPr>
                <w:rFonts w:ascii="Times New Roman" w:hAnsi="Times New Roman"/>
                <w:b w:val="0"/>
                <w:i w:val="0"/>
                <w:sz w:val="15"/>
              </w:rPr>
              <w:t>300</w:t>
            </w:r>
          </w:p>
        </w:tc>
        <w:tc>
          <w:tcPr>
            <w:tcW w:type="dxa" w:w="960"/>
          </w:tcPr>
          <w:p>
            <w:pPr>
              <w:spacing w:after="0"/>
            </w:pPr>
            <w:r/>
            <w:r>
              <w:rPr>
                <w:rFonts w:ascii="Times New Roman" w:hAnsi="Times New Roman"/>
                <w:b w:val="0"/>
                <w:i w:val="0"/>
                <w:sz w:val="15"/>
              </w:rPr>
              <w:t>1,812,600</w:t>
            </w:r>
          </w:p>
        </w:tc>
      </w:tr>
      <w:tr>
        <w:tc>
          <w:tcPr>
            <w:tcW w:type="dxa" w:w="960"/>
          </w:tcPr>
          <w:p>
            <w:pPr>
              <w:spacing w:after="0"/>
            </w:pPr>
            <w:r/>
            <w:r>
              <w:rPr>
                <w:rFonts w:ascii="Times New Roman" w:hAnsi="Times New Roman"/>
                <w:b w:val="0"/>
                <w:i w:val="0"/>
                <w:sz w:val="15"/>
              </w:rPr>
              <w:t>Validation</w:t>
            </w:r>
          </w:p>
        </w:tc>
        <w:tc>
          <w:tcPr>
            <w:tcW w:type="dxa" w:w="960"/>
          </w:tcPr>
          <w:p>
            <w:pPr>
              <w:spacing w:after="0"/>
            </w:pPr>
            <w:r/>
            <w:r>
              <w:rPr>
                <w:rFonts w:ascii="Times New Roman" w:hAnsi="Times New Roman"/>
                <w:b w:val="0"/>
                <w:i w:val="0"/>
                <w:sz w:val="15"/>
              </w:rPr>
              <w:t>36,703</w:t>
            </w:r>
          </w:p>
        </w:tc>
        <w:tc>
          <w:tcPr>
            <w:tcW w:type="dxa" w:w="960"/>
          </w:tcPr>
          <w:p>
            <w:pPr>
              <w:spacing w:after="0"/>
            </w:pPr>
            <w:r/>
            <w:r>
              <w:rPr>
                <w:rFonts w:ascii="Times New Roman" w:hAnsi="Times New Roman"/>
                <w:b w:val="0"/>
                <w:i w:val="0"/>
                <w:sz w:val="15"/>
              </w:rPr>
              <w:t>14.5%</w:t>
            </w:r>
          </w:p>
        </w:tc>
        <w:tc>
          <w:tcPr>
            <w:tcW w:type="dxa" w:w="960"/>
          </w:tcPr>
          <w:p>
            <w:pPr>
              <w:spacing w:after="0"/>
            </w:pPr>
            <w:r/>
            <w:r>
              <w:rPr>
                <w:rFonts w:ascii="Times New Roman" w:hAnsi="Times New Roman"/>
                <w:b w:val="0"/>
                <w:i w:val="0"/>
                <w:sz w:val="15"/>
              </w:rPr>
              <w:t>675</w:t>
            </w:r>
          </w:p>
        </w:tc>
        <w:tc>
          <w:tcPr>
            <w:tcW w:type="dxa" w:w="960"/>
          </w:tcPr>
          <w:p>
            <w:pPr>
              <w:spacing w:after="0"/>
            </w:pPr>
            <w:r/>
            <w:r>
              <w:rPr>
                <w:rFonts w:ascii="Times New Roman" w:hAnsi="Times New Roman"/>
                <w:b w:val="0"/>
                <w:i w:val="0"/>
                <w:sz w:val="15"/>
              </w:rPr>
              <w:t>513</w:t>
            </w:r>
          </w:p>
        </w:tc>
        <w:tc>
          <w:tcPr>
            <w:tcW w:type="dxa" w:w="960"/>
          </w:tcPr>
          <w:p>
            <w:pPr>
              <w:spacing w:after="0"/>
            </w:pPr>
            <w:r/>
            <w:r>
              <w:rPr>
                <w:rFonts w:ascii="Times New Roman" w:hAnsi="Times New Roman"/>
                <w:b w:val="0"/>
                <w:i w:val="0"/>
                <w:sz w:val="15"/>
              </w:rPr>
              <w:t>330</w:t>
            </w:r>
          </w:p>
        </w:tc>
        <w:tc>
          <w:tcPr>
            <w:tcW w:type="dxa" w:w="960"/>
          </w:tcPr>
          <w:p>
            <w:pPr>
              <w:spacing w:after="0"/>
            </w:pPr>
            <w:r/>
            <w:r>
              <w:rPr>
                <w:rFonts w:ascii="Times New Roman" w:hAnsi="Times New Roman"/>
                <w:b w:val="0"/>
                <w:i w:val="0"/>
                <w:sz w:val="15"/>
              </w:rPr>
              <w:t>329</w:t>
            </w:r>
          </w:p>
        </w:tc>
        <w:tc>
          <w:tcPr>
            <w:tcW w:type="dxa" w:w="960"/>
          </w:tcPr>
          <w:p>
            <w:pPr>
              <w:spacing w:after="0"/>
            </w:pPr>
            <w:r/>
            <w:r>
              <w:rPr>
                <w:rFonts w:ascii="Times New Roman" w:hAnsi="Times New Roman"/>
                <w:b w:val="0"/>
                <w:i w:val="0"/>
                <w:sz w:val="15"/>
              </w:rPr>
              <w:t>1,813,200</w:t>
            </w:r>
          </w:p>
        </w:tc>
        <w:tc>
          <w:tcPr>
            <w:tcW w:type="dxa" w:w="960"/>
          </w:tcPr>
          <w:p>
            <w:pPr>
              <w:spacing w:after="0"/>
            </w:pPr>
            <w:r/>
            <w:r>
              <w:rPr>
                <w:rFonts w:ascii="Times New Roman" w:hAnsi="Times New Roman"/>
                <w:b w:val="0"/>
                <w:i w:val="0"/>
                <w:sz w:val="15"/>
              </w:rPr>
              <w:t>2,261,100</w:t>
            </w:r>
          </w:p>
        </w:tc>
      </w:tr>
      <w:tr>
        <w:tc>
          <w:tcPr>
            <w:tcW w:type="dxa" w:w="960"/>
          </w:tcPr>
          <w:p>
            <w:pPr>
              <w:spacing w:after="0"/>
            </w:pPr>
            <w:r/>
            <w:r>
              <w:rPr>
                <w:rFonts w:ascii="Times New Roman" w:hAnsi="Times New Roman"/>
                <w:b w:val="0"/>
                <w:i w:val="0"/>
                <w:sz w:val="15"/>
              </w:rPr>
              <w:t>Test</w:t>
            </w:r>
          </w:p>
        </w:tc>
        <w:tc>
          <w:tcPr>
            <w:tcW w:type="dxa" w:w="960"/>
          </w:tcPr>
          <w:p>
            <w:pPr>
              <w:spacing w:after="0"/>
            </w:pPr>
            <w:r/>
            <w:r>
              <w:rPr>
                <w:rFonts w:ascii="Times New Roman" w:hAnsi="Times New Roman"/>
                <w:b w:val="0"/>
                <w:i w:val="0"/>
                <w:sz w:val="15"/>
              </w:rPr>
              <w:t>38,024</w:t>
            </w:r>
          </w:p>
        </w:tc>
        <w:tc>
          <w:tcPr>
            <w:tcW w:type="dxa" w:w="960"/>
          </w:tcPr>
          <w:p>
            <w:pPr>
              <w:spacing w:after="0"/>
            </w:pPr>
            <w:r/>
            <w:r>
              <w:rPr>
                <w:rFonts w:ascii="Times New Roman" w:hAnsi="Times New Roman"/>
                <w:b w:val="0"/>
                <w:i w:val="0"/>
                <w:sz w:val="15"/>
              </w:rPr>
              <w:t>15.0%</w:t>
            </w:r>
          </w:p>
        </w:tc>
        <w:tc>
          <w:tcPr>
            <w:tcW w:type="dxa" w:w="960"/>
          </w:tcPr>
          <w:p>
            <w:pPr>
              <w:spacing w:after="0"/>
            </w:pPr>
            <w:r/>
            <w:r>
              <w:rPr>
                <w:rFonts w:ascii="Times New Roman" w:hAnsi="Times New Roman"/>
                <w:b w:val="0"/>
                <w:i w:val="0"/>
                <w:sz w:val="15"/>
              </w:rPr>
              <w:t>731</w:t>
            </w:r>
          </w:p>
        </w:tc>
        <w:tc>
          <w:tcPr>
            <w:tcW w:type="dxa" w:w="960"/>
          </w:tcPr>
          <w:p>
            <w:pPr>
              <w:spacing w:after="0"/>
            </w:pPr>
            <w:r/>
            <w:r>
              <w:rPr>
                <w:rFonts w:ascii="Times New Roman" w:hAnsi="Times New Roman"/>
                <w:b w:val="0"/>
                <w:i w:val="0"/>
                <w:sz w:val="15"/>
              </w:rPr>
              <w:t>517</w:t>
            </w:r>
          </w:p>
        </w:tc>
        <w:tc>
          <w:tcPr>
            <w:tcW w:type="dxa" w:w="960"/>
          </w:tcPr>
          <w:p>
            <w:pPr>
              <w:spacing w:after="0"/>
            </w:pPr>
            <w:r/>
            <w:r>
              <w:rPr>
                <w:rFonts w:ascii="Times New Roman" w:hAnsi="Times New Roman"/>
                <w:b w:val="0"/>
                <w:i w:val="0"/>
                <w:sz w:val="15"/>
              </w:rPr>
              <w:t>259</w:t>
            </w:r>
          </w:p>
        </w:tc>
        <w:tc>
          <w:tcPr>
            <w:tcW w:type="dxa" w:w="960"/>
          </w:tcPr>
          <w:p>
            <w:pPr>
              <w:spacing w:after="0"/>
            </w:pPr>
            <w:r/>
            <w:r>
              <w:rPr>
                <w:rFonts w:ascii="Times New Roman" w:hAnsi="Times New Roman"/>
                <w:b w:val="0"/>
                <w:i w:val="0"/>
                <w:sz w:val="15"/>
              </w:rPr>
              <w:t>259</w:t>
            </w:r>
          </w:p>
        </w:tc>
        <w:tc>
          <w:tcPr>
            <w:tcW w:type="dxa" w:w="960"/>
          </w:tcPr>
          <w:p>
            <w:pPr>
              <w:spacing w:after="0"/>
            </w:pPr>
            <w:r/>
            <w:r>
              <w:rPr>
                <w:rFonts w:ascii="Times New Roman" w:hAnsi="Times New Roman"/>
                <w:b w:val="0"/>
                <w:i w:val="0"/>
                <w:sz w:val="15"/>
              </w:rPr>
              <w:t>2,262,600</w:t>
            </w:r>
          </w:p>
        </w:tc>
        <w:tc>
          <w:tcPr>
            <w:tcW w:type="dxa" w:w="960"/>
          </w:tcPr>
          <w:p>
            <w:pPr>
              <w:spacing w:after="0"/>
            </w:pPr>
            <w:r/>
            <w:r>
              <w:rPr>
                <w:rFonts w:ascii="Times New Roman" w:hAnsi="Times New Roman"/>
                <w:b w:val="0"/>
                <w:i w:val="0"/>
                <w:sz w:val="15"/>
              </w:rPr>
              <w:t>2,678,400</w:t>
            </w:r>
          </w:p>
        </w:tc>
      </w:tr>
    </w:tbl>
    <w:p>
      <w:pPr>
        <w:spacing w:after="40"/>
      </w:pPr>
    </w:p>
    <w:p>
      <w:r>
        <w:rPr>
          <w:rFonts w:ascii="Times New Roman" w:hAnsi="Times New Roman"/>
          <w:b w:val="0"/>
          <w:i w:val="0"/>
        </w:rPr>
        <w:t>Building targets before splitting has a measurable effect on the Notebook 04 validation scores (</w:t>
      </w:r>
      <w:r>
        <w:rPr>
          <w:rFonts w:ascii="Courier New" w:hAnsi="Courier New"/>
          <w:b w:val="0"/>
          <w:i w:val="0"/>
          <w:sz w:val="20"/>
        </w:rPr>
        <w:t>docs/data/google_subset_pipeline_analysis.md</w:t>
      </w:r>
      <w:r>
        <w:rPr>
          <w:rFonts w:ascii="Times New Roman" w:hAnsi="Times New Roman"/>
          <w:b w:val="0"/>
          <w:i w:val="0"/>
        </w:rPr>
        <w:t xml:space="preserve">, findings F3–F4; reproduced for this draft). 104 of the 330 validation targets fall in the test period, and all 104 are in the 329-occurrence population on which the baselines are scored. Scored only on the 225 occurrences whose targets fall before the test period, P99 at </w:t>
      </w:r>
      <w:r>
        <w:rPr>
          <w:rFonts w:ascii="Courier New" w:hAnsi="Courier New"/>
          <w:b w:val="0"/>
          <w:i w:val="0"/>
          <w:sz w:val="20"/>
        </w:rPr>
        <w:t>min_runs = 1</w:t>
      </w:r>
      <w:r>
        <w:rPr>
          <w:rFonts w:ascii="Times New Roman" w:hAnsi="Times New Roman"/>
          <w:b w:val="0"/>
          <w:i w:val="0"/>
        </w:rPr>
        <w:t xml:space="preserve"> has an any-resource violation of 18.30%, versus 21.95% on all 329. The analysis reports that the selected policy (P99, </w:t>
      </w:r>
      <w:r>
        <w:rPr>
          <w:rFonts w:ascii="Courier New" w:hAnsi="Courier New"/>
          <w:b w:val="0"/>
          <w:i w:val="0"/>
          <w:sz w:val="20"/>
        </w:rPr>
        <w:t>min_runs = 1</w:t>
      </w:r>
      <w:r>
        <w:rPr>
          <w:rFonts w:ascii="Times New Roman" w:hAnsi="Times New Roman"/>
          <w:b w:val="0"/>
          <w:i w:val="0"/>
        </w:rPr>
        <w:t xml:space="preserve">) is unchanged on that population. Training targets cross boundaries as well: 338 point past the end of the training period. </w:t>
      </w:r>
      <w:r>
        <w:rPr>
          <w:rFonts w:ascii="Times New Roman" w:hAnsi="Times New Roman"/>
          <w:b/>
          <w:i w:val="0"/>
          <w:color w:val="9C0006"/>
          <w:highlight w:val="yellow"/>
        </w:rPr>
        <w:t>[TBD — team decision on target split isolation for Notebook 04 before the decision freeze (Issue 11).]</w:t>
      </w:r>
    </w:p>
    <w:p>
      <w:r>
        <w:rPr>
          <w:rFonts w:ascii="Times New Roman" w:hAnsi="Times New Roman"/>
          <w:b w:val="0"/>
          <w:i w:val="0"/>
        </w:rPr>
        <w:t>Three further safeguards limit leakage in the ML stage (PR #61). The label-period rule excludes training labels whose target occurrence lies in a later period (338 CPU labels at the training boundary). Tuning folds purge labels that reach into each fold's validation block. The test artifact is loaded only after the models are locked, with its target and outcome columns dropped immediately. These safeguards cover training and tuning only. ML model selection is scored on the 329-occurrence validation population, which includes the 104 test-period targets.</w:t>
      </w:r>
    </w:p>
    <w:p>
      <w:r>
        <w:rPr>
          <w:rFonts w:ascii="Times New Roman" w:hAnsi="Times New Roman"/>
          <w:b w:val="0"/>
          <w:i w:val="0"/>
        </w:rPr>
        <w:t xml:space="preserve">Note for reviewers: the introduction of Notebook 04 states that targets are built "inside each frozen split so labels never cross split boundaries," but the implemented code and </w:t>
      </w:r>
      <w:r>
        <w:rPr>
          <w:rFonts w:ascii="Courier New" w:hAnsi="Courier New"/>
          <w:b w:val="0"/>
          <w:i w:val="0"/>
          <w:sz w:val="20"/>
        </w:rPr>
        <w:t>metadata.json</w:t>
      </w:r>
      <w:r>
        <w:rPr>
          <w:rFonts w:ascii="Times New Roman" w:hAnsi="Times New Roman"/>
          <w:b w:val="0"/>
          <w:i w:val="0"/>
        </w:rPr>
        <w:t xml:space="preserve"> build targets once before splitting and allow a target to point into a later split. This draft describes the implemented behavior. </w:t>
      </w:r>
      <w:r>
        <w:rPr>
          <w:rFonts w:ascii="Times New Roman" w:hAnsi="Times New Roman"/>
          <w:b/>
          <w:i w:val="0"/>
          <w:color w:val="9C0006"/>
          <w:highlight w:val="yellow"/>
        </w:rPr>
        <w:t>[TBD — align the Notebook 04 introduction text with its implementation.]</w:t>
      </w:r>
    </w:p>
    <w:p>
      <w:pPr>
        <w:pStyle w:val="Heading2"/>
      </w:pPr>
      <w:r>
        <w:t>6.3 Model and Baseline Validation</w:t>
      </w:r>
    </w:p>
    <w:p>
      <w:r>
        <w:rPr>
          <w:rFonts w:ascii="Times New Roman" w:hAnsi="Times New Roman"/>
          <w:b w:val="0"/>
          <w:i w:val="0"/>
        </w:rPr>
        <w:t xml:space="preserve">Baseline selection uses validation only and is recorded in </w:t>
      </w:r>
      <w:r>
        <w:rPr>
          <w:rFonts w:ascii="Courier New" w:hAnsi="Courier New"/>
          <w:b w:val="0"/>
          <w:i w:val="0"/>
          <w:sz w:val="20"/>
        </w:rPr>
        <w:t>metadata.json</w:t>
      </w:r>
      <w:r>
        <w:rPr>
          <w:rFonts w:ascii="Times New Roman" w:hAnsi="Times New Roman"/>
          <w:b w:val="0"/>
          <w:i w:val="0"/>
        </w:rPr>
        <w:t xml:space="preserve"> (</w:t>
      </w:r>
      <w:r>
        <w:rPr>
          <w:rFonts w:ascii="Courier New" w:hAnsi="Courier New"/>
          <w:b w:val="0"/>
          <w:i w:val="0"/>
          <w:sz w:val="20"/>
        </w:rPr>
        <w:t>baseline_selection_scope = validation_only</w:t>
      </w:r>
      <w:r>
        <w:rPr>
          <w:rFonts w:ascii="Times New Roman" w:hAnsi="Times New Roman"/>
          <w:b w:val="0"/>
          <w:i w:val="0"/>
        </w:rPr>
        <w:t>). Notebook 05 reproduces every Notebook 04 baseline validation metric exactly, which confirms that it reads the same artifacts Notebook 04 produced.</w:t>
      </w:r>
    </w:p>
    <w:p>
      <w:r>
        <w:rPr>
          <w:rFonts w:ascii="Times New Roman" w:hAnsi="Times New Roman"/>
          <w:b w:val="0"/>
          <w:i w:val="0"/>
        </w:rPr>
        <w:t xml:space="preserve">Unit tests are run with pytest. On </w:t>
      </w:r>
      <w:r>
        <w:rPr>
          <w:rFonts w:ascii="Courier New" w:hAnsi="Courier New"/>
          <w:b w:val="0"/>
          <w:i w:val="0"/>
          <w:sz w:val="20"/>
        </w:rPr>
        <w:t>main</w:t>
      </w:r>
      <w:r>
        <w:rPr>
          <w:rFonts w:ascii="Times New Roman" w:hAnsi="Times New Roman"/>
          <w:b w:val="0"/>
          <w:i w:val="0"/>
        </w:rPr>
        <w:t xml:space="preserve"> (a0b3c77), the suite has 82 tests in eight files:</w:t>
      </w:r>
    </w:p>
    <w:p>
      <w:pPr>
        <w:pStyle w:val="ListBullet"/>
      </w:pPr>
      <w:r>
        <w:rPr>
          <w:rFonts w:ascii="Courier New" w:hAnsi="Courier New"/>
          <w:b w:val="0"/>
          <w:i w:val="0"/>
          <w:sz w:val="20"/>
        </w:rPr>
        <w:t>tests/test_evaluation.py</w:t>
      </w:r>
      <w:r>
        <w:rPr>
          <w:rFonts w:ascii="Times New Roman" w:hAnsi="Times New Roman"/>
          <w:b w:val="0"/>
          <w:i w:val="0"/>
        </w:rPr>
        <w:t xml:space="preserve"> (17) and </w:t>
      </w:r>
      <w:r>
        <w:rPr>
          <w:rFonts w:ascii="Courier New" w:hAnsi="Courier New"/>
          <w:b w:val="0"/>
          <w:i w:val="0"/>
          <w:sz w:val="20"/>
        </w:rPr>
        <w:t>tests/test_split_utils.py</w:t>
      </w:r>
      <w:r>
        <w:rPr>
          <w:rFonts w:ascii="Times New Roman" w:hAnsi="Times New Roman"/>
          <w:b w:val="0"/>
          <w:i w:val="0"/>
        </w:rPr>
        <w:t xml:space="preserve"> (7) cover bounded utilization, zero and non-finite recommendations, any-resource violation (including the unknown state), equality not counting as a violation, waste, shortfall, valid denominators, required-column checks, chronological ordering, ID disjointness, duplicate and missing-value rejection, and preservation of shared timestamps.</w:t>
      </w:r>
    </w:p>
    <w:p>
      <w:pPr>
        <w:pStyle w:val="ListBullet"/>
      </w:pPr>
      <w:r>
        <w:rPr>
          <w:rFonts w:ascii="Times New Roman" w:hAnsi="Times New Roman"/>
          <w:b w:val="0"/>
          <w:i w:val="0"/>
        </w:rPr>
        <w:t xml:space="preserve">PR #70 added 58 tests: canonical schema (14), adapter contract (10), Alibaba adapter (12), Azure VM adapter (15), external-adapter integration (2), and the Google canonical contract (5). The Google contract tests read the local Notebook 04 artifacts and metadata. On a copy of </w:t>
      </w:r>
      <w:r>
        <w:rPr>
          <w:rFonts w:ascii="Courier New" w:hAnsi="Courier New"/>
          <w:b w:val="0"/>
          <w:i w:val="0"/>
          <w:sz w:val="20"/>
        </w:rPr>
        <w:t>main</w:t>
      </w:r>
      <w:r>
        <w:rPr>
          <w:rFonts w:ascii="Times New Roman" w:hAnsi="Times New Roman"/>
          <w:b w:val="0"/>
          <w:i w:val="0"/>
        </w:rPr>
        <w:t xml:space="preserve"> without those artifacts, all 5 of them fail with missing-file errors (77 of 82 pass); they do not skip.</w:t>
      </w:r>
    </w:p>
    <w:p>
      <w:r>
        <w:rPr>
          <w:rFonts w:ascii="Times New Roman" w:hAnsi="Times New Roman"/>
          <w:b w:val="0"/>
          <w:i w:val="0"/>
        </w:rPr>
        <w:t xml:space="preserve">Run for this draft on 2026-10-16 with the local artifacts present, 81 tests passed and 1 failed. The failing test, </w:t>
      </w:r>
      <w:r>
        <w:rPr>
          <w:rFonts w:ascii="Courier New" w:hAnsi="Courier New"/>
          <w:b w:val="0"/>
          <w:i w:val="0"/>
          <w:sz w:val="20"/>
        </w:rPr>
        <w:t>test_google_train_target_nulls_are_preserved</w:t>
      </w:r>
      <w:r>
        <w:rPr>
          <w:rFonts w:ascii="Times New Roman" w:hAnsi="Times New Roman"/>
          <w:b w:val="0"/>
          <w:i w:val="0"/>
        </w:rPr>
        <w:t xml:space="preserve">, expects 1,801 missing CPU targets in the training split, which equals the number of recurrence keys in that split. The artifact has 1,463. The difference of 338 is the number of training occurrences whose next occurrence lies after the training period (Section 6.2). The test assumes that targets stay within a split, while Notebook 04 builds them before splitting. This failure is an open item. </w:t>
      </w:r>
      <w:r>
        <w:rPr>
          <w:rFonts w:ascii="Times New Roman" w:hAnsi="Times New Roman"/>
          <w:b/>
          <w:i w:val="0"/>
          <w:color w:val="9C0006"/>
          <w:highlight w:val="yellow"/>
        </w:rPr>
        <w:t>[TBD — resolve the test/implementation mismatch together with the target split-isolation decision (Issues 11 and 16).]</w:t>
      </w:r>
    </w:p>
    <w:p>
      <w:r>
        <w:rPr>
          <w:rFonts w:ascii="Times New Roman" w:hAnsi="Times New Roman"/>
          <w:b w:val="0"/>
          <w:i w:val="0"/>
        </w:rPr>
        <w:t xml:space="preserve">On the PR #61 branch (open; based on an earlier </w:t>
      </w:r>
      <w:r>
        <w:rPr>
          <w:rFonts w:ascii="Courier New" w:hAnsi="Courier New"/>
          <w:b w:val="0"/>
          <w:i w:val="0"/>
          <w:sz w:val="20"/>
        </w:rPr>
        <w:t>main</w:t>
      </w:r>
      <w:r>
        <w:rPr>
          <w:rFonts w:ascii="Times New Roman" w:hAnsi="Times New Roman"/>
          <w:b w:val="0"/>
          <w:i w:val="0"/>
        </w:rPr>
        <w:t xml:space="preserve">), </w:t>
      </w:r>
      <w:r>
        <w:rPr>
          <w:rFonts w:ascii="Courier New" w:hAnsi="Courier New"/>
          <w:b w:val="0"/>
          <w:i w:val="0"/>
          <w:sz w:val="20"/>
        </w:rPr>
        <w:t>tests/test_ml_prep.py</w:t>
      </w:r>
      <w:r>
        <w:rPr>
          <w:rFonts w:ascii="Times New Roman" w:hAnsi="Times New Roman"/>
          <w:b w:val="0"/>
          <w:i w:val="0"/>
        </w:rPr>
        <w:t xml:space="preserve"> adds tests for the feature-manifest leakage audit, missing-value preservation, the label-period rule, and purged time-series folds; the suite on that branch has 38 tests, all of which passed when run on 2026-10-15. </w:t>
      </w:r>
      <w:r>
        <w:rPr>
          <w:rFonts w:ascii="Times New Roman" w:hAnsi="Times New Roman"/>
          <w:b/>
          <w:i w:val="0"/>
          <w:color w:val="9C0006"/>
          <w:highlight w:val="yellow"/>
        </w:rPr>
        <w:t>[TBD — final test suite, clean-clone smoke test, and results (Issue 16).]</w:t>
      </w:r>
    </w:p>
    <w:p>
      <w:pPr>
        <w:pStyle w:val="Heading2"/>
      </w:pPr>
      <w:r>
        <w:t>6.4 Replay Evaluation Metrics</w:t>
      </w:r>
    </w:p>
    <w:p>
      <w:r>
        <w:rPr>
          <w:rFonts w:ascii="Times New Roman" w:hAnsi="Times New Roman"/>
          <w:b w:val="0"/>
          <w:i w:val="0"/>
        </w:rPr>
        <w:t xml:space="preserve">All metrics are computed per row by </w:t>
      </w:r>
      <w:r>
        <w:rPr>
          <w:rFonts w:ascii="Courier New" w:hAnsi="Courier New"/>
          <w:b w:val="0"/>
          <w:i w:val="0"/>
          <w:sz w:val="20"/>
        </w:rPr>
        <w:t>metrics.py</w:t>
      </w:r>
      <w:r>
        <w:rPr>
          <w:rFonts w:ascii="Times New Roman" w:hAnsi="Times New Roman"/>
          <w:b w:val="0"/>
          <w:i w:val="0"/>
        </w:rPr>
        <w:t xml:space="preserve"> and summarized by </w:t>
      </w:r>
      <w:r>
        <w:rPr>
          <w:rFonts w:ascii="Courier New" w:hAnsi="Courier New"/>
          <w:b w:val="0"/>
          <w:i w:val="0"/>
          <w:sz w:val="20"/>
        </w:rPr>
        <w:t>evaluator.py</w:t>
      </w:r>
      <w:r>
        <w:rPr>
          <w:rFonts w:ascii="Times New Roman" w:hAnsi="Times New Roman"/>
          <w:b w:val="0"/>
          <w:i w:val="0"/>
        </w:rPr>
        <w:t xml:space="preserve">. Here </w:t>
      </w:r>
      <w:r>
        <w:rPr>
          <w:rFonts w:ascii="Times New Roman" w:hAnsi="Times New Roman"/>
          <w:b w:val="0"/>
          <w:i/>
        </w:rPr>
        <w:t>a</w:t>
      </w:r>
      <w:r>
        <w:rPr>
          <w:rFonts w:ascii="Times New Roman" w:hAnsi="Times New Roman"/>
          <w:b w:val="0"/>
          <w:i w:val="0"/>
        </w:rPr>
        <w:t xml:space="preserve"> is the actual value (the next occurrence's full-workload peak) and </w:t>
      </w:r>
      <w:r>
        <w:rPr>
          <w:rFonts w:ascii="Times New Roman" w:hAnsi="Times New Roman"/>
          <w:b w:val="0"/>
          <w:i/>
        </w:rPr>
        <w:t>r</w:t>
      </w:r>
      <w:r>
        <w:rPr>
          <w:rFonts w:ascii="Times New Roman" w:hAnsi="Times New Roman"/>
          <w:b w:val="0"/>
          <w:i w:val="0"/>
        </w:rPr>
        <w:t xml:space="preserve"> is the recommendation, for CPU or memory.</w:t>
      </w:r>
    </w:p>
    <w:p>
      <w:pPr>
        <w:pStyle w:val="Heading3"/>
      </w:pPr>
      <w:r>
        <w:t>6.4.1 Violation and Utilization</w:t>
      </w:r>
    </w:p>
    <w:p>
      <w:pPr>
        <w:pStyle w:val="ListBullet"/>
      </w:pPr>
      <w:r>
        <w:rPr>
          <w:rFonts w:ascii="Times New Roman" w:hAnsi="Times New Roman"/>
          <w:b/>
          <w:i w:val="0"/>
        </w:rPr>
        <w:t>Violation:</w:t>
      </w:r>
      <w:r>
        <w:rPr>
          <w:rFonts w:ascii="Times New Roman" w:hAnsi="Times New Roman"/>
          <w:b w:val="0"/>
          <w:i w:val="0"/>
        </w:rPr>
        <w:t xml:space="preserve"> a resource is violated when </w:t>
      </w:r>
      <w:r>
        <w:rPr>
          <w:rFonts w:ascii="Times New Roman" w:hAnsi="Times New Roman"/>
          <w:b w:val="0"/>
          <w:i/>
        </w:rPr>
        <w:t>a</w:t>
      </w:r>
      <w:r>
        <w:rPr>
          <w:rFonts w:ascii="Times New Roman" w:hAnsi="Times New Roman"/>
          <w:b w:val="0"/>
          <w:i w:val="0"/>
        </w:rPr>
        <w:t xml:space="preserve"> &gt; </w:t>
      </w:r>
      <w:r>
        <w:rPr>
          <w:rFonts w:ascii="Times New Roman" w:hAnsi="Times New Roman"/>
          <w:b w:val="0"/>
          <w:i/>
        </w:rPr>
        <w:t>r</w:t>
      </w:r>
      <w:r>
        <w:rPr>
          <w:rFonts w:ascii="Times New Roman" w:hAnsi="Times New Roman"/>
          <w:b w:val="0"/>
          <w:i w:val="0"/>
        </w:rPr>
        <w:t>. Equality is not a violation.</w:t>
      </w:r>
    </w:p>
    <w:p>
      <w:pPr>
        <w:pStyle w:val="ListBullet"/>
      </w:pPr>
      <w:r>
        <w:rPr>
          <w:rFonts w:ascii="Times New Roman" w:hAnsi="Times New Roman"/>
          <w:b/>
          <w:i w:val="0"/>
        </w:rPr>
        <w:t>Any-resource violation:</w:t>
      </w:r>
      <w:r>
        <w:rPr>
          <w:rFonts w:ascii="Times New Roman" w:hAnsi="Times New Roman"/>
          <w:b w:val="0"/>
          <w:i w:val="0"/>
        </w:rPr>
        <w:t xml:space="preserve"> 1 if either resource is definitely violated; 0 if both are valid non-violations; unknown otherwise.</w:t>
      </w:r>
    </w:p>
    <w:p>
      <w:pPr>
        <w:pStyle w:val="ListBullet"/>
      </w:pPr>
      <w:r>
        <w:rPr>
          <w:rFonts w:ascii="Times New Roman" w:hAnsi="Times New Roman"/>
          <w:b/>
          <w:i w:val="0"/>
        </w:rPr>
        <w:t>Bounded utilization:</w:t>
      </w:r>
      <w:r>
        <w:rPr>
          <w:rFonts w:ascii="Times New Roman" w:hAnsi="Times New Roman"/>
          <w:b w:val="0"/>
          <w:i w:val="0"/>
        </w:rPr>
        <w:t xml:space="preserve"> min(</w:t>
      </w:r>
      <w:r>
        <w:rPr>
          <w:rFonts w:ascii="Times New Roman" w:hAnsi="Times New Roman"/>
          <w:b w:val="0"/>
          <w:i/>
        </w:rPr>
        <w:t>a</w:t>
      </w:r>
      <w:r>
        <w:rPr>
          <w:rFonts w:ascii="Times New Roman" w:hAnsi="Times New Roman"/>
          <w:b w:val="0"/>
          <w:i w:val="0"/>
        </w:rPr>
        <w:t xml:space="preserve"> / </w:t>
      </w:r>
      <w:r>
        <w:rPr>
          <w:rFonts w:ascii="Times New Roman" w:hAnsi="Times New Roman"/>
          <w:b w:val="0"/>
          <w:i/>
        </w:rPr>
        <w:t>r</w:t>
      </w:r>
      <w:r>
        <w:rPr>
          <w:rFonts w:ascii="Times New Roman" w:hAnsi="Times New Roman"/>
          <w:b w:val="0"/>
          <w:i w:val="0"/>
        </w:rPr>
        <w:t xml:space="preserve">, 1). It is undefined when either value is non-finite or </w:t>
      </w:r>
      <w:r>
        <w:rPr>
          <w:rFonts w:ascii="Times New Roman" w:hAnsi="Times New Roman"/>
          <w:b w:val="0"/>
          <w:i/>
        </w:rPr>
        <w:t>r</w:t>
      </w:r>
      <w:r>
        <w:rPr>
          <w:rFonts w:ascii="Times New Roman" w:hAnsi="Times New Roman"/>
          <w:b w:val="0"/>
          <w:i w:val="0"/>
        </w:rPr>
        <w:t xml:space="preserve"> ≤ 10⁻¹².</w:t>
      </w:r>
    </w:p>
    <w:p>
      <w:r>
        <w:rPr>
          <w:rFonts w:ascii="Times New Roman" w:hAnsi="Times New Roman"/>
          <w:b w:val="0"/>
          <w:i w:val="0"/>
        </w:rPr>
        <w:t>Violation percentages and average utilization are computed over valid rows only.</w:t>
      </w:r>
    </w:p>
    <w:p>
      <w:pPr>
        <w:pStyle w:val="Heading3"/>
      </w:pPr>
      <w:r>
        <w:t>6.4.2 Resource Waste</w:t>
      </w:r>
    </w:p>
    <w:p>
      <w:pPr>
        <w:pStyle w:val="ListBullet"/>
      </w:pPr>
      <w:r>
        <w:rPr>
          <w:rFonts w:ascii="Times New Roman" w:hAnsi="Times New Roman"/>
          <w:b/>
          <w:i w:val="0"/>
        </w:rPr>
        <w:t>Waste:</w:t>
      </w:r>
      <w:r>
        <w:rPr>
          <w:rFonts w:ascii="Times New Roman" w:hAnsi="Times New Roman"/>
          <w:b w:val="0"/>
          <w:i w:val="0"/>
        </w:rPr>
        <w:t xml:space="preserve"> max(</w:t>
      </w:r>
      <w:r>
        <w:rPr>
          <w:rFonts w:ascii="Times New Roman" w:hAnsi="Times New Roman"/>
          <w:b w:val="0"/>
          <w:i/>
        </w:rPr>
        <w:t>r</w:t>
      </w:r>
      <w:r>
        <w:rPr>
          <w:rFonts w:ascii="Times New Roman" w:hAnsi="Times New Roman"/>
          <w:b w:val="0"/>
          <w:i w:val="0"/>
        </w:rPr>
        <w:t xml:space="preserve"> − </w:t>
      </w:r>
      <w:r>
        <w:rPr>
          <w:rFonts w:ascii="Times New Roman" w:hAnsi="Times New Roman"/>
          <w:b w:val="0"/>
          <w:i/>
        </w:rPr>
        <w:t>a</w:t>
      </w:r>
      <w:r>
        <w:rPr>
          <w:rFonts w:ascii="Times New Roman" w:hAnsi="Times New Roman"/>
          <w:b w:val="0"/>
          <w:i w:val="0"/>
        </w:rPr>
        <w:t>, 0), the recommended capacity left unused.</w:t>
      </w:r>
    </w:p>
    <w:p>
      <w:pPr>
        <w:pStyle w:val="ListBullet"/>
      </w:pPr>
      <w:r>
        <w:rPr>
          <w:rFonts w:ascii="Times New Roman" w:hAnsi="Times New Roman"/>
          <w:b/>
          <w:i w:val="0"/>
        </w:rPr>
        <w:t>Shortfall:</w:t>
      </w:r>
      <w:r>
        <w:rPr>
          <w:rFonts w:ascii="Times New Roman" w:hAnsi="Times New Roman"/>
          <w:b w:val="0"/>
          <w:i w:val="0"/>
        </w:rPr>
        <w:t xml:space="preserve"> max(</w:t>
      </w:r>
      <w:r>
        <w:rPr>
          <w:rFonts w:ascii="Times New Roman" w:hAnsi="Times New Roman"/>
          <w:b w:val="0"/>
          <w:i/>
        </w:rPr>
        <w:t>a</w:t>
      </w:r>
      <w:r>
        <w:rPr>
          <w:rFonts w:ascii="Times New Roman" w:hAnsi="Times New Roman"/>
          <w:b w:val="0"/>
          <w:i w:val="0"/>
        </w:rPr>
        <w:t xml:space="preserve"> − </w:t>
      </w:r>
      <w:r>
        <w:rPr>
          <w:rFonts w:ascii="Times New Roman" w:hAnsi="Times New Roman"/>
          <w:b w:val="0"/>
          <w:i/>
        </w:rPr>
        <w:t>r</w:t>
      </w:r>
      <w:r>
        <w:rPr>
          <w:rFonts w:ascii="Times New Roman" w:hAnsi="Times New Roman"/>
          <w:b w:val="0"/>
          <w:i w:val="0"/>
        </w:rPr>
        <w:t>, 0), the amount by which usage exceeded the recommendation.</w:t>
      </w:r>
    </w:p>
    <w:p>
      <w:r>
        <w:rPr>
          <w:rFonts w:ascii="Times New Roman" w:hAnsi="Times New Roman"/>
          <w:b w:val="0"/>
          <w:i w:val="0"/>
        </w:rPr>
        <w:t>Average waste and shortfall are reported per resource in the same units as the resource.</w:t>
      </w:r>
    </w:p>
    <w:p>
      <w:pPr>
        <w:pStyle w:val="Heading3"/>
      </w:pPr>
      <w:r>
        <w:t>6.4.3 Valid-Row Denominators and Missing-Value Handling</w:t>
      </w:r>
    </w:p>
    <w:p>
      <w:r>
        <w:rPr>
          <w:rFonts w:ascii="Times New Roman" w:hAnsi="Times New Roman"/>
          <w:b w:val="0"/>
          <w:i w:val="0"/>
        </w:rPr>
        <w:t>A violation is unknown (</w:t>
      </w:r>
      <w:r>
        <w:rPr>
          <w:rFonts w:ascii="Courier New" w:hAnsi="Courier New"/>
          <w:b w:val="0"/>
          <w:i w:val="0"/>
          <w:sz w:val="20"/>
        </w:rPr>
        <w:t>NaN</w:t>
      </w:r>
      <w:r>
        <w:rPr>
          <w:rFonts w:ascii="Times New Roman" w:hAnsi="Times New Roman"/>
          <w:b w:val="0"/>
          <w:i w:val="0"/>
        </w:rPr>
        <w:t>) when either input is non-finite. An unknown result is never counted as a non-violation. The evaluator therefore reports separate valid counts for CPU, memory, and any-resource violation and for CPU and memory utilization. A zero recommendation is still a valid violation input, but it is excluded from utilization. For example, on the 329 common validation occurrences, the Request policy has 326 valid rows for each violation metric, 315 valid rows for CPU utilization, and 326 for memory utilization, because some current requests are missing (excluded from violation) or zero (excluded from utilization). Average waste and shortfall use pandas means, which skip missing rows; the evaluator does not report separate denominators for them.</w:t>
      </w:r>
    </w:p>
    <w:p>
      <w:r>
        <w:br w:type="page"/>
      </w:r>
    </w:p>
    <w:p>
      <w:pPr>
        <w:pStyle w:val="Heading1"/>
      </w:pPr>
      <w:r>
        <w:t>Chapter 7. Performance, Results, and Discussion</w:t>
      </w:r>
    </w:p>
    <w:p>
      <w:pPr>
        <w:pStyle w:val="Heading2"/>
      </w:pPr>
      <w:r>
        <w:t>7.1 Google ClusterData 2019 Results</w:t>
      </w:r>
    </w:p>
    <w:p>
      <w:r>
        <w:rPr>
          <w:rFonts w:ascii="Times New Roman" w:hAnsi="Times New Roman"/>
          <w:b/>
          <w:i w:val="0"/>
        </w:rPr>
        <w:t>No final Google result exists yet.</w:t>
      </w:r>
      <w:r>
        <w:rPr>
          <w:rFonts w:ascii="Times New Roman" w:hAnsi="Times New Roman"/>
          <w:b w:val="0"/>
          <w:i w:val="0"/>
        </w:rPr>
        <w:t xml:space="preserve"> Under backlog Issue 12, the one-time final-test evaluation, run after every decision is frozen (Issue 11), is the only source of final Google report numbers. The tables below report </w:t>
      </w:r>
      <w:r>
        <w:rPr>
          <w:rFonts w:ascii="Times New Roman" w:hAnsi="Times New Roman"/>
          <w:b/>
          <w:i w:val="0"/>
        </w:rPr>
        <w:t>validation</w:t>
      </w:r>
      <w:r>
        <w:rPr>
          <w:rFonts w:ascii="Times New Roman" w:hAnsi="Times New Roman"/>
          <w:b w:val="0"/>
          <w:i w:val="0"/>
        </w:rPr>
        <w:t xml:space="preserve"> results only. They were used to make design decisions and are optimistic as estimates of final performance.</w:t>
      </w:r>
    </w:p>
    <w:p>
      <w:pPr>
        <w:pStyle w:val="Heading3"/>
      </w:pPr>
      <w:r>
        <w:t>7.1.1 Baseline Recommendation Results</w:t>
      </w:r>
    </w:p>
    <w:p>
      <w:r>
        <w:rPr>
          <w:rFonts w:ascii="Times New Roman" w:hAnsi="Times New Roman"/>
          <w:b w:val="0"/>
          <w:i w:val="0"/>
        </w:rPr>
        <w:t xml:space="preserve">Table 7.1 shows the validation comparison of the five baseline policies at the selected </w:t>
      </w:r>
      <w:r>
        <w:rPr>
          <w:rFonts w:ascii="Courier New" w:hAnsi="Courier New"/>
          <w:b w:val="0"/>
          <w:i w:val="0"/>
          <w:sz w:val="20"/>
        </w:rPr>
        <w:t>min_runs = 1</w:t>
      </w:r>
      <w:r>
        <w:rPr>
          <w:rFonts w:ascii="Times New Roman" w:hAnsi="Times New Roman"/>
          <w:b w:val="0"/>
          <w:i w:val="0"/>
        </w:rPr>
        <w:t xml:space="preserve"> on the 329-occurrence common validation population.</w:t>
      </w:r>
    </w:p>
    <w:p>
      <w:pPr>
        <w:pStyle w:val="Caption"/>
      </w:pPr>
      <w:r>
        <w:rPr>
          <w:rFonts w:ascii="Times New Roman" w:hAnsi="Times New Roman"/>
          <w:b w:val="0"/>
          <w:i/>
          <w:sz w:val="20"/>
        </w:rPr>
        <w:t xml:space="preserve">Table 7.1. Validation comparison of baseline policies at the selected min_runs = 1 (Notebook 04). Source: </w:t>
      </w:r>
      <w:r>
        <w:rPr>
          <w:rFonts w:ascii="Courier New" w:hAnsi="Courier New"/>
          <w:b w:val="0"/>
          <w:i/>
          <w:sz w:val="18"/>
        </w:rPr>
        <w:t>baseline_validation_comparison.csv</w:t>
      </w:r>
      <w:r>
        <w:rPr>
          <w:rFonts w:ascii="Times New Roman" w:hAnsi="Times New Roman"/>
          <w:b w:val="0"/>
          <w:i/>
          <w:sz w:val="20"/>
        </w:rPr>
        <w:t xml:space="preserve">. Violation percentages use the valid denominators shown; "Valid n (any)" is the any-resource denominator. CPU in </w:t>
      </w:r>
      <w:r>
        <w:rPr>
          <w:rFonts w:ascii="Courier New" w:hAnsi="Courier New"/>
          <w:b w:val="0"/>
          <w:i/>
          <w:sz w:val="18"/>
        </w:rPr>
        <w:t>_ncu</w:t>
      </w:r>
      <w:r>
        <w:rPr>
          <w:rFonts w:ascii="Times New Roman" w:hAnsi="Times New Roman"/>
          <w:b w:val="0"/>
          <w:i/>
          <w:sz w:val="20"/>
        </w:rPr>
        <w:t xml:space="preserve"> units, memory in normalized units.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9D9D9"/>
          </w:tcPr>
          <w:p>
            <w:pPr>
              <w:spacing w:after="0"/>
            </w:pPr>
            <w:r/>
            <w:r>
              <w:rPr>
                <w:rFonts w:ascii="Times New Roman" w:hAnsi="Times New Roman"/>
                <w:b/>
                <w:i w:val="0"/>
                <w:sz w:val="15"/>
              </w:rPr>
              <w:t>Policy</w:t>
            </w:r>
          </w:p>
        </w:tc>
        <w:tc>
          <w:tcPr>
            <w:tcW w:type="dxa" w:w="785"/>
            <w:shd w:val="clear" w:color="auto" w:fill="D9D9D9"/>
          </w:tcPr>
          <w:p>
            <w:pPr>
              <w:spacing w:after="0"/>
            </w:pPr>
            <w:r/>
            <w:r>
              <w:rPr>
                <w:rFonts w:ascii="Times New Roman" w:hAnsi="Times New Roman"/>
                <w:b/>
                <w:i w:val="0"/>
                <w:sz w:val="15"/>
              </w:rPr>
              <w:t>CPU viol. %</w:t>
            </w:r>
          </w:p>
        </w:tc>
        <w:tc>
          <w:tcPr>
            <w:tcW w:type="dxa" w:w="785"/>
            <w:shd w:val="clear" w:color="auto" w:fill="D9D9D9"/>
          </w:tcPr>
          <w:p>
            <w:pPr>
              <w:spacing w:after="0"/>
            </w:pPr>
            <w:r/>
            <w:r>
              <w:rPr>
                <w:rFonts w:ascii="Times New Roman" w:hAnsi="Times New Roman"/>
                <w:b/>
                <w:i w:val="0"/>
                <w:sz w:val="15"/>
              </w:rPr>
              <w:t>Mem. viol. %</w:t>
            </w:r>
          </w:p>
        </w:tc>
        <w:tc>
          <w:tcPr>
            <w:tcW w:type="dxa" w:w="785"/>
            <w:shd w:val="clear" w:color="auto" w:fill="D9D9D9"/>
          </w:tcPr>
          <w:p>
            <w:pPr>
              <w:spacing w:after="0"/>
            </w:pPr>
            <w:r/>
            <w:r>
              <w:rPr>
                <w:rFonts w:ascii="Times New Roman" w:hAnsi="Times New Roman"/>
                <w:b/>
                <w:i w:val="0"/>
                <w:sz w:val="15"/>
              </w:rPr>
              <w:t>Any-resource viol. %</w:t>
            </w:r>
          </w:p>
        </w:tc>
        <w:tc>
          <w:tcPr>
            <w:tcW w:type="dxa" w:w="785"/>
            <w:shd w:val="clear" w:color="auto" w:fill="D9D9D9"/>
          </w:tcPr>
          <w:p>
            <w:pPr>
              <w:spacing w:after="0"/>
            </w:pPr>
            <w:r/>
            <w:r>
              <w:rPr>
                <w:rFonts w:ascii="Times New Roman" w:hAnsi="Times New Roman"/>
                <w:b/>
                <w:i w:val="0"/>
                <w:sz w:val="15"/>
              </w:rPr>
              <w:t>Valid n (any)</w:t>
            </w:r>
          </w:p>
        </w:tc>
        <w:tc>
          <w:tcPr>
            <w:tcW w:type="dxa" w:w="785"/>
            <w:shd w:val="clear" w:color="auto" w:fill="D9D9D9"/>
          </w:tcPr>
          <w:p>
            <w:pPr>
              <w:spacing w:after="0"/>
            </w:pPr>
            <w:r/>
            <w:r>
              <w:rPr>
                <w:rFonts w:ascii="Times New Roman" w:hAnsi="Times New Roman"/>
                <w:b/>
                <w:i w:val="0"/>
                <w:sz w:val="15"/>
              </w:rPr>
              <w:t>Avg CPU util.</w:t>
            </w:r>
          </w:p>
        </w:tc>
        <w:tc>
          <w:tcPr>
            <w:tcW w:type="dxa" w:w="785"/>
            <w:shd w:val="clear" w:color="auto" w:fill="D9D9D9"/>
          </w:tcPr>
          <w:p>
            <w:pPr>
              <w:spacing w:after="0"/>
            </w:pPr>
            <w:r/>
            <w:r>
              <w:rPr>
                <w:rFonts w:ascii="Times New Roman" w:hAnsi="Times New Roman"/>
                <w:b/>
                <w:i w:val="0"/>
                <w:sz w:val="15"/>
              </w:rPr>
              <w:t>Avg mem. util.</w:t>
            </w:r>
          </w:p>
        </w:tc>
        <w:tc>
          <w:tcPr>
            <w:tcW w:type="dxa" w:w="785"/>
            <w:shd w:val="clear" w:color="auto" w:fill="D9D9D9"/>
          </w:tcPr>
          <w:p>
            <w:pPr>
              <w:spacing w:after="0"/>
            </w:pPr>
            <w:r/>
            <w:r>
              <w:rPr>
                <w:rFonts w:ascii="Times New Roman" w:hAnsi="Times New Roman"/>
                <w:b/>
                <w:i w:val="0"/>
                <w:sz w:val="15"/>
              </w:rPr>
              <w:t>Avg CPU waste (NCU)</w:t>
            </w:r>
          </w:p>
        </w:tc>
        <w:tc>
          <w:tcPr>
            <w:tcW w:type="dxa" w:w="785"/>
            <w:shd w:val="clear" w:color="auto" w:fill="D9D9D9"/>
          </w:tcPr>
          <w:p>
            <w:pPr>
              <w:spacing w:after="0"/>
            </w:pPr>
            <w:r/>
            <w:r>
              <w:rPr>
                <w:rFonts w:ascii="Times New Roman" w:hAnsi="Times New Roman"/>
                <w:b/>
                <w:i w:val="0"/>
                <w:sz w:val="15"/>
              </w:rPr>
              <w:t>Avg mem. waste</w:t>
            </w:r>
          </w:p>
        </w:tc>
        <w:tc>
          <w:tcPr>
            <w:tcW w:type="dxa" w:w="785"/>
            <w:shd w:val="clear" w:color="auto" w:fill="D9D9D9"/>
          </w:tcPr>
          <w:p>
            <w:pPr>
              <w:spacing w:after="0"/>
            </w:pPr>
            <w:r/>
            <w:r>
              <w:rPr>
                <w:rFonts w:ascii="Times New Roman" w:hAnsi="Times New Roman"/>
                <w:b/>
                <w:i w:val="0"/>
                <w:sz w:val="15"/>
              </w:rPr>
              <w:t>Avg CPU shortfall (NCU)</w:t>
            </w:r>
          </w:p>
        </w:tc>
        <w:tc>
          <w:tcPr>
            <w:tcW w:type="dxa" w:w="785"/>
            <w:shd w:val="clear" w:color="auto" w:fill="D9D9D9"/>
          </w:tcPr>
          <w:p>
            <w:pPr>
              <w:spacing w:after="0"/>
            </w:pPr>
            <w:r/>
            <w:r>
              <w:rPr>
                <w:rFonts w:ascii="Times New Roman" w:hAnsi="Times New Roman"/>
                <w:b/>
                <w:i w:val="0"/>
                <w:sz w:val="15"/>
              </w:rPr>
              <w:t>Avg mem. shortfall</w:t>
            </w:r>
          </w:p>
        </w:tc>
      </w:tr>
      <w:tr>
        <w:tc>
          <w:tcPr>
            <w:tcW w:type="dxa" w:w="785"/>
          </w:tcPr>
          <w:p>
            <w:pPr>
              <w:spacing w:after="0"/>
            </w:pPr>
            <w:r/>
            <w:r>
              <w:rPr>
                <w:rFonts w:ascii="Times New Roman" w:hAnsi="Times New Roman"/>
                <w:b w:val="0"/>
                <w:i w:val="0"/>
                <w:sz w:val="15"/>
              </w:rPr>
              <w:t>Request</w:t>
            </w:r>
          </w:p>
        </w:tc>
        <w:tc>
          <w:tcPr>
            <w:tcW w:type="dxa" w:w="785"/>
          </w:tcPr>
          <w:p>
            <w:pPr>
              <w:spacing w:after="0"/>
            </w:pPr>
            <w:r/>
            <w:r>
              <w:rPr>
                <w:rFonts w:ascii="Times New Roman" w:hAnsi="Times New Roman"/>
                <w:b w:val="0"/>
                <w:i w:val="0"/>
                <w:sz w:val="15"/>
              </w:rPr>
              <w:t>52.15</w:t>
            </w:r>
          </w:p>
        </w:tc>
        <w:tc>
          <w:tcPr>
            <w:tcW w:type="dxa" w:w="785"/>
          </w:tcPr>
          <w:p>
            <w:pPr>
              <w:spacing w:after="0"/>
            </w:pPr>
            <w:r/>
            <w:r>
              <w:rPr>
                <w:rFonts w:ascii="Times New Roman" w:hAnsi="Times New Roman"/>
                <w:b w:val="0"/>
                <w:i w:val="0"/>
                <w:sz w:val="15"/>
              </w:rPr>
              <w:t>38.04</w:t>
            </w:r>
          </w:p>
        </w:tc>
        <w:tc>
          <w:tcPr>
            <w:tcW w:type="dxa" w:w="785"/>
          </w:tcPr>
          <w:p>
            <w:pPr>
              <w:spacing w:after="0"/>
            </w:pPr>
            <w:r/>
            <w:r>
              <w:rPr>
                <w:rFonts w:ascii="Times New Roman" w:hAnsi="Times New Roman"/>
                <w:b w:val="0"/>
                <w:i w:val="0"/>
                <w:sz w:val="15"/>
              </w:rPr>
              <w:t>55.52</w:t>
            </w:r>
          </w:p>
        </w:tc>
        <w:tc>
          <w:tcPr>
            <w:tcW w:type="dxa" w:w="785"/>
          </w:tcPr>
          <w:p>
            <w:pPr>
              <w:spacing w:after="0"/>
            </w:pPr>
            <w:r/>
            <w:r>
              <w:rPr>
                <w:rFonts w:ascii="Times New Roman" w:hAnsi="Times New Roman"/>
                <w:b w:val="0"/>
                <w:i w:val="0"/>
                <w:sz w:val="15"/>
              </w:rPr>
              <w:t>326</w:t>
            </w:r>
          </w:p>
        </w:tc>
        <w:tc>
          <w:tcPr>
            <w:tcW w:type="dxa" w:w="785"/>
          </w:tcPr>
          <w:p>
            <w:pPr>
              <w:spacing w:after="0"/>
            </w:pPr>
            <w:r/>
            <w:r>
              <w:rPr>
                <w:rFonts w:ascii="Times New Roman" w:hAnsi="Times New Roman"/>
                <w:b w:val="0"/>
                <w:i w:val="0"/>
                <w:sz w:val="15"/>
              </w:rPr>
              <w:t>0.623</w:t>
            </w:r>
          </w:p>
        </w:tc>
        <w:tc>
          <w:tcPr>
            <w:tcW w:type="dxa" w:w="785"/>
          </w:tcPr>
          <w:p>
            <w:pPr>
              <w:spacing w:after="0"/>
            </w:pPr>
            <w:r/>
            <w:r>
              <w:rPr>
                <w:rFonts w:ascii="Times New Roman" w:hAnsi="Times New Roman"/>
                <w:b w:val="0"/>
                <w:i w:val="0"/>
                <w:sz w:val="15"/>
              </w:rPr>
              <w:t>0.530</w:t>
            </w:r>
          </w:p>
        </w:tc>
        <w:tc>
          <w:tcPr>
            <w:tcW w:type="dxa" w:w="785"/>
          </w:tcPr>
          <w:p>
            <w:pPr>
              <w:spacing w:after="0"/>
            </w:pPr>
            <w:r/>
            <w:r>
              <w:rPr>
                <w:rFonts w:ascii="Times New Roman" w:hAnsi="Times New Roman"/>
                <w:b w:val="0"/>
                <w:i w:val="0"/>
                <w:sz w:val="15"/>
              </w:rPr>
              <w:t>0.957</w:t>
            </w:r>
          </w:p>
        </w:tc>
        <w:tc>
          <w:tcPr>
            <w:tcW w:type="dxa" w:w="785"/>
          </w:tcPr>
          <w:p>
            <w:pPr>
              <w:spacing w:after="0"/>
            </w:pPr>
            <w:r/>
            <w:r>
              <w:rPr>
                <w:rFonts w:ascii="Times New Roman" w:hAnsi="Times New Roman"/>
                <w:b w:val="0"/>
                <w:i w:val="0"/>
                <w:sz w:val="15"/>
              </w:rPr>
              <w:t>0.449</w:t>
            </w:r>
          </w:p>
        </w:tc>
        <w:tc>
          <w:tcPr>
            <w:tcW w:type="dxa" w:w="785"/>
          </w:tcPr>
          <w:p>
            <w:pPr>
              <w:spacing w:after="0"/>
            </w:pPr>
            <w:r/>
            <w:r>
              <w:rPr>
                <w:rFonts w:ascii="Times New Roman" w:hAnsi="Times New Roman"/>
                <w:b w:val="0"/>
                <w:i w:val="0"/>
                <w:sz w:val="15"/>
              </w:rPr>
              <w:t>2.421</w:t>
            </w:r>
          </w:p>
        </w:tc>
        <w:tc>
          <w:tcPr>
            <w:tcW w:type="dxa" w:w="785"/>
          </w:tcPr>
          <w:p>
            <w:pPr>
              <w:spacing w:after="0"/>
            </w:pPr>
            <w:r/>
            <w:r>
              <w:rPr>
                <w:rFonts w:ascii="Times New Roman" w:hAnsi="Times New Roman"/>
                <w:b w:val="0"/>
                <w:i w:val="0"/>
                <w:sz w:val="15"/>
              </w:rPr>
              <w:t>0.302</w:t>
            </w:r>
          </w:p>
        </w:tc>
      </w:tr>
      <w:tr>
        <w:tc>
          <w:tcPr>
            <w:tcW w:type="dxa" w:w="785"/>
          </w:tcPr>
          <w:p>
            <w:pPr>
              <w:spacing w:after="0"/>
            </w:pPr>
            <w:r/>
            <w:r>
              <w:rPr>
                <w:rFonts w:ascii="Times New Roman" w:hAnsi="Times New Roman"/>
                <w:b w:val="0"/>
                <w:i w:val="0"/>
                <w:sz w:val="15"/>
              </w:rPr>
              <w:t>Mean</w:t>
            </w:r>
          </w:p>
        </w:tc>
        <w:tc>
          <w:tcPr>
            <w:tcW w:type="dxa" w:w="785"/>
          </w:tcPr>
          <w:p>
            <w:pPr>
              <w:spacing w:after="0"/>
            </w:pPr>
            <w:r/>
            <w:r>
              <w:rPr>
                <w:rFonts w:ascii="Times New Roman" w:hAnsi="Times New Roman"/>
                <w:b w:val="0"/>
                <w:i w:val="0"/>
                <w:sz w:val="15"/>
              </w:rPr>
              <w:t>35.37</w:t>
            </w:r>
          </w:p>
        </w:tc>
        <w:tc>
          <w:tcPr>
            <w:tcW w:type="dxa" w:w="785"/>
          </w:tcPr>
          <w:p>
            <w:pPr>
              <w:spacing w:after="0"/>
            </w:pPr>
            <w:r/>
            <w:r>
              <w:rPr>
                <w:rFonts w:ascii="Times New Roman" w:hAnsi="Times New Roman"/>
                <w:b w:val="0"/>
                <w:i w:val="0"/>
                <w:sz w:val="15"/>
              </w:rPr>
              <w:t>34.15</w:t>
            </w:r>
          </w:p>
        </w:tc>
        <w:tc>
          <w:tcPr>
            <w:tcW w:type="dxa" w:w="785"/>
          </w:tcPr>
          <w:p>
            <w:pPr>
              <w:spacing w:after="0"/>
            </w:pPr>
            <w:r/>
            <w:r>
              <w:rPr>
                <w:rFonts w:ascii="Times New Roman" w:hAnsi="Times New Roman"/>
                <w:b w:val="0"/>
                <w:i w:val="0"/>
                <w:sz w:val="15"/>
              </w:rPr>
              <w:t>42.99</w:t>
            </w:r>
          </w:p>
        </w:tc>
        <w:tc>
          <w:tcPr>
            <w:tcW w:type="dxa" w:w="785"/>
          </w:tcPr>
          <w:p>
            <w:pPr>
              <w:spacing w:after="0"/>
            </w:pPr>
            <w:r/>
            <w:r>
              <w:rPr>
                <w:rFonts w:ascii="Times New Roman" w:hAnsi="Times New Roman"/>
                <w:b w:val="0"/>
                <w:i w:val="0"/>
                <w:sz w:val="15"/>
              </w:rPr>
              <w:t>328</w:t>
            </w:r>
          </w:p>
        </w:tc>
        <w:tc>
          <w:tcPr>
            <w:tcW w:type="dxa" w:w="785"/>
          </w:tcPr>
          <w:p>
            <w:pPr>
              <w:spacing w:after="0"/>
            </w:pPr>
            <w:r/>
            <w:r>
              <w:rPr>
                <w:rFonts w:ascii="Times New Roman" w:hAnsi="Times New Roman"/>
                <w:b w:val="0"/>
                <w:i w:val="0"/>
                <w:sz w:val="15"/>
              </w:rPr>
              <w:t>0.491</w:t>
            </w:r>
          </w:p>
        </w:tc>
        <w:tc>
          <w:tcPr>
            <w:tcW w:type="dxa" w:w="785"/>
          </w:tcPr>
          <w:p>
            <w:pPr>
              <w:spacing w:after="0"/>
            </w:pPr>
            <w:r/>
            <w:r>
              <w:rPr>
                <w:rFonts w:ascii="Times New Roman" w:hAnsi="Times New Roman"/>
                <w:b w:val="0"/>
                <w:i w:val="0"/>
                <w:sz w:val="15"/>
              </w:rPr>
              <w:t>0.509</w:t>
            </w:r>
          </w:p>
        </w:tc>
        <w:tc>
          <w:tcPr>
            <w:tcW w:type="dxa" w:w="785"/>
          </w:tcPr>
          <w:p>
            <w:pPr>
              <w:spacing w:after="0"/>
            </w:pPr>
            <w:r/>
            <w:r>
              <w:rPr>
                <w:rFonts w:ascii="Times New Roman" w:hAnsi="Times New Roman"/>
                <w:b w:val="0"/>
                <w:i w:val="0"/>
                <w:sz w:val="15"/>
              </w:rPr>
              <w:t>1.740</w:t>
            </w:r>
          </w:p>
        </w:tc>
        <w:tc>
          <w:tcPr>
            <w:tcW w:type="dxa" w:w="785"/>
          </w:tcPr>
          <w:p>
            <w:pPr>
              <w:spacing w:after="0"/>
            </w:pPr>
            <w:r/>
            <w:r>
              <w:rPr>
                <w:rFonts w:ascii="Times New Roman" w:hAnsi="Times New Roman"/>
                <w:b w:val="0"/>
                <w:i w:val="0"/>
                <w:sz w:val="15"/>
              </w:rPr>
              <w:t>0.363</w:t>
            </w:r>
          </w:p>
        </w:tc>
        <w:tc>
          <w:tcPr>
            <w:tcW w:type="dxa" w:w="785"/>
          </w:tcPr>
          <w:p>
            <w:pPr>
              <w:spacing w:after="0"/>
            </w:pPr>
            <w:r/>
            <w:r>
              <w:rPr>
                <w:rFonts w:ascii="Times New Roman" w:hAnsi="Times New Roman"/>
                <w:b w:val="0"/>
                <w:i w:val="0"/>
                <w:sz w:val="15"/>
              </w:rPr>
              <w:t>1.887</w:t>
            </w:r>
          </w:p>
        </w:tc>
        <w:tc>
          <w:tcPr>
            <w:tcW w:type="dxa" w:w="785"/>
          </w:tcPr>
          <w:p>
            <w:pPr>
              <w:spacing w:after="0"/>
            </w:pPr>
            <w:r/>
            <w:r>
              <w:rPr>
                <w:rFonts w:ascii="Times New Roman" w:hAnsi="Times New Roman"/>
                <w:b w:val="0"/>
                <w:i w:val="0"/>
                <w:sz w:val="15"/>
              </w:rPr>
              <w:t>0.217</w:t>
            </w:r>
          </w:p>
        </w:tc>
      </w:tr>
      <w:tr>
        <w:tc>
          <w:tcPr>
            <w:tcW w:type="dxa" w:w="785"/>
          </w:tcPr>
          <w:p>
            <w:pPr>
              <w:spacing w:after="0"/>
            </w:pPr>
            <w:r/>
            <w:r>
              <w:rPr>
                <w:rFonts w:ascii="Times New Roman" w:hAnsi="Times New Roman"/>
                <w:b w:val="0"/>
                <w:i w:val="0"/>
                <w:sz w:val="15"/>
              </w:rPr>
              <w:t>P90</w:t>
            </w:r>
          </w:p>
        </w:tc>
        <w:tc>
          <w:tcPr>
            <w:tcW w:type="dxa" w:w="785"/>
          </w:tcPr>
          <w:p>
            <w:pPr>
              <w:spacing w:after="0"/>
            </w:pPr>
            <w:r/>
            <w:r>
              <w:rPr>
                <w:rFonts w:ascii="Times New Roman" w:hAnsi="Times New Roman"/>
                <w:b w:val="0"/>
                <w:i w:val="0"/>
                <w:sz w:val="15"/>
              </w:rPr>
              <w:t>22.26</w:t>
            </w:r>
          </w:p>
        </w:tc>
        <w:tc>
          <w:tcPr>
            <w:tcW w:type="dxa" w:w="785"/>
          </w:tcPr>
          <w:p>
            <w:pPr>
              <w:spacing w:after="0"/>
            </w:pPr>
            <w:r/>
            <w:r>
              <w:rPr>
                <w:rFonts w:ascii="Times New Roman" w:hAnsi="Times New Roman"/>
                <w:b w:val="0"/>
                <w:i w:val="0"/>
                <w:sz w:val="15"/>
              </w:rPr>
              <w:t>21.65</w:t>
            </w:r>
          </w:p>
        </w:tc>
        <w:tc>
          <w:tcPr>
            <w:tcW w:type="dxa" w:w="785"/>
          </w:tcPr>
          <w:p>
            <w:pPr>
              <w:spacing w:after="0"/>
            </w:pPr>
            <w:r/>
            <w:r>
              <w:rPr>
                <w:rFonts w:ascii="Times New Roman" w:hAnsi="Times New Roman"/>
                <w:b w:val="0"/>
                <w:i w:val="0"/>
                <w:sz w:val="15"/>
              </w:rPr>
              <w:t>28.66</w:t>
            </w:r>
          </w:p>
        </w:tc>
        <w:tc>
          <w:tcPr>
            <w:tcW w:type="dxa" w:w="785"/>
          </w:tcPr>
          <w:p>
            <w:pPr>
              <w:spacing w:after="0"/>
            </w:pPr>
            <w:r/>
            <w:r>
              <w:rPr>
                <w:rFonts w:ascii="Times New Roman" w:hAnsi="Times New Roman"/>
                <w:b w:val="0"/>
                <w:i w:val="0"/>
                <w:sz w:val="15"/>
              </w:rPr>
              <w:t>328</w:t>
            </w:r>
          </w:p>
        </w:tc>
        <w:tc>
          <w:tcPr>
            <w:tcW w:type="dxa" w:w="785"/>
          </w:tcPr>
          <w:p>
            <w:pPr>
              <w:spacing w:after="0"/>
            </w:pPr>
            <w:r/>
            <w:r>
              <w:rPr>
                <w:rFonts w:ascii="Times New Roman" w:hAnsi="Times New Roman"/>
                <w:b w:val="0"/>
                <w:i w:val="0"/>
                <w:sz w:val="15"/>
              </w:rPr>
              <w:t>0.387</w:t>
            </w:r>
          </w:p>
        </w:tc>
        <w:tc>
          <w:tcPr>
            <w:tcW w:type="dxa" w:w="785"/>
          </w:tcPr>
          <w:p>
            <w:pPr>
              <w:spacing w:after="0"/>
            </w:pPr>
            <w:r/>
            <w:r>
              <w:rPr>
                <w:rFonts w:ascii="Times New Roman" w:hAnsi="Times New Roman"/>
                <w:b w:val="0"/>
                <w:i w:val="0"/>
                <w:sz w:val="15"/>
              </w:rPr>
              <w:t>0.406</w:t>
            </w:r>
          </w:p>
        </w:tc>
        <w:tc>
          <w:tcPr>
            <w:tcW w:type="dxa" w:w="785"/>
          </w:tcPr>
          <w:p>
            <w:pPr>
              <w:spacing w:after="0"/>
            </w:pPr>
            <w:r/>
            <w:r>
              <w:rPr>
                <w:rFonts w:ascii="Times New Roman" w:hAnsi="Times New Roman"/>
                <w:b w:val="0"/>
                <w:i w:val="0"/>
                <w:sz w:val="15"/>
              </w:rPr>
              <w:t>4.856</w:t>
            </w:r>
          </w:p>
        </w:tc>
        <w:tc>
          <w:tcPr>
            <w:tcW w:type="dxa" w:w="785"/>
          </w:tcPr>
          <w:p>
            <w:pPr>
              <w:spacing w:after="0"/>
            </w:pPr>
            <w:r/>
            <w:r>
              <w:rPr>
                <w:rFonts w:ascii="Times New Roman" w:hAnsi="Times New Roman"/>
                <w:b w:val="0"/>
                <w:i w:val="0"/>
                <w:sz w:val="15"/>
              </w:rPr>
              <w:t>0.980</w:t>
            </w:r>
          </w:p>
        </w:tc>
        <w:tc>
          <w:tcPr>
            <w:tcW w:type="dxa" w:w="785"/>
          </w:tcPr>
          <w:p>
            <w:pPr>
              <w:spacing w:after="0"/>
            </w:pPr>
            <w:r/>
            <w:r>
              <w:rPr>
                <w:rFonts w:ascii="Times New Roman" w:hAnsi="Times New Roman"/>
                <w:b w:val="0"/>
                <w:i w:val="0"/>
                <w:sz w:val="15"/>
              </w:rPr>
              <w:t>1.335</w:t>
            </w:r>
          </w:p>
        </w:tc>
        <w:tc>
          <w:tcPr>
            <w:tcW w:type="dxa" w:w="785"/>
          </w:tcPr>
          <w:p>
            <w:pPr>
              <w:spacing w:after="0"/>
            </w:pPr>
            <w:r/>
            <w:r>
              <w:rPr>
                <w:rFonts w:ascii="Times New Roman" w:hAnsi="Times New Roman"/>
                <w:b w:val="0"/>
                <w:i w:val="0"/>
                <w:sz w:val="15"/>
              </w:rPr>
              <w:t>0.142</w:t>
            </w:r>
          </w:p>
        </w:tc>
      </w:tr>
      <w:tr>
        <w:tc>
          <w:tcPr>
            <w:tcW w:type="dxa" w:w="785"/>
          </w:tcPr>
          <w:p>
            <w:pPr>
              <w:spacing w:after="0"/>
            </w:pPr>
            <w:r/>
            <w:r>
              <w:rPr>
                <w:rFonts w:ascii="Times New Roman" w:hAnsi="Times New Roman"/>
                <w:b w:val="0"/>
                <w:i w:val="0"/>
                <w:sz w:val="15"/>
              </w:rPr>
              <w:t>P95</w:t>
            </w:r>
          </w:p>
        </w:tc>
        <w:tc>
          <w:tcPr>
            <w:tcW w:type="dxa" w:w="785"/>
          </w:tcPr>
          <w:p>
            <w:pPr>
              <w:spacing w:after="0"/>
            </w:pPr>
            <w:r/>
            <w:r>
              <w:rPr>
                <w:rFonts w:ascii="Times New Roman" w:hAnsi="Times New Roman"/>
                <w:b w:val="0"/>
                <w:i w:val="0"/>
                <w:sz w:val="15"/>
              </w:rPr>
              <w:t>18.60</w:t>
            </w:r>
          </w:p>
        </w:tc>
        <w:tc>
          <w:tcPr>
            <w:tcW w:type="dxa" w:w="785"/>
          </w:tcPr>
          <w:p>
            <w:pPr>
              <w:spacing w:after="0"/>
            </w:pPr>
            <w:r/>
            <w:r>
              <w:rPr>
                <w:rFonts w:ascii="Times New Roman" w:hAnsi="Times New Roman"/>
                <w:b w:val="0"/>
                <w:i w:val="0"/>
                <w:sz w:val="15"/>
              </w:rPr>
              <w:t>19.82</w:t>
            </w:r>
          </w:p>
        </w:tc>
        <w:tc>
          <w:tcPr>
            <w:tcW w:type="dxa" w:w="785"/>
          </w:tcPr>
          <w:p>
            <w:pPr>
              <w:spacing w:after="0"/>
            </w:pPr>
            <w:r/>
            <w:r>
              <w:rPr>
                <w:rFonts w:ascii="Times New Roman" w:hAnsi="Times New Roman"/>
                <w:b w:val="0"/>
                <w:i w:val="0"/>
                <w:sz w:val="15"/>
              </w:rPr>
              <w:t>25.30</w:t>
            </w:r>
          </w:p>
        </w:tc>
        <w:tc>
          <w:tcPr>
            <w:tcW w:type="dxa" w:w="785"/>
          </w:tcPr>
          <w:p>
            <w:pPr>
              <w:spacing w:after="0"/>
            </w:pPr>
            <w:r/>
            <w:r>
              <w:rPr>
                <w:rFonts w:ascii="Times New Roman" w:hAnsi="Times New Roman"/>
                <w:b w:val="0"/>
                <w:i w:val="0"/>
                <w:sz w:val="15"/>
              </w:rPr>
              <w:t>328</w:t>
            </w:r>
          </w:p>
        </w:tc>
        <w:tc>
          <w:tcPr>
            <w:tcW w:type="dxa" w:w="785"/>
          </w:tcPr>
          <w:p>
            <w:pPr>
              <w:spacing w:after="0"/>
            </w:pPr>
            <w:r/>
            <w:r>
              <w:rPr>
                <w:rFonts w:ascii="Times New Roman" w:hAnsi="Times New Roman"/>
                <w:b w:val="0"/>
                <w:i w:val="0"/>
                <w:sz w:val="15"/>
              </w:rPr>
              <w:t>0.341</w:t>
            </w:r>
          </w:p>
        </w:tc>
        <w:tc>
          <w:tcPr>
            <w:tcW w:type="dxa" w:w="785"/>
          </w:tcPr>
          <w:p>
            <w:pPr>
              <w:spacing w:after="0"/>
            </w:pPr>
            <w:r/>
            <w:r>
              <w:rPr>
                <w:rFonts w:ascii="Times New Roman" w:hAnsi="Times New Roman"/>
                <w:b w:val="0"/>
                <w:i w:val="0"/>
                <w:sz w:val="15"/>
              </w:rPr>
              <w:t>0.371</w:t>
            </w:r>
          </w:p>
        </w:tc>
        <w:tc>
          <w:tcPr>
            <w:tcW w:type="dxa" w:w="785"/>
          </w:tcPr>
          <w:p>
            <w:pPr>
              <w:spacing w:after="0"/>
            </w:pPr>
            <w:r/>
            <w:r>
              <w:rPr>
                <w:rFonts w:ascii="Times New Roman" w:hAnsi="Times New Roman"/>
                <w:b w:val="0"/>
                <w:i w:val="0"/>
                <w:sz w:val="15"/>
              </w:rPr>
              <w:t>8.449</w:t>
            </w:r>
          </w:p>
        </w:tc>
        <w:tc>
          <w:tcPr>
            <w:tcW w:type="dxa" w:w="785"/>
          </w:tcPr>
          <w:p>
            <w:pPr>
              <w:spacing w:after="0"/>
            </w:pPr>
            <w:r/>
            <w:r>
              <w:rPr>
                <w:rFonts w:ascii="Times New Roman" w:hAnsi="Times New Roman"/>
                <w:b w:val="0"/>
                <w:i w:val="0"/>
                <w:sz w:val="15"/>
              </w:rPr>
              <w:t>1.865</w:t>
            </w:r>
          </w:p>
        </w:tc>
        <w:tc>
          <w:tcPr>
            <w:tcW w:type="dxa" w:w="785"/>
          </w:tcPr>
          <w:p>
            <w:pPr>
              <w:spacing w:after="0"/>
            </w:pPr>
            <w:r/>
            <w:r>
              <w:rPr>
                <w:rFonts w:ascii="Times New Roman" w:hAnsi="Times New Roman"/>
                <w:b w:val="0"/>
                <w:i w:val="0"/>
                <w:sz w:val="15"/>
              </w:rPr>
              <w:t>1.064</w:t>
            </w:r>
          </w:p>
        </w:tc>
        <w:tc>
          <w:tcPr>
            <w:tcW w:type="dxa" w:w="785"/>
          </w:tcPr>
          <w:p>
            <w:pPr>
              <w:spacing w:after="0"/>
            </w:pPr>
            <w:r/>
            <w:r>
              <w:rPr>
                <w:rFonts w:ascii="Times New Roman" w:hAnsi="Times New Roman"/>
                <w:b w:val="0"/>
                <w:i w:val="0"/>
                <w:sz w:val="15"/>
              </w:rPr>
              <w:t>0.103</w:t>
            </w:r>
          </w:p>
        </w:tc>
      </w:tr>
      <w:tr>
        <w:tc>
          <w:tcPr>
            <w:tcW w:type="dxa" w:w="785"/>
          </w:tcPr>
          <w:p>
            <w:pPr>
              <w:spacing w:after="0"/>
            </w:pPr>
            <w:r/>
            <w:r>
              <w:rPr>
                <w:rFonts w:ascii="Times New Roman" w:hAnsi="Times New Roman"/>
                <w:b w:val="0"/>
                <w:i w:val="0"/>
                <w:sz w:val="15"/>
              </w:rPr>
              <w:t>P99</w:t>
            </w:r>
          </w:p>
        </w:tc>
        <w:tc>
          <w:tcPr>
            <w:tcW w:type="dxa" w:w="785"/>
          </w:tcPr>
          <w:p>
            <w:pPr>
              <w:spacing w:after="0"/>
            </w:pPr>
            <w:r/>
            <w:r>
              <w:rPr>
                <w:rFonts w:ascii="Times New Roman" w:hAnsi="Times New Roman"/>
                <w:b w:val="0"/>
                <w:i w:val="0"/>
                <w:sz w:val="15"/>
              </w:rPr>
              <w:t>16.77</w:t>
            </w:r>
          </w:p>
        </w:tc>
        <w:tc>
          <w:tcPr>
            <w:tcW w:type="dxa" w:w="785"/>
          </w:tcPr>
          <w:p>
            <w:pPr>
              <w:spacing w:after="0"/>
            </w:pPr>
            <w:r/>
            <w:r>
              <w:rPr>
                <w:rFonts w:ascii="Times New Roman" w:hAnsi="Times New Roman"/>
                <w:b w:val="0"/>
                <w:i w:val="0"/>
                <w:sz w:val="15"/>
              </w:rPr>
              <w:t>17.07</w:t>
            </w:r>
          </w:p>
        </w:tc>
        <w:tc>
          <w:tcPr>
            <w:tcW w:type="dxa" w:w="785"/>
          </w:tcPr>
          <w:p>
            <w:pPr>
              <w:spacing w:after="0"/>
            </w:pPr>
            <w:r/>
            <w:r>
              <w:rPr>
                <w:rFonts w:ascii="Times New Roman" w:hAnsi="Times New Roman"/>
                <w:b w:val="0"/>
                <w:i w:val="0"/>
                <w:sz w:val="15"/>
              </w:rPr>
              <w:t>21.95</w:t>
            </w:r>
          </w:p>
        </w:tc>
        <w:tc>
          <w:tcPr>
            <w:tcW w:type="dxa" w:w="785"/>
          </w:tcPr>
          <w:p>
            <w:pPr>
              <w:spacing w:after="0"/>
            </w:pPr>
            <w:r/>
            <w:r>
              <w:rPr>
                <w:rFonts w:ascii="Times New Roman" w:hAnsi="Times New Roman"/>
                <w:b w:val="0"/>
                <w:i w:val="0"/>
                <w:sz w:val="15"/>
              </w:rPr>
              <w:t>328</w:t>
            </w:r>
          </w:p>
        </w:tc>
        <w:tc>
          <w:tcPr>
            <w:tcW w:type="dxa" w:w="785"/>
          </w:tcPr>
          <w:p>
            <w:pPr>
              <w:spacing w:after="0"/>
            </w:pPr>
            <w:r/>
            <w:r>
              <w:rPr>
                <w:rFonts w:ascii="Times New Roman" w:hAnsi="Times New Roman"/>
                <w:b w:val="0"/>
                <w:i w:val="0"/>
                <w:sz w:val="15"/>
              </w:rPr>
              <w:t>0.298</w:t>
            </w:r>
          </w:p>
        </w:tc>
        <w:tc>
          <w:tcPr>
            <w:tcW w:type="dxa" w:w="785"/>
          </w:tcPr>
          <w:p>
            <w:pPr>
              <w:spacing w:after="0"/>
            </w:pPr>
            <w:r/>
            <w:r>
              <w:rPr>
                <w:rFonts w:ascii="Times New Roman" w:hAnsi="Times New Roman"/>
                <w:b w:val="0"/>
                <w:i w:val="0"/>
                <w:sz w:val="15"/>
              </w:rPr>
              <w:t>0.337</w:t>
            </w:r>
          </w:p>
        </w:tc>
        <w:tc>
          <w:tcPr>
            <w:tcW w:type="dxa" w:w="785"/>
          </w:tcPr>
          <w:p>
            <w:pPr>
              <w:spacing w:after="0"/>
            </w:pPr>
            <w:r/>
            <w:r>
              <w:rPr>
                <w:rFonts w:ascii="Times New Roman" w:hAnsi="Times New Roman"/>
                <w:b w:val="0"/>
                <w:i w:val="0"/>
                <w:sz w:val="15"/>
              </w:rPr>
              <w:t>19.041</w:t>
            </w:r>
          </w:p>
        </w:tc>
        <w:tc>
          <w:tcPr>
            <w:tcW w:type="dxa" w:w="785"/>
          </w:tcPr>
          <w:p>
            <w:pPr>
              <w:spacing w:after="0"/>
            </w:pPr>
            <w:r/>
            <w:r>
              <w:rPr>
                <w:rFonts w:ascii="Times New Roman" w:hAnsi="Times New Roman"/>
                <w:b w:val="0"/>
                <w:i w:val="0"/>
                <w:sz w:val="15"/>
              </w:rPr>
              <w:t>3.346</w:t>
            </w:r>
          </w:p>
        </w:tc>
        <w:tc>
          <w:tcPr>
            <w:tcW w:type="dxa" w:w="785"/>
          </w:tcPr>
          <w:p>
            <w:pPr>
              <w:spacing w:after="0"/>
            </w:pPr>
            <w:r/>
            <w:r>
              <w:rPr>
                <w:rFonts w:ascii="Times New Roman" w:hAnsi="Times New Roman"/>
                <w:b w:val="0"/>
                <w:i w:val="0"/>
                <w:sz w:val="15"/>
              </w:rPr>
              <w:t>0.972</w:t>
            </w:r>
          </w:p>
        </w:tc>
        <w:tc>
          <w:tcPr>
            <w:tcW w:type="dxa" w:w="785"/>
          </w:tcPr>
          <w:p>
            <w:pPr>
              <w:spacing w:after="0"/>
            </w:pPr>
            <w:r/>
            <w:r>
              <w:rPr>
                <w:rFonts w:ascii="Times New Roman" w:hAnsi="Times New Roman"/>
                <w:b w:val="0"/>
                <w:i w:val="0"/>
                <w:sz w:val="15"/>
              </w:rPr>
              <w:t>0.086</w:t>
            </w:r>
          </w:p>
        </w:tc>
      </w:tr>
    </w:tbl>
    <w:p>
      <w:pPr>
        <w:spacing w:after="40"/>
      </w:pPr>
    </w:p>
    <w:p>
      <w:r>
        <w:rPr>
          <w:rFonts w:ascii="Times New Roman" w:hAnsi="Times New Roman"/>
          <w:b w:val="0"/>
          <w:i w:val="0"/>
        </w:rPr>
        <w:t xml:space="preserve">On validation, the policies form a largely monotone trade-off. Moving from Request through Mean, P90, and P95 to P99 lowers the any-resource violation percentage from 55.52% to 21.95%. Over the same sequence, average CPU utilization falls from 0.623 to 0.298, and average CPU waste rises from 0.957 to 19.041. The violation-first selection rule therefore selects P99. Across </w:t>
      </w:r>
      <w:r>
        <w:rPr>
          <w:rFonts w:ascii="Courier New" w:hAnsi="Courier New"/>
          <w:b w:val="0"/>
          <w:i w:val="0"/>
          <w:sz w:val="20"/>
        </w:rPr>
        <w:t>min_runs</w:t>
      </w:r>
      <w:r>
        <w:rPr>
          <w:rFonts w:ascii="Times New Roman" w:hAnsi="Times New Roman"/>
          <w:b w:val="0"/>
          <w:i w:val="0"/>
        </w:rPr>
        <w:t xml:space="preserve"> candidates, P99's any-resource violation is 21.95% at </w:t>
      </w:r>
      <w:r>
        <w:rPr>
          <w:rFonts w:ascii="Courier New" w:hAnsi="Courier New"/>
          <w:b w:val="0"/>
          <w:i w:val="0"/>
          <w:sz w:val="20"/>
        </w:rPr>
        <w:t>min_runs = 1</w:t>
      </w:r>
      <w:r>
        <w:rPr>
          <w:rFonts w:ascii="Times New Roman" w:hAnsi="Times New Roman"/>
          <w:b w:val="0"/>
          <w:i w:val="0"/>
        </w:rPr>
        <w:t xml:space="preserve">, 22.39% at 3, 23.31% at 5, and 30.98% at 10. This rise coincides with a higher share of fallbacks to the request at larger </w:t>
      </w:r>
      <w:r>
        <w:rPr>
          <w:rFonts w:ascii="Courier New" w:hAnsi="Courier New"/>
          <w:b w:val="0"/>
          <w:i w:val="0"/>
          <w:sz w:val="20"/>
        </w:rPr>
        <w:t>min_runs</w:t>
      </w:r>
      <w:r>
        <w:rPr>
          <w:rFonts w:ascii="Times New Roman" w:hAnsi="Times New Roman"/>
          <w:b w:val="0"/>
          <w:i w:val="0"/>
        </w:rPr>
        <w:t xml:space="preserve"> (Section 5.2.3), and the Request policy has the highest violation of the five baselines.</w:t>
      </w:r>
    </w:p>
    <w:p>
      <w:r>
        <w:rPr>
          <w:rFonts w:ascii="Times New Roman" w:hAnsi="Times New Roman"/>
          <w:b w:val="0"/>
          <w:i w:val="0"/>
        </w:rPr>
        <w:t>These validation numbers include the 104 test-period targets described in Section 6.2. On the 225 occurrences whose targets fall before the test period, P99's any-resource violation is 18.30%.</w:t>
      </w:r>
    </w:p>
    <w:p>
      <w:r>
        <w:rPr>
          <w:rFonts w:ascii="Times New Roman" w:hAnsi="Times New Roman"/>
          <w:b w:val="0"/>
          <w:i w:val="0"/>
        </w:rPr>
        <w:t xml:space="preserve">Final-test baseline results: </w:t>
      </w:r>
      <w:r>
        <w:rPr>
          <w:rFonts w:ascii="Times New Roman" w:hAnsi="Times New Roman"/>
          <w:b/>
          <w:i w:val="0"/>
          <w:color w:val="9C0006"/>
          <w:highlight w:val="yellow"/>
        </w:rPr>
        <w:t>[TBD — final-test results from Issue 12.]</w:t>
      </w:r>
    </w:p>
    <w:p>
      <w:pPr>
        <w:pStyle w:val="Heading3"/>
      </w:pPr>
      <w:r>
        <w:t>7.1.2 ML and Hybrid Recommendation Results</w:t>
      </w:r>
    </w:p>
    <w:p>
      <w:r>
        <w:rPr>
          <w:rFonts w:ascii="Times New Roman" w:hAnsi="Times New Roman"/>
          <w:b w:val="0"/>
          <w:i w:val="0"/>
        </w:rPr>
        <w:t>ML model-quality results on validation are given in Table 5.1 (Section 5.3.3). Policy-level results for ML-only and Hybrid (violation, utilization, waste, and shortfall, compared with Request, Mean, P90, P95, and P99 through the shared evaluator) have not yet been produced.</w:t>
      </w:r>
    </w:p>
    <w:p>
      <w:pPr>
        <w:pStyle w:val="ListBullet"/>
      </w:pPr>
      <w:r>
        <w:rPr>
          <w:rFonts w:ascii="Times New Roman" w:hAnsi="Times New Roman"/>
          <w:b w:val="0"/>
          <w:i w:val="0"/>
        </w:rPr>
        <w:t xml:space="preserve">Validation policy comparison including ML-only and Hybrid: </w:t>
      </w:r>
      <w:r>
        <w:rPr>
          <w:rFonts w:ascii="Times New Roman" w:hAnsi="Times New Roman"/>
          <w:b/>
          <w:i w:val="0"/>
          <w:color w:val="9C0006"/>
          <w:highlight w:val="yellow"/>
        </w:rPr>
        <w:t>[TBD — Notebook 06 validation comparison, frozen in Issue 11.]</w:t>
      </w:r>
    </w:p>
    <w:p>
      <w:pPr>
        <w:pStyle w:val="ListBullet"/>
      </w:pPr>
      <w:r>
        <w:rPr>
          <w:rFonts w:ascii="Times New Roman" w:hAnsi="Times New Roman"/>
          <w:b w:val="0"/>
          <w:i w:val="0"/>
        </w:rPr>
        <w:t xml:space="preserve">Final-test comparison of all seven policies: </w:t>
      </w:r>
      <w:r>
        <w:rPr>
          <w:rFonts w:ascii="Times New Roman" w:hAnsi="Times New Roman"/>
          <w:b/>
          <w:i w:val="0"/>
          <w:color w:val="9C0006"/>
          <w:highlight w:val="yellow"/>
        </w:rPr>
        <w:t>[TBD — final-test results from Issue 12.]</w:t>
      </w:r>
    </w:p>
    <w:p>
      <w:pPr>
        <w:pStyle w:val="Heading3"/>
      </w:pPr>
      <w:r>
        <w:t>7.1.3 Feature Importance and Explainability</w:t>
      </w:r>
    </w:p>
    <w:p>
      <w:r>
        <w:rPr>
          <w:rFonts w:ascii="Times New Roman" w:hAnsi="Times New Roman"/>
          <w:b/>
          <w:i w:val="0"/>
          <w:color w:val="9C0006"/>
          <w:highlight w:val="yellow"/>
        </w:rPr>
        <w:t>[TBD — feature importance or another model-specific explanation for the locked CPU and memory models, plus analysis of under-provisioned and largest-waste occurrences (Issue 13).]</w:t>
      </w:r>
    </w:p>
    <w:p>
      <w:pPr>
        <w:pStyle w:val="Heading2"/>
      </w:pPr>
      <w:r>
        <w:t>7.2 Cross-Platform Validation Results</w:t>
      </w:r>
    </w:p>
    <w:p>
      <w:r>
        <w:rPr>
          <w:rFonts w:ascii="Times New Roman" w:hAnsi="Times New Roman"/>
          <w:b w:val="0"/>
          <w:i w:val="0"/>
        </w:rPr>
        <w:t xml:space="preserve">No cross-platform result exists yet. PR #70 (merged) documents the Alibaba 2018 and Azure VM semantics and implements canonical adapters, but no canonical external artifacts have been generated (a sample builder, </w:t>
      </w:r>
      <w:r>
        <w:rPr>
          <w:rFonts w:ascii="Courier New" w:hAnsi="Courier New"/>
          <w:b w:val="0"/>
          <w:i w:val="0"/>
          <w:sz w:val="20"/>
        </w:rPr>
        <w:t>scripts/build_external_canonical_samples.py</w:t>
      </w:r>
      <w:r>
        <w:rPr>
          <w:rFonts w:ascii="Times New Roman" w:hAnsi="Times New Roman"/>
          <w:b w:val="0"/>
          <w:i w:val="0"/>
        </w:rPr>
        <w:t>, exists) and no history, profiles, or ML-ready inputs for these datasets have been produced; that work remains open under New Issue 4 (GitHub #66). The capability matrix (</w:t>
      </w:r>
      <w:r>
        <w:rPr>
          <w:rFonts w:ascii="Courier New" w:hAnsi="Courier New"/>
          <w:b w:val="0"/>
          <w:i w:val="0"/>
          <w:sz w:val="20"/>
        </w:rPr>
        <w:t>docs/data/traceadvisor_external_dataset_capability_matrix.csv</w:t>
      </w:r>
      <w:r>
        <w:rPr>
          <w:rFonts w:ascii="Times New Roman" w:hAnsi="Times New Roman"/>
          <w:b w:val="0"/>
          <w:i w:val="0"/>
        </w:rPr>
        <w:t>) records that Alibaba has no explicit recurrence key, so next-occurrence targets are possible only after a derived recurrence rule is validated, and that Azure VM supports CPU-oriented validation but has no observed-memory target. Under the revised plan, each external dataset must run through its own data, feature, target, model, and policy artifacts, and the fitted Google model is not automatically reused for Alibaba or Azure VM. The PR #72 documentation proposes replacing this external-dataset scope with Alibaba GPU v2020 and deferring Azure (Section 3.3.2); that proposal is not implemented. The 295B scope document (Section 7) lists the role of the external datasets, and whether a CLI is still required alongside the API and UI, as open questions to confirm with the team.</w:t>
      </w:r>
    </w:p>
    <w:p>
      <w:r>
        <w:rPr>
          <w:rFonts w:ascii="Times New Roman" w:hAnsi="Times New Roman"/>
          <w:b/>
          <w:i w:val="0"/>
          <w:color w:val="9C0006"/>
          <w:highlight w:val="yellow"/>
        </w:rPr>
        <w:t>[TBD — Alibaba and Azure VM results (New Issue 4; Issues 06–08 for external datasets), and the team/advisor decision on Splitwise and ModServe (scope document, Section 7).]</w:t>
      </w:r>
    </w:p>
    <w:p>
      <w:pPr>
        <w:pStyle w:val="Heading2"/>
      </w:pPr>
      <w:r>
        <w:t>7.3 Discussion of Findings</w:t>
      </w:r>
    </w:p>
    <w:p>
      <w:r>
        <w:rPr>
          <w:rFonts w:ascii="Times New Roman" w:hAnsi="Times New Roman"/>
          <w:b w:val="0"/>
          <w:i w:val="0"/>
        </w:rPr>
        <w:t>The validation evidence supports four observations. They must be rechecked against the final-test results, and the validation metrics behind them include the test-period targets noted in Section 6.2:</w:t>
      </w:r>
    </w:p>
    <w:p>
      <w:pPr>
        <w:pStyle w:val="ListNumber"/>
      </w:pPr>
      <w:r>
        <w:rPr>
          <w:rFonts w:ascii="Times New Roman" w:hAnsi="Times New Roman"/>
          <w:b/>
          <w:i w:val="0"/>
        </w:rPr>
        <w:t>The occurrence definition changes the problem.</w:t>
      </w:r>
      <w:r>
        <w:rPr>
          <w:rFonts w:ascii="Times New Roman" w:hAnsi="Times New Roman"/>
          <w:b w:val="0"/>
          <w:i w:val="0"/>
        </w:rPr>
        <w:t xml:space="preserve"> For the largest occurrence, the full-workload CPU peak (91.877289) is several orders of magnitude larger than the largest individual execution peak (0.013275). Treating an occurrence as one execution would understate the resources a recurring workload actually needs.</w:t>
      </w:r>
    </w:p>
    <w:p>
      <w:pPr>
        <w:pStyle w:val="ListNumber"/>
      </w:pPr>
      <w:r>
        <w:rPr>
          <w:rFonts w:ascii="Times New Roman" w:hAnsi="Times New Roman"/>
          <w:b/>
          <w:i w:val="0"/>
        </w:rPr>
        <w:t>Carrying forward the request is unsafe on this sample.</w:t>
      </w:r>
      <w:r>
        <w:rPr>
          <w:rFonts w:ascii="Times New Roman" w:hAnsi="Times New Roman"/>
          <w:b w:val="0"/>
          <w:i w:val="0"/>
        </w:rPr>
        <w:t xml:space="preserve"> On validation, the Request policy violates at least one resource in 55.52% of valid occurrences, the highest of the five baselines.</w:t>
      </w:r>
    </w:p>
    <w:p>
      <w:pPr>
        <w:pStyle w:val="ListNumber"/>
      </w:pPr>
      <w:r>
        <w:rPr>
          <w:rFonts w:ascii="Times New Roman" w:hAnsi="Times New Roman"/>
          <w:b/>
          <w:i w:val="0"/>
        </w:rPr>
        <w:t>Tail percentiles trade waste for safety.</w:t>
      </w:r>
      <w:r>
        <w:rPr>
          <w:rFonts w:ascii="Times New Roman" w:hAnsi="Times New Roman"/>
          <w:b w:val="0"/>
          <w:i w:val="0"/>
        </w:rPr>
        <w:t xml:space="preserve"> P99 has the lowest validation violation but also the lowest utilization and the highest waste. The best baseline under a violation-first objective is not the best under an efficiency objective, which motivates the planned objective-driven policy engine (New Issue 6).</w:t>
      </w:r>
    </w:p>
    <w:p>
      <w:pPr>
        <w:pStyle w:val="ListNumber"/>
      </w:pPr>
      <w:r>
        <w:rPr>
          <w:rFonts w:ascii="Times New Roman" w:hAnsi="Times New Roman"/>
          <w:b/>
          <w:i w:val="0"/>
        </w:rPr>
        <w:t>ML point accuracy is modest.</w:t>
      </w:r>
      <w:r>
        <w:rPr>
          <w:rFonts w:ascii="Times New Roman" w:hAnsi="Times New Roman"/>
          <w:b w:val="0"/>
          <w:i w:val="0"/>
        </w:rPr>
        <w:t xml:space="preserve"> The selected Random Forest models improve on the starting hyperparameters and on a constant median in </w:t>
      </w:r>
      <w:r>
        <w:rPr>
          <w:rFonts w:ascii="Courier New" w:hAnsi="Courier New"/>
          <w:b w:val="0"/>
          <w:i w:val="0"/>
          <w:sz w:val="20"/>
        </w:rPr>
        <w:t>log1p</w:t>
      </w:r>
      <w:r>
        <w:rPr>
          <w:rFonts w:ascii="Times New Roman" w:hAnsi="Times New Roman"/>
          <w:b w:val="0"/>
          <w:i w:val="0"/>
        </w:rPr>
        <w:t xml:space="preserve"> RMSE, but their raw-scale R² is near zero for CPU and 0.107 for memory. ML predictions are therefore expected to be most useful in combination with a historical safeguard, which is the purpose of the planned Hybrid layer. Whether Hybrid improves the violation–waste trade-off is untested.</w:t>
      </w:r>
    </w:p>
    <w:p>
      <w:r>
        <w:rPr>
          <w:rFonts w:ascii="Times New Roman" w:hAnsi="Times New Roman"/>
          <w:b/>
          <w:i w:val="0"/>
          <w:color w:val="9C0006"/>
          <w:highlight w:val="yellow"/>
        </w:rPr>
        <w:t>[TBD — discussion of final-test results, Hybrid and objective behavior, failure cases, and cross-platform findings (Issues 12, 13; New Issues 4 and 6).]</w:t>
      </w:r>
    </w:p>
    <w:p>
      <w:r>
        <w:br w:type="page"/>
      </w:r>
    </w:p>
    <w:p>
      <w:pPr>
        <w:pStyle w:val="Heading1"/>
      </w:pPr>
      <w:r>
        <w:t>Chapter 8. Operations, Reproducibility, and Future Deployment</w:t>
      </w:r>
    </w:p>
    <w:p>
      <w:pPr>
        <w:pStyle w:val="Heading2"/>
      </w:pPr>
      <w:r>
        <w:t>8.1 Offline Artifact Workflow</w:t>
      </w:r>
    </w:p>
    <w:p>
      <w:r>
        <w:rPr>
          <w:rFonts w:ascii="Times New Roman" w:hAnsi="Times New Roman"/>
          <w:b w:val="0"/>
          <w:i w:val="0"/>
        </w:rPr>
        <w:t xml:space="preserve">TraceAdvisor operates offline. The raw sample is placed at </w:t>
      </w:r>
      <w:r>
        <w:rPr>
          <w:rFonts w:ascii="Courier New" w:hAnsi="Courier New"/>
          <w:b w:val="0"/>
          <w:i w:val="0"/>
          <w:sz w:val="20"/>
        </w:rPr>
        <w:t>subset/borg_traces_data.csv</w:t>
      </w:r>
      <w:r>
        <w:rPr>
          <w:rFonts w:ascii="Times New Roman" w:hAnsi="Times New Roman"/>
          <w:b w:val="0"/>
          <w:i w:val="0"/>
        </w:rPr>
        <w:t xml:space="preserve">, the notebooks are run in order, and each notebook reads only the artifacts of earlier stages from </w:t>
      </w:r>
      <w:r>
        <w:rPr>
          <w:rFonts w:ascii="Courier New" w:hAnsi="Courier New"/>
          <w:b w:val="0"/>
          <w:i w:val="0"/>
          <w:sz w:val="20"/>
        </w:rPr>
        <w:t>data/processed/google_subset_v1/</w:t>
      </w:r>
      <w:r>
        <w:rPr>
          <w:rFonts w:ascii="Times New Roman" w:hAnsi="Times New Roman"/>
          <w:b w:val="0"/>
          <w:i w:val="0"/>
        </w:rPr>
        <w:t xml:space="preserve">. Decisions travel with the artifacts: </w:t>
      </w:r>
      <w:r>
        <w:rPr>
          <w:rFonts w:ascii="Courier New" w:hAnsi="Courier New"/>
          <w:b w:val="0"/>
          <w:i w:val="0"/>
          <w:sz w:val="20"/>
        </w:rPr>
        <w:t>metadata.json</w:t>
      </w:r>
      <w:r>
        <w:rPr>
          <w:rFonts w:ascii="Times New Roman" w:hAnsi="Times New Roman"/>
          <w:b w:val="0"/>
          <w:i w:val="0"/>
        </w:rPr>
        <w:t xml:space="preserve"> records the occurrence key definition, split boundaries, target definition, </w:t>
      </w:r>
      <w:r>
        <w:rPr>
          <w:rFonts w:ascii="Courier New" w:hAnsi="Courier New"/>
          <w:b w:val="0"/>
          <w:i w:val="0"/>
          <w:sz w:val="20"/>
        </w:rPr>
        <w:t>min_runs</w:t>
      </w:r>
      <w:r>
        <w:rPr>
          <w:rFonts w:ascii="Times New Roman" w:hAnsi="Times New Roman"/>
          <w:b w:val="0"/>
          <w:i w:val="0"/>
        </w:rPr>
        <w:t xml:space="preserve"> basis, selected baseline, and test policy, and </w:t>
      </w:r>
      <w:r>
        <w:rPr>
          <w:rFonts w:ascii="Courier New" w:hAnsi="Courier New"/>
          <w:b w:val="0"/>
          <w:i w:val="0"/>
          <w:sz w:val="20"/>
        </w:rPr>
        <w:t>ml_metadata.json</w:t>
      </w:r>
      <w:r>
        <w:rPr>
          <w:rFonts w:ascii="Times New Roman" w:hAnsi="Times New Roman"/>
          <w:b w:val="0"/>
          <w:i w:val="0"/>
        </w:rPr>
        <w:t xml:space="preserve"> records the feature manifest, tuning grids, cross-validation scheme, selection rule, locked parameters, refit data, and library versions. The planned API and UI will read these precomputed artifacts and will not train or run models live. Live scheduler integration, online inference, autoscaling, authentication, cloud hosting, and a production multi-user backend are explicitly out of scope (backlog, p. 20).</w:t>
      </w:r>
    </w:p>
    <w:p>
      <w:pPr>
        <w:pStyle w:val="Heading2"/>
      </w:pPr>
      <w:r>
        <w:t>8.2 Reproducibility and Repository Layout</w:t>
      </w:r>
    </w:p>
    <w:p>
      <w:r>
        <w:rPr>
          <w:rFonts w:ascii="Times New Roman" w:hAnsi="Times New Roman"/>
          <w:b w:val="0"/>
          <w:i w:val="0"/>
        </w:rPr>
        <w:t>The repository is organized as follows:</w:t>
      </w:r>
    </w:p>
    <w:p>
      <w:pPr>
        <w:pStyle w:val="ListBullet"/>
      </w:pPr>
      <w:r>
        <w:rPr>
          <w:rFonts w:ascii="Courier New" w:hAnsi="Courier New"/>
          <w:b w:val="0"/>
          <w:i w:val="0"/>
          <w:sz w:val="20"/>
        </w:rPr>
        <w:t>pipelines/google_subset/</w:t>
      </w:r>
      <w:r>
        <w:rPr>
          <w:rFonts w:ascii="Times New Roman" w:hAnsi="Times New Roman"/>
          <w:b w:val="0"/>
          <w:i w:val="0"/>
        </w:rPr>
        <w:t>: current Google pipeline notebooks (00–05)</w:t>
      </w:r>
    </w:p>
    <w:p>
      <w:pPr>
        <w:pStyle w:val="ListBullet"/>
      </w:pPr>
      <w:r>
        <w:rPr>
          <w:rFonts w:ascii="Courier New" w:hAnsi="Courier New"/>
          <w:b w:val="0"/>
          <w:i w:val="0"/>
          <w:sz w:val="20"/>
        </w:rPr>
        <w:t>src/evaluation/</w:t>
      </w:r>
      <w:r>
        <w:rPr>
          <w:rFonts w:ascii="Times New Roman" w:hAnsi="Times New Roman"/>
          <w:b w:val="0"/>
          <w:i w:val="0"/>
        </w:rPr>
        <w:t>: shared metrics and evaluator</w:t>
      </w:r>
    </w:p>
    <w:p>
      <w:pPr>
        <w:pStyle w:val="ListBullet"/>
      </w:pPr>
      <w:r>
        <w:rPr>
          <w:rFonts w:ascii="Courier New" w:hAnsi="Courier New"/>
          <w:b w:val="0"/>
          <w:i w:val="0"/>
          <w:sz w:val="20"/>
        </w:rPr>
        <w:t>src/features/</w:t>
      </w:r>
      <w:r>
        <w:rPr>
          <w:rFonts w:ascii="Times New Roman" w:hAnsi="Times New Roman"/>
          <w:b w:val="0"/>
          <w:i w:val="0"/>
        </w:rPr>
        <w:t>: split utility, feature configuration, ML preparation helpers</w:t>
      </w:r>
    </w:p>
    <w:p>
      <w:pPr>
        <w:pStyle w:val="ListBullet"/>
      </w:pPr>
      <w:r>
        <w:rPr>
          <w:rFonts w:ascii="Courier New" w:hAnsi="Courier New"/>
          <w:b w:val="0"/>
          <w:i w:val="0"/>
          <w:sz w:val="20"/>
        </w:rPr>
        <w:t>src/canonical/</w:t>
      </w:r>
      <w:r>
        <w:rPr>
          <w:rFonts w:ascii="Times New Roman" w:hAnsi="Times New Roman"/>
          <w:b w:val="0"/>
          <w:i w:val="0"/>
        </w:rPr>
        <w:t xml:space="preserve">, </w:t>
      </w:r>
      <w:r>
        <w:rPr>
          <w:rFonts w:ascii="Courier New" w:hAnsi="Courier New"/>
          <w:b w:val="0"/>
          <w:i w:val="0"/>
          <w:sz w:val="20"/>
        </w:rPr>
        <w:t>src/adapters/</w:t>
      </w:r>
      <w:r>
        <w:rPr>
          <w:rFonts w:ascii="Times New Roman" w:hAnsi="Times New Roman"/>
          <w:b w:val="0"/>
          <w:i w:val="0"/>
        </w:rPr>
        <w:t xml:space="preserve">, </w:t>
      </w:r>
      <w:r>
        <w:rPr>
          <w:rFonts w:ascii="Courier New" w:hAnsi="Courier New"/>
          <w:b w:val="0"/>
          <w:i w:val="0"/>
          <w:sz w:val="20"/>
        </w:rPr>
        <w:t>config/</w:t>
      </w:r>
      <w:r>
        <w:rPr>
          <w:rFonts w:ascii="Times New Roman" w:hAnsi="Times New Roman"/>
          <w:b w:val="0"/>
          <w:i w:val="0"/>
        </w:rPr>
        <w:t xml:space="preserve">, </w:t>
      </w:r>
      <w:r>
        <w:rPr>
          <w:rFonts w:ascii="Courier New" w:hAnsi="Courier New"/>
          <w:b w:val="0"/>
          <w:i w:val="0"/>
          <w:sz w:val="20"/>
        </w:rPr>
        <w:t>examples/</w:t>
      </w:r>
      <w:r>
        <w:rPr>
          <w:rFonts w:ascii="Times New Roman" w:hAnsi="Times New Roman"/>
          <w:b w:val="0"/>
          <w:i w:val="0"/>
        </w:rPr>
        <w:t>: canonical schema, dataset adapters, dataset capability configuration, and example canonical records (PR #70)</w:t>
      </w:r>
    </w:p>
    <w:p>
      <w:pPr>
        <w:pStyle w:val="ListBullet"/>
      </w:pPr>
      <w:r>
        <w:rPr>
          <w:rFonts w:ascii="Courier New" w:hAnsi="Courier New"/>
          <w:b w:val="0"/>
          <w:i w:val="0"/>
          <w:sz w:val="20"/>
        </w:rPr>
        <w:t>scripts/</w:t>
      </w:r>
      <w:r>
        <w:rPr>
          <w:rFonts w:ascii="Times New Roman" w:hAnsi="Times New Roman"/>
          <w:b w:val="0"/>
          <w:i w:val="0"/>
        </w:rPr>
        <w:t>: helper scripts, including the external canonical sample builder (PR #70)</w:t>
      </w:r>
    </w:p>
    <w:p>
      <w:pPr>
        <w:pStyle w:val="ListBullet"/>
      </w:pPr>
      <w:r>
        <w:rPr>
          <w:rFonts w:ascii="Courier New" w:hAnsi="Courier New"/>
          <w:b w:val="0"/>
          <w:i w:val="0"/>
          <w:sz w:val="20"/>
        </w:rPr>
        <w:t>tests/</w:t>
      </w:r>
      <w:r>
        <w:rPr>
          <w:rFonts w:ascii="Times New Roman" w:hAnsi="Times New Roman"/>
          <w:b w:val="0"/>
          <w:i w:val="0"/>
        </w:rPr>
        <w:t>: pytest unit tests</w:t>
      </w:r>
    </w:p>
    <w:p>
      <w:pPr>
        <w:pStyle w:val="ListBullet"/>
      </w:pPr>
      <w:r>
        <w:rPr>
          <w:rFonts w:ascii="Courier New" w:hAnsi="Courier New"/>
          <w:b w:val="0"/>
          <w:i w:val="0"/>
          <w:sz w:val="20"/>
        </w:rPr>
        <w:t>docs/</w:t>
      </w:r>
      <w:r>
        <w:rPr>
          <w:rFonts w:ascii="Times New Roman" w:hAnsi="Times New Roman"/>
          <w:b w:val="0"/>
          <w:i w:val="0"/>
        </w:rPr>
        <w:t>: planning, data, evaluation, meeting, and reference documents</w:t>
      </w:r>
    </w:p>
    <w:p>
      <w:pPr>
        <w:pStyle w:val="ListBullet"/>
      </w:pPr>
      <w:r>
        <w:rPr>
          <w:rFonts w:ascii="Courier New" w:hAnsi="Courier New"/>
          <w:b w:val="0"/>
          <w:i w:val="0"/>
          <w:sz w:val="20"/>
        </w:rPr>
        <w:t>data/processed/google_subset_v1/</w:t>
      </w:r>
      <w:r>
        <w:rPr>
          <w:rFonts w:ascii="Times New Roman" w:hAnsi="Times New Roman"/>
          <w:b w:val="0"/>
          <w:i w:val="0"/>
        </w:rPr>
        <w:t>: generated artifacts (not committed)</w:t>
      </w:r>
    </w:p>
    <w:p>
      <w:pPr>
        <w:pStyle w:val="ListBullet"/>
      </w:pPr>
      <w:r>
        <w:rPr>
          <w:rFonts w:ascii="Times New Roman" w:hAnsi="Times New Roman"/>
          <w:b w:val="0"/>
          <w:i w:val="0"/>
        </w:rPr>
        <w:t xml:space="preserve">295A-era material: </w:t>
      </w:r>
      <w:r>
        <w:rPr>
          <w:rFonts w:ascii="Courier New" w:hAnsi="Courier New"/>
          <w:b w:val="0"/>
          <w:i w:val="0"/>
          <w:sz w:val="20"/>
        </w:rPr>
        <w:t>notebooks/</w:t>
      </w:r>
      <w:r>
        <w:rPr>
          <w:rFonts w:ascii="Times New Roman" w:hAnsi="Times New Roman"/>
          <w:b w:val="0"/>
          <w:i w:val="0"/>
        </w:rPr>
        <w:t xml:space="preserve">, </w:t>
      </w:r>
      <w:r>
        <w:rPr>
          <w:rFonts w:ascii="Courier New" w:hAnsi="Courier New"/>
          <w:b w:val="0"/>
          <w:i w:val="0"/>
          <w:sz w:val="20"/>
        </w:rPr>
        <w:t>src/eval/</w:t>
      </w:r>
      <w:r>
        <w:rPr>
          <w:rFonts w:ascii="Times New Roman" w:hAnsi="Times New Roman"/>
          <w:b w:val="0"/>
          <w:i w:val="0"/>
        </w:rPr>
        <w:t xml:space="preserve">, </w:t>
      </w:r>
      <w:r>
        <w:rPr>
          <w:rFonts w:ascii="Courier New" w:hAnsi="Courier New"/>
          <w:b w:val="0"/>
          <w:i w:val="0"/>
          <w:sz w:val="20"/>
        </w:rPr>
        <w:t>src/baselines/</w:t>
      </w:r>
      <w:r>
        <w:rPr>
          <w:rFonts w:ascii="Times New Roman" w:hAnsi="Times New Roman"/>
          <w:b w:val="0"/>
          <w:i w:val="0"/>
        </w:rPr>
        <w:t xml:space="preserve">, </w:t>
      </w:r>
      <w:r>
        <w:rPr>
          <w:rFonts w:ascii="Courier New" w:hAnsi="Courier New"/>
          <w:b w:val="0"/>
          <w:i w:val="0"/>
          <w:sz w:val="20"/>
        </w:rPr>
        <w:t>reports/eval/</w:t>
      </w:r>
      <w:r>
        <w:rPr>
          <w:rFonts w:ascii="Times New Roman" w:hAnsi="Times New Roman"/>
          <w:b w:val="0"/>
          <w:i w:val="0"/>
        </w:rPr>
        <w:t>. This material is kept for background and is not part of the occurrence-level pipeline.</w:t>
      </w:r>
    </w:p>
    <w:p>
      <w:r>
        <w:rPr>
          <w:rFonts w:ascii="Times New Roman" w:hAnsi="Times New Roman"/>
          <w:b w:val="0"/>
          <w:i w:val="0"/>
        </w:rPr>
        <w:t>To reproduce the pipeline, install the dependencies (</w:t>
      </w:r>
      <w:r>
        <w:rPr>
          <w:rFonts w:ascii="Courier New" w:hAnsi="Courier New"/>
          <w:b w:val="0"/>
          <w:i w:val="0"/>
          <w:sz w:val="20"/>
        </w:rPr>
        <w:t>pip install -r requirements.txt</w:t>
      </w:r>
      <w:r>
        <w:rPr>
          <w:rFonts w:ascii="Times New Roman" w:hAnsi="Times New Roman"/>
          <w:b w:val="0"/>
          <w:i w:val="0"/>
        </w:rPr>
        <w:t xml:space="preserve">), place the Kaggle sample at </w:t>
      </w:r>
      <w:r>
        <w:rPr>
          <w:rFonts w:ascii="Courier New" w:hAnsi="Courier New"/>
          <w:b w:val="0"/>
          <w:i w:val="0"/>
          <w:sz w:val="20"/>
        </w:rPr>
        <w:t>subset/borg_traces_data.csv</w:t>
      </w:r>
      <w:r>
        <w:rPr>
          <w:rFonts w:ascii="Times New Roman" w:hAnsi="Times New Roman"/>
          <w:b w:val="0"/>
          <w:i w:val="0"/>
        </w:rPr>
        <w:t xml:space="preserve">, run Notebooks 00–04 (and Notebook 05 once PR #61 is merged), and run </w:t>
      </w:r>
      <w:r>
        <w:rPr>
          <w:rFonts w:ascii="Courier New" w:hAnsi="Courier New"/>
          <w:b w:val="0"/>
          <w:i w:val="0"/>
          <w:sz w:val="20"/>
        </w:rPr>
        <w:t>pytest</w:t>
      </w:r>
      <w:r>
        <w:rPr>
          <w:rFonts w:ascii="Times New Roman" w:hAnsi="Times New Roman"/>
          <w:b w:val="0"/>
          <w:i w:val="0"/>
        </w:rPr>
        <w:t xml:space="preserve"> (one known failure on </w:t>
      </w:r>
      <w:r>
        <w:rPr>
          <w:rFonts w:ascii="Courier New" w:hAnsi="Courier New"/>
          <w:b w:val="0"/>
          <w:i w:val="0"/>
          <w:sz w:val="20"/>
        </w:rPr>
        <w:t>main</w:t>
      </w:r>
      <w:r>
        <w:rPr>
          <w:rFonts w:ascii="Times New Roman" w:hAnsi="Times New Roman"/>
          <w:b w:val="0"/>
          <w:i w:val="0"/>
        </w:rPr>
        <w:t xml:space="preserve">; Section 6.3). PR #61 adds </w:t>
      </w:r>
      <w:r>
        <w:rPr>
          <w:rFonts w:ascii="Courier New" w:hAnsi="Courier New"/>
          <w:b w:val="0"/>
          <w:i w:val="0"/>
          <w:sz w:val="20"/>
        </w:rPr>
        <w:t>xgboost</w:t>
      </w:r>
      <w:r>
        <w:rPr>
          <w:rFonts w:ascii="Times New Roman" w:hAnsi="Times New Roman"/>
          <w:b w:val="0"/>
          <w:i w:val="0"/>
        </w:rPr>
        <w:t xml:space="preserve"> to </w:t>
      </w:r>
      <w:r>
        <w:rPr>
          <w:rFonts w:ascii="Courier New" w:hAnsi="Courier New"/>
          <w:b w:val="0"/>
          <w:i w:val="0"/>
          <w:sz w:val="20"/>
        </w:rPr>
        <w:t>requirements.txt</w:t>
      </w:r>
      <w:r>
        <w:rPr>
          <w:rFonts w:ascii="Times New Roman" w:hAnsi="Times New Roman"/>
          <w:b w:val="0"/>
          <w:i w:val="0"/>
        </w:rPr>
        <w:t xml:space="preserve">, which Notebook 05 needs. Randomness is fixed with </w:t>
      </w:r>
      <w:r>
        <w:rPr>
          <w:rFonts w:ascii="Courier New" w:hAnsi="Courier New"/>
          <w:b w:val="0"/>
          <w:i w:val="0"/>
          <w:sz w:val="20"/>
        </w:rPr>
        <w:t>random_state = 42</w:t>
      </w:r>
      <w:r>
        <w:rPr>
          <w:rFonts w:ascii="Times New Roman" w:hAnsi="Times New Roman"/>
          <w:b w:val="0"/>
          <w:i w:val="0"/>
        </w:rPr>
        <w:t>.</w:t>
      </w:r>
    </w:p>
    <w:p>
      <w:r>
        <w:rPr>
          <w:rFonts w:ascii="Times New Roman" w:hAnsi="Times New Roman"/>
          <w:b w:val="0"/>
          <w:i w:val="0"/>
        </w:rPr>
        <w:t xml:space="preserve">Two reproducibility gaps remain open for Issue 16. First, the backlog requires that no final report or demo depend on untracked local files, but all artifacts are currently gitignored local files. Second, a clean-clone smoke test on a small fixture does not exist yet. </w:t>
      </w:r>
      <w:r>
        <w:rPr>
          <w:rFonts w:ascii="Times New Roman" w:hAnsi="Times New Roman"/>
          <w:b/>
          <w:i w:val="0"/>
          <w:color w:val="9C0006"/>
          <w:highlight w:val="yellow"/>
        </w:rPr>
        <w:t>[TBD — release manifest with artifact versions and paths, clean-clone smoke test, and final README/runbook (Issues 16 and 18).]</w:t>
      </w:r>
    </w:p>
    <w:p>
      <w:pPr>
        <w:pStyle w:val="Heading2"/>
      </w:pPr>
      <w:r>
        <w:t>8.3 Interactive Developer Dashboard (Planned)</w:t>
      </w:r>
    </w:p>
    <w:p>
      <w:r>
        <w:rPr>
          <w:rFonts w:ascii="Times New Roman" w:hAnsi="Times New Roman"/>
          <w:b w:val="0"/>
          <w:i w:val="0"/>
        </w:rPr>
        <w:t>The dashboard is planned and has not been built. Under the revised plan:</w:t>
      </w:r>
    </w:p>
    <w:p>
      <w:pPr>
        <w:pStyle w:val="ListBullet"/>
      </w:pPr>
      <w:r>
        <w:rPr>
          <w:rFonts w:ascii="Times New Roman" w:hAnsi="Times New Roman"/>
          <w:b/>
          <w:i w:val="0"/>
        </w:rPr>
        <w:t>New Issue 8 (UI simulation):</w:t>
      </w:r>
      <w:r>
        <w:rPr>
          <w:rFonts w:ascii="Times New Roman" w:hAnsi="Times New Roman"/>
          <w:b w:val="0"/>
          <w:i w:val="0"/>
        </w:rPr>
        <w:t xml:space="preserve"> the user will select a dataset (Google, Alibaba, or Azure VM, when an artifact is available), a workload or occurrence, and a Conservative, Balanced, or Efficient objective. The UI is to show recommendations, violation risk, utilization, waste, and shortfall from saved outputs, explain the strategy and parameters chosen by the policy engine, and not duplicate evaluator formulas.</w:t>
      </w:r>
    </w:p>
    <w:p>
      <w:pPr>
        <w:pStyle w:val="ListBullet"/>
      </w:pPr>
      <w:r>
        <w:rPr>
          <w:rFonts w:ascii="Times New Roman" w:hAnsi="Times New Roman"/>
          <w:b/>
          <w:i w:val="0"/>
        </w:rPr>
        <w:t>New Issue 7 (API):</w:t>
      </w:r>
      <w:r>
        <w:rPr>
          <w:rFonts w:ascii="Times New Roman" w:hAnsi="Times New Roman"/>
          <w:b w:val="0"/>
          <w:i w:val="0"/>
        </w:rPr>
        <w:t xml:space="preserve"> a read-only API is to serve the common recommendation contract.</w:t>
      </w:r>
    </w:p>
    <w:p>
      <w:pPr>
        <w:pStyle w:val="ListBullet"/>
      </w:pPr>
      <w:r>
        <w:rPr>
          <w:rFonts w:ascii="Times New Roman" w:hAnsi="Times New Roman"/>
          <w:b/>
          <w:i w:val="0"/>
        </w:rPr>
        <w:t>New Issue 9 (integration):</w:t>
      </w:r>
      <w:r>
        <w:rPr>
          <w:rFonts w:ascii="Times New Roman" w:hAnsi="Times New Roman"/>
          <w:b w:val="0"/>
          <w:i w:val="0"/>
        </w:rPr>
        <w:t xml:space="preserve"> is to connect the UI to the API, demonstrate the Conservative, Balanced, Efficient, and fallback cases, and work without downloading a large raw trace at runtime.</w:t>
      </w:r>
    </w:p>
    <w:p>
      <w:r>
        <w:rPr>
          <w:rFonts w:ascii="Times New Roman" w:hAnsi="Times New Roman"/>
          <w:b w:val="0"/>
          <w:i w:val="0"/>
        </w:rPr>
        <w:t>The original backlog also lists an API/CLI and an interactive dashboard (Issues 14 and 15); whether a CLI is still required alongside the revised API and UI is an open question in the 295B scope document (Section 7).</w:t>
      </w:r>
    </w:p>
    <w:p>
      <w:r>
        <w:rPr>
          <w:rFonts w:ascii="Times New Roman" w:hAnsi="Times New Roman"/>
          <w:b/>
          <w:i w:val="0"/>
          <w:color w:val="9C0006"/>
          <w:highlight w:val="yellow"/>
        </w:rPr>
        <w:t>[TBD — dashboard design, screenshots, and demo walkthrough (New Issues 7–9; Issue 18).]</w:t>
      </w:r>
    </w:p>
    <w:p>
      <w:r>
        <w:br w:type="page"/>
      </w:r>
    </w:p>
    <w:p>
      <w:pPr>
        <w:pStyle w:val="Heading1"/>
      </w:pPr>
      <w:r>
        <w:t>Chapter 9. Summary, Conclusions, and Recommendations</w:t>
      </w:r>
    </w:p>
    <w:p>
      <w:pPr>
        <w:pStyle w:val="Heading2"/>
      </w:pPr>
      <w:r>
        <w:t>9.1 Summary</w:t>
      </w:r>
    </w:p>
    <w:p>
      <w:r>
        <w:rPr>
          <w:rFonts w:ascii="Times New Roman" w:hAnsi="Times New Roman"/>
          <w:b w:val="0"/>
          <w:i w:val="0"/>
        </w:rPr>
        <w:t>In 295B, the team rebuilt the TraceAdvisor Google pipeline around the full-workload occurrence. The implemented stages:</w:t>
      </w:r>
    </w:p>
    <w:p>
      <w:pPr>
        <w:pStyle w:val="ListBullet"/>
      </w:pPr>
      <w:r>
        <w:rPr>
          <w:rFonts w:ascii="Times New Roman" w:hAnsi="Times New Roman"/>
          <w:b w:val="0"/>
          <w:i w:val="0"/>
        </w:rPr>
        <w:t>audit and ingest a 405,894-row sample of Google ClusterData 2019 without dropping rows;</w:t>
      </w:r>
    </w:p>
    <w:p>
      <w:pPr>
        <w:pStyle w:val="ListBullet"/>
      </w:pPr>
      <w:r>
        <w:rPr>
          <w:rFonts w:ascii="Times New Roman" w:hAnsi="Times New Roman"/>
          <w:b w:val="0"/>
          <w:i w:val="0"/>
        </w:rPr>
        <w:t>reconstruct 253,585 executions with a gap-based episode rule and group them into 2,280 recurring workloads;</w:t>
      </w:r>
    </w:p>
    <w:p>
      <w:pPr>
        <w:pStyle w:val="ListBullet"/>
      </w:pPr>
      <w:r>
        <w:rPr>
          <w:rFonts w:ascii="Times New Roman" w:hAnsi="Times New Roman"/>
          <w:b w:val="0"/>
          <w:i w:val="0"/>
        </w:rPr>
        <w:t>aggregate 4,879 full-workload occurrences with aligned-window peaks and point-in-time history;</w:t>
      </w:r>
    </w:p>
    <w:p>
      <w:pPr>
        <w:pStyle w:val="ListBullet"/>
      </w:pPr>
      <w:r>
        <w:rPr>
          <w:rFonts w:ascii="Times New Roman" w:hAnsi="Times New Roman"/>
          <w:b w:val="0"/>
          <w:i w:val="0"/>
        </w:rPr>
        <w:t>split the occurrences chronologically and attach next-occurrence targets;</w:t>
      </w:r>
    </w:p>
    <w:p>
      <w:pPr>
        <w:pStyle w:val="ListBullet"/>
      </w:pPr>
      <w:r>
        <w:rPr>
          <w:rFonts w:ascii="Times New Roman" w:hAnsi="Times New Roman"/>
          <w:b w:val="0"/>
          <w:i w:val="0"/>
        </w:rPr>
        <w:t xml:space="preserve">select a historical baseline (P99, </w:t>
      </w:r>
      <w:r>
        <w:rPr>
          <w:rFonts w:ascii="Courier New" w:hAnsi="Courier New"/>
          <w:b w:val="0"/>
          <w:i w:val="0"/>
          <w:sz w:val="20"/>
        </w:rPr>
        <w:t>min_runs = 1</w:t>
      </w:r>
      <w:r>
        <w:rPr>
          <w:rFonts w:ascii="Times New Roman" w:hAnsi="Times New Roman"/>
          <w:b w:val="0"/>
          <w:i w:val="0"/>
        </w:rPr>
        <w:t>) on validation only, through a shared evaluator that reports valid denominators.</w:t>
      </w:r>
    </w:p>
    <w:p>
      <w:r>
        <w:rPr>
          <w:rFonts w:ascii="Times New Roman" w:hAnsi="Times New Roman"/>
          <w:b w:val="0"/>
          <w:i w:val="0"/>
        </w:rPr>
        <w:t>An ML stage that tunes, selects, locks, and refits per-resource Random Forest models is in review (PR #61). A capability-aware canonical schema and adapter framework with Alibaba 2018 and Azure VM adapters is merged (PR #70); downstream preparation for those datasets remains open (New Issue 4), and a documentation-only proposal (PR #72) would change the external-dataset scope. Hybrid construction, the decision freeze, the final-test evaluation, explainability, the policy engine, and the product layer are planned.</w:t>
      </w:r>
    </w:p>
    <w:p>
      <w:pPr>
        <w:pStyle w:val="Heading2"/>
      </w:pPr>
      <w:r>
        <w:t>9.2 Conclusions</w:t>
      </w:r>
    </w:p>
    <w:p>
      <w:r>
        <w:rPr>
          <w:rFonts w:ascii="Times New Roman" w:hAnsi="Times New Roman"/>
          <w:b w:val="0"/>
          <w:i w:val="0"/>
        </w:rPr>
        <w:t>From the evidence available now, three conclusions can be drawn:</w:t>
      </w:r>
    </w:p>
    <w:p>
      <w:pPr>
        <w:pStyle w:val="ListBullet"/>
      </w:pPr>
      <w:r>
        <w:rPr>
          <w:rFonts w:ascii="Times New Roman" w:hAnsi="Times New Roman"/>
          <w:b w:val="0"/>
          <w:i w:val="0"/>
        </w:rPr>
        <w:t>A correct occurrence definition matters: full-workload peaks can differ from individual execution peaks by orders of magnitude.</w:t>
      </w:r>
    </w:p>
    <w:p>
      <w:pPr>
        <w:pStyle w:val="ListBullet"/>
      </w:pPr>
      <w:r>
        <w:rPr>
          <w:rFonts w:ascii="Times New Roman" w:hAnsi="Times New Roman"/>
          <w:b w:val="0"/>
          <w:i w:val="0"/>
        </w:rPr>
        <w:t>A validation-only selection process has been implemented end to end for the baselines. Its validation scores, however, still include test-period targets (Section 6.2), so the evaluation is not yet fully leakage-safe.</w:t>
      </w:r>
    </w:p>
    <w:p>
      <w:pPr>
        <w:pStyle w:val="ListBullet"/>
      </w:pPr>
      <w:r>
        <w:rPr>
          <w:rFonts w:ascii="Times New Roman" w:hAnsi="Times New Roman"/>
          <w:b w:val="0"/>
          <w:i w:val="0"/>
        </w:rPr>
        <w:t>On validation, tail-percentile baselines reduce violations relative to carrying the request forward, at a substantial waste cost.</w:t>
      </w:r>
    </w:p>
    <w:p>
      <w:r>
        <w:rPr>
          <w:rFonts w:ascii="Times New Roman" w:hAnsi="Times New Roman"/>
          <w:b w:val="0"/>
          <w:i w:val="0"/>
        </w:rPr>
        <w:t xml:space="preserve">The project's central claims about final policy performance cannot yet be stated. </w:t>
      </w:r>
      <w:r>
        <w:rPr>
          <w:rFonts w:ascii="Times New Roman" w:hAnsi="Times New Roman"/>
          <w:b/>
          <w:i w:val="0"/>
          <w:color w:val="9C0006"/>
          <w:highlight w:val="yellow"/>
        </w:rPr>
        <w:t>[TBD — conclusions on final-test performance of Request, Mean, P90, P95, P99, ML-only, and Hybrid (Issue 12), and on cross-platform behavior (New Issue 4).]</w:t>
      </w:r>
    </w:p>
    <w:p>
      <w:pPr>
        <w:pStyle w:val="Heading2"/>
      </w:pPr>
      <w:r>
        <w:t>9.3 Limitations and Recommendations for Further Research</w:t>
      </w:r>
    </w:p>
    <w:p>
      <w:r>
        <w:rPr>
          <w:rFonts w:ascii="Times New Roman" w:hAnsi="Times New Roman"/>
          <w:b w:val="0"/>
          <w:i w:val="0"/>
        </w:rPr>
        <w:t>Current limitations, each documented in the sources:</w:t>
      </w:r>
    </w:p>
    <w:p>
      <w:pPr>
        <w:pStyle w:val="ListBullet"/>
      </w:pPr>
      <w:r>
        <w:rPr>
          <w:rFonts w:ascii="Times New Roman" w:hAnsi="Times New Roman"/>
          <w:b/>
          <w:i w:val="0"/>
        </w:rPr>
        <w:t>Data scale.</w:t>
      </w:r>
      <w:r>
        <w:rPr>
          <w:rFonts w:ascii="Times New Roman" w:hAnsi="Times New Roman"/>
          <w:b w:val="0"/>
          <w:i w:val="0"/>
        </w:rPr>
        <w:t xml:space="preserve"> Results come from one Kaggle sample of about 31 days, not the full ClusterData 2019 traces.</w:t>
      </w:r>
    </w:p>
    <w:p>
      <w:pPr>
        <w:pStyle w:val="ListBullet"/>
      </w:pPr>
      <w:r>
        <w:rPr>
          <w:rFonts w:ascii="Times New Roman" w:hAnsi="Times New Roman"/>
          <w:b/>
          <w:i w:val="0"/>
        </w:rPr>
        <w:t>Recurrence is inferred.</w:t>
      </w:r>
      <w:r>
        <w:rPr>
          <w:rFonts w:ascii="Times New Roman" w:hAnsi="Times New Roman"/>
          <w:b w:val="0"/>
          <w:i w:val="0"/>
        </w:rPr>
        <w:t xml:space="preserve"> The </w:t>
      </w:r>
      <w:r>
        <w:rPr>
          <w:rFonts w:ascii="Courier New" w:hAnsi="Courier New"/>
          <w:b w:val="0"/>
          <w:i w:val="0"/>
          <w:sz w:val="20"/>
        </w:rPr>
        <w:t>recurrence_key</w:t>
      </w:r>
      <w:r>
        <w:rPr>
          <w:rFonts w:ascii="Times New Roman" w:hAnsi="Times New Roman"/>
          <w:b w:val="0"/>
          <w:i w:val="0"/>
        </w:rPr>
        <w:t xml:space="preserve"> (user and logical name) is a heuristic grouping, not a ground-truth job identifier. Most recurrences have few occurrences: the median is one occurrence per key.</w:t>
      </w:r>
    </w:p>
    <w:p>
      <w:pPr>
        <w:pStyle w:val="ListBullet"/>
      </w:pPr>
      <w:r>
        <w:rPr>
          <w:rFonts w:ascii="Times New Roman" w:hAnsi="Times New Roman"/>
          <w:b/>
          <w:i w:val="0"/>
        </w:rPr>
        <w:t>Small validation population.</w:t>
      </w:r>
      <w:r>
        <w:rPr>
          <w:rFonts w:ascii="Times New Roman" w:hAnsi="Times New Roman"/>
          <w:b w:val="0"/>
          <w:i w:val="0"/>
        </w:rPr>
        <w:t xml:space="preserve"> Model selection uses 329 validation occurrences, the same rows on which validation metrics are reported, so validation numbers are optimistic.</w:t>
      </w:r>
    </w:p>
    <w:p>
      <w:pPr>
        <w:pStyle w:val="ListBullet"/>
      </w:pPr>
      <w:r>
        <w:rPr>
          <w:rFonts w:ascii="Times New Roman" w:hAnsi="Times New Roman"/>
          <w:b/>
          <w:i w:val="0"/>
        </w:rPr>
        <w:t>Missing data.</w:t>
      </w:r>
      <w:r>
        <w:rPr>
          <w:rFonts w:ascii="Times New Roman" w:hAnsi="Times New Roman"/>
          <w:b w:val="0"/>
          <w:i w:val="0"/>
        </w:rPr>
        <w:t xml:space="preserve"> 73 occurrences lack a request and 60 lack a memory peak. These rows reduce valid denominators rather than being imputed.</w:t>
      </w:r>
    </w:p>
    <w:p>
      <w:pPr>
        <w:pStyle w:val="ListBullet"/>
      </w:pPr>
      <w:r>
        <w:rPr>
          <w:rFonts w:ascii="Times New Roman" w:hAnsi="Times New Roman"/>
          <w:b/>
          <w:i w:val="0"/>
        </w:rPr>
        <w:t>Targets cross split boundaries.</w:t>
      </w:r>
      <w:r>
        <w:rPr>
          <w:rFonts w:ascii="Times New Roman" w:hAnsi="Times New Roman"/>
          <w:b w:val="0"/>
          <w:i w:val="0"/>
        </w:rPr>
        <w:t xml:space="preserve"> 104 of the 329 scored validation targets lie in the test period, so the reported validation baseline metrics include test-period outcomes (Section 6.2).</w:t>
      </w:r>
    </w:p>
    <w:p>
      <w:pPr>
        <w:pStyle w:val="ListBullet"/>
      </w:pPr>
      <w:r>
        <w:rPr>
          <w:rFonts w:ascii="Times New Roman" w:hAnsi="Times New Roman"/>
          <w:b/>
          <w:i w:val="0"/>
        </w:rPr>
        <w:t>Abnormal records are included.</w:t>
      </w:r>
      <w:r>
        <w:rPr>
          <w:rFonts w:ascii="Times New Roman" w:hAnsi="Times New Roman"/>
          <w:b w:val="0"/>
          <w:i w:val="0"/>
        </w:rPr>
        <w:t xml:space="preserve"> 2,584 of 4,879 occurrences contain failed, killed, evicted, or lost records, and no filtering decision has been recorded.</w:t>
      </w:r>
    </w:p>
    <w:p>
      <w:pPr>
        <w:pStyle w:val="ListBullet"/>
      </w:pPr>
      <w:r>
        <w:rPr>
          <w:rFonts w:ascii="Times New Roman" w:hAnsi="Times New Roman"/>
          <w:b/>
          <w:i w:val="0"/>
        </w:rPr>
        <w:t>Possible duplicate summing.</w:t>
      </w:r>
      <w:r>
        <w:rPr>
          <w:rFonts w:ascii="Times New Roman" w:hAnsi="Times New Roman"/>
          <w:b w:val="0"/>
          <w:i w:val="0"/>
        </w:rPr>
        <w:t xml:space="preserve"> Repeated instance-window rows across machines are summed; treating them as duplicates would change the CPU peak of 1,159 occurrences (Section 5.1.2).</w:t>
      </w:r>
    </w:p>
    <w:p>
      <w:pPr>
        <w:pStyle w:val="ListBullet"/>
      </w:pPr>
      <w:r>
        <w:rPr>
          <w:rFonts w:ascii="Times New Roman" w:hAnsi="Times New Roman"/>
          <w:b/>
          <w:i w:val="0"/>
        </w:rPr>
        <w:t>Episode rule.</w:t>
      </w:r>
      <w:r>
        <w:rPr>
          <w:rFonts w:ascii="Times New Roman" w:hAnsi="Times New Roman"/>
          <w:b w:val="0"/>
          <w:i w:val="0"/>
        </w:rPr>
        <w:t xml:space="preserve"> The five-minute gap threshold is derived from this sample's observed gaps (minimum 25 minutes) and may need re-derivation on other data.</w:t>
      </w:r>
    </w:p>
    <w:p>
      <w:pPr>
        <w:pStyle w:val="ListBullet"/>
      </w:pPr>
      <w:r>
        <w:rPr>
          <w:rFonts w:ascii="Times New Roman" w:hAnsi="Times New Roman"/>
          <w:b/>
          <w:i w:val="0"/>
        </w:rPr>
        <w:t>External datasets.</w:t>
      </w:r>
      <w:r>
        <w:rPr>
          <w:rFonts w:ascii="Times New Roman" w:hAnsi="Times New Roman"/>
          <w:b w:val="0"/>
          <w:i w:val="0"/>
        </w:rPr>
        <w:t xml:space="preserve"> Alibaba 2018 lacks an explicit recurrence key and needs a validated workload-family rule and DAG-aware aggregation; Azure VM lacks observed memory, and the Azure trace version used is disputed (Section 3.3.2). The external-dataset scope itself is open (PR #72 proposal). Splitwise and ModServe are scope-pending.</w:t>
      </w:r>
    </w:p>
    <w:p>
      <w:pPr>
        <w:pStyle w:val="ListBullet"/>
      </w:pPr>
      <w:r>
        <w:rPr>
          <w:rFonts w:ascii="Times New Roman" w:hAnsi="Times New Roman"/>
          <w:b/>
          <w:i w:val="0"/>
        </w:rPr>
        <w:t>Out of scope.</w:t>
      </w:r>
      <w:r>
        <w:rPr>
          <w:rFonts w:ascii="Times New Roman" w:hAnsi="Times New Roman"/>
          <w:b w:val="0"/>
          <w:i w:val="0"/>
        </w:rPr>
        <w:t xml:space="preserve"> GPU recommendations, OpenStack integration, and live deployment are out of 295B scope (backlog, p. 20).</w:t>
      </w:r>
    </w:p>
    <w:p>
      <w:r>
        <w:rPr>
          <w:rFonts w:ascii="Times New Roman" w:hAnsi="Times New Roman"/>
          <w:b w:val="0"/>
          <w:i w:val="0"/>
        </w:rPr>
        <w:t xml:space="preserve">Recommendations for further work are as follows. Validate a recurrence rule for Alibaba before building next-occurrence targets, as the semantics study recommends. Evaluate whether the Hybrid safeguard should remain P95 or follow the validation-selected baseline. Test the approach on larger slices of ClusterData 2019. </w:t>
      </w:r>
      <w:r>
        <w:rPr>
          <w:rFonts w:ascii="Times New Roman" w:hAnsi="Times New Roman"/>
          <w:b/>
          <w:i w:val="0"/>
          <w:color w:val="9C0006"/>
          <w:highlight w:val="yellow"/>
        </w:rPr>
        <w:t>[TBD — further recommendations after Issues 12 and 13.]</w:t>
      </w:r>
    </w:p>
    <w:p>
      <w:r>
        <w:br w:type="page"/>
      </w:r>
    </w:p>
    <w:p>
      <w:pPr>
        <w:pStyle w:val="Heading1"/>
      </w:pPr>
      <w:r>
        <w:t>Glossary (draft entries)</w:t>
      </w:r>
    </w:p>
    <w:p>
      <w:pPr>
        <w:pStyle w:val="ListBullet"/>
      </w:pPr>
      <w:r>
        <w:rPr>
          <w:rFonts w:ascii="Times New Roman" w:hAnsi="Times New Roman"/>
          <w:b/>
          <w:i w:val="0"/>
        </w:rPr>
        <w:t>Execution:</w:t>
      </w:r>
      <w:r>
        <w:rPr>
          <w:rFonts w:ascii="Times New Roman" w:hAnsi="Times New Roman"/>
          <w:b w:val="0"/>
          <w:i w:val="0"/>
        </w:rPr>
        <w:t xml:space="preserve"> one continuous activity episode of a </w:t>
      </w:r>
      <w:r>
        <w:rPr>
          <w:rFonts w:ascii="Courier New" w:hAnsi="Courier New"/>
          <w:b w:val="0"/>
          <w:i w:val="0"/>
          <w:sz w:val="20"/>
        </w:rPr>
        <w:t>collection_id + instance_index</w:t>
      </w:r>
      <w:r>
        <w:rPr>
          <w:rFonts w:ascii="Times New Roman" w:hAnsi="Times New Roman"/>
          <w:b w:val="0"/>
          <w:i w:val="0"/>
        </w:rPr>
        <w:t xml:space="preserve"> group, split at gaps longer than five minutes (</w:t>
      </w:r>
      <w:r>
        <w:rPr>
          <w:rFonts w:ascii="Courier New" w:hAnsi="Courier New"/>
          <w:b w:val="0"/>
          <w:i w:val="0"/>
          <w:sz w:val="20"/>
        </w:rPr>
        <w:t>execution_id</w:t>
      </w:r>
      <w:r>
        <w:rPr>
          <w:rFonts w:ascii="Times New Roman" w:hAnsi="Times New Roman"/>
          <w:b w:val="0"/>
          <w:i w:val="0"/>
        </w:rPr>
        <w:t>).</w:t>
      </w:r>
    </w:p>
    <w:p>
      <w:pPr>
        <w:pStyle w:val="ListBullet"/>
      </w:pPr>
      <w:r>
        <w:rPr>
          <w:rFonts w:ascii="Times New Roman" w:hAnsi="Times New Roman"/>
          <w:b/>
          <w:i w:val="0"/>
        </w:rPr>
        <w:t>Occurrence:</w:t>
      </w:r>
      <w:r>
        <w:rPr>
          <w:rFonts w:ascii="Times New Roman" w:hAnsi="Times New Roman"/>
          <w:b w:val="0"/>
          <w:i w:val="0"/>
        </w:rPr>
        <w:t xml:space="preserve"> all executions of one recurrence that start at the same time; the canonical modeling and evaluation unit (</w:t>
      </w:r>
      <w:r>
        <w:rPr>
          <w:rFonts w:ascii="Courier New" w:hAnsi="Courier New"/>
          <w:b w:val="0"/>
          <w:i w:val="0"/>
          <w:sz w:val="20"/>
        </w:rPr>
        <w:t>occurrence_key = recurrence_key || execution_start_time_us</w:t>
      </w:r>
      <w:r>
        <w:rPr>
          <w:rFonts w:ascii="Times New Roman" w:hAnsi="Times New Roman"/>
          <w:b w:val="0"/>
          <w:i w:val="0"/>
        </w:rPr>
        <w:t>).</w:t>
      </w:r>
    </w:p>
    <w:p>
      <w:pPr>
        <w:pStyle w:val="ListBullet"/>
      </w:pPr>
      <w:r>
        <w:rPr>
          <w:rFonts w:ascii="Times New Roman" w:hAnsi="Times New Roman"/>
          <w:b/>
          <w:i w:val="0"/>
        </w:rPr>
        <w:t>Recurrence key:</w:t>
      </w:r>
      <w:r>
        <w:rPr>
          <w:rFonts w:ascii="Times New Roman" w:hAnsi="Times New Roman"/>
          <w:b w:val="0"/>
          <w:i w:val="0"/>
        </w:rPr>
        <w:t xml:space="preserve"> an inferred recurring-workload identity, </w:t>
      </w:r>
      <w:r>
        <w:rPr>
          <w:rFonts w:ascii="Courier New" w:hAnsi="Courier New"/>
          <w:b w:val="0"/>
          <w:i w:val="0"/>
          <w:sz w:val="20"/>
        </w:rPr>
        <w:t>user_clean || logical_workload_name</w:t>
      </w:r>
      <w:r>
        <w:rPr>
          <w:rFonts w:ascii="Times New Roman" w:hAnsi="Times New Roman"/>
          <w:b w:val="0"/>
          <w:i w:val="0"/>
        </w:rPr>
        <w:t>.</w:t>
      </w:r>
    </w:p>
    <w:p>
      <w:pPr>
        <w:pStyle w:val="ListBullet"/>
      </w:pPr>
      <w:r>
        <w:rPr>
          <w:rFonts w:ascii="Times New Roman" w:hAnsi="Times New Roman"/>
          <w:b/>
          <w:i w:val="0"/>
        </w:rPr>
        <w:t>Point-in-time history:</w:t>
      </w:r>
      <w:r>
        <w:rPr>
          <w:rFonts w:ascii="Times New Roman" w:hAnsi="Times New Roman"/>
          <w:b w:val="0"/>
          <w:i w:val="0"/>
        </w:rPr>
        <w:t xml:space="preserve"> statistics over earlier occurrences of the same recurrence that had completed by the current occurrence's start.</w:t>
      </w:r>
    </w:p>
    <w:p>
      <w:pPr>
        <w:pStyle w:val="ListBullet"/>
      </w:pPr>
      <w:r>
        <w:rPr>
          <w:rFonts w:ascii="Times New Roman" w:hAnsi="Times New Roman"/>
          <w:b/>
          <w:i w:val="0"/>
        </w:rPr>
        <w:t>Next-occurrence target:</w:t>
      </w:r>
      <w:r>
        <w:rPr>
          <w:rFonts w:ascii="Times New Roman" w:hAnsi="Times New Roman"/>
          <w:b w:val="0"/>
          <w:i w:val="0"/>
        </w:rPr>
        <w:t xml:space="preserve"> the full-workload CPU and memory peak of the next distinct occurrence of the same recurrence.</w:t>
      </w:r>
    </w:p>
    <w:p>
      <w:pPr>
        <w:pStyle w:val="ListBullet"/>
      </w:pPr>
      <w:r>
        <w:rPr>
          <w:rFonts w:ascii="Times New Roman" w:hAnsi="Times New Roman"/>
          <w:b/>
          <w:i w:val="0"/>
        </w:rPr>
        <w:t>min_runs:</w:t>
      </w:r>
      <w:r>
        <w:rPr>
          <w:rFonts w:ascii="Times New Roman" w:hAnsi="Times New Roman"/>
          <w:b w:val="0"/>
          <w:i w:val="0"/>
        </w:rPr>
        <w:t xml:space="preserve"> the minimum number of valid completed prior occurrences needed before a historical policy uses history instead of the request.</w:t>
      </w:r>
    </w:p>
    <w:p>
      <w:pPr>
        <w:pStyle w:val="ListBullet"/>
      </w:pPr>
      <w:r>
        <w:rPr>
          <w:rFonts w:ascii="Times New Roman" w:hAnsi="Times New Roman"/>
          <w:b/>
          <w:i w:val="0"/>
        </w:rPr>
        <w:t>Violation, utilization, waste, shortfall:</w:t>
      </w:r>
      <w:r>
        <w:rPr>
          <w:rFonts w:ascii="Times New Roman" w:hAnsi="Times New Roman"/>
          <w:b w:val="0"/>
          <w:i w:val="0"/>
        </w:rPr>
        <w:t xml:space="preserve"> see Section 6.4.</w:t>
      </w:r>
    </w:p>
    <w:p>
      <w:r>
        <w:br w:type="page"/>
      </w:r>
    </w:p>
    <w:p>
      <w:pPr>
        <w:pStyle w:val="Heading1"/>
      </w:pPr>
      <w:r>
        <w:t>References cited in Chapters 2–9</w:t>
      </w:r>
    </w:p>
    <w:p>
      <w:r>
        <w:rPr>
          <w:rFonts w:ascii="Times New Roman" w:hAnsi="Times New Roman"/>
          <w:b w:val="0"/>
          <w:i w:val="0"/>
        </w:rPr>
        <w:t xml:space="preserve">Numbering follows </w:t>
      </w:r>
      <w:r>
        <w:rPr>
          <w:rFonts w:ascii="Courier New" w:hAnsi="Courier New"/>
          <w:b w:val="0"/>
          <w:i w:val="0"/>
          <w:sz w:val="20"/>
        </w:rPr>
        <w:t>docs/references/References.md</w:t>
      </w:r>
      <w:r>
        <w:rPr>
          <w:rFonts w:ascii="Times New Roman" w:hAnsi="Times New Roman"/>
          <w:b w:val="0"/>
          <w:i w:val="0"/>
        </w:rPr>
        <w:t>.</w:t>
      </w:r>
    </w:p>
    <w:p>
      <w:r>
        <w:rPr>
          <w:rFonts w:ascii="Times New Roman" w:hAnsi="Times New Roman"/>
          <w:b w:val="0"/>
          <w:i w:val="0"/>
        </w:rPr>
        <w:t>[5] E. Cortez et al., "Resource Central: Understanding and Predicting Workloads for Improved Resource Management in Large Cloud Platforms," ACM SOSP, 2017.</w:t>
      </w:r>
    </w:p>
    <w:p>
      <w:r>
        <w:rPr>
          <w:rFonts w:ascii="Times New Roman" w:hAnsi="Times New Roman"/>
          <w:b w:val="0"/>
          <w:i w:val="0"/>
        </w:rPr>
        <w:t>[6] J. Wilkes et al., "Google Borg Cluster Traces (ClusterData2019)," dataset repository, 2019. https://github.com/google/cluster-data</w:t>
      </w:r>
    </w:p>
    <w:p>
      <w:r>
        <w:rPr>
          <w:rFonts w:ascii="Times New Roman" w:hAnsi="Times New Roman"/>
          <w:b w:val="0"/>
          <w:i w:val="0"/>
        </w:rPr>
        <w:t>[8] Alibaba Group, "Alibaba Cluster Trace Program," dataset repository, 2017–2025. https://github.com/alibaba/clusterdata</w:t>
      </w:r>
    </w:p>
    <w:p>
      <w:r>
        <w:rPr>
          <w:rFonts w:ascii="Times New Roman" w:hAnsi="Times New Roman"/>
          <w:b/>
          <w:i w:val="0"/>
          <w:color w:val="9C0006"/>
          <w:highlight w:val="yellow"/>
        </w:rPr>
        <w:t>[TBD — references to add to docs/references/References.md before citing: the Kaggle Google 2019 cluster sample, the Azure Public Dataset version confirmed for the adapter (V1 or V2; Section 3.3.2), and any software citations required by the report template.]</w:t>
      </w:r>
    </w:p>
    <w:sectPr w:rsidR="00FC693F" w:rsidRPr="0006063C" w:rsidSect="00034616">
      <w:footerReference w:type="default" r:id="rId9"/>
      <w:pgSz w:w="12240" w:h="15840"/>
      <w:pgMar w:top="1872"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TraceAdvisor CMPE 295B Final Report, Chapters 2-9 (Draft)</dc:title>
  <dc:subject/>
  <dc:creator>Shivani Jariwala, Meghana Koti, Sonali Lonkar, Sofia Silva</dc:creator>
  <cp:keywords/>
  <dc:description/>
  <cp:lastModifiedBy>Shivani Jariwala</cp:lastModifiedBy>
  <cp:revision>1</cp:revision>
  <dcterms:created xsi:type="dcterms:W3CDTF">2026-10-16T15:41:48Z</dcterms:created>
  <dcterms:modified xsi:type="dcterms:W3CDTF">2026-10-16T15:41:48Z</dcterms:modified>
  <cp:category/>
</cp:coreProperties>
</file>