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300" w:line="338.8235294117647" w:lineRule="auto"/>
        <w:rPr>
          <w:b w:val="1"/>
          <w:color w:val="444444"/>
          <w:sz w:val="36"/>
          <w:szCs w:val="36"/>
        </w:rPr>
      </w:pPr>
      <w:bookmarkStart w:colFirst="0" w:colLast="0" w:name="_uq57gx8qg7hl" w:id="0"/>
      <w:bookmarkEnd w:id="0"/>
      <w:r w:rsidDel="00000000" w:rsidR="00000000" w:rsidRPr="00000000">
        <w:rPr>
          <w:b w:val="1"/>
          <w:color w:val="444444"/>
          <w:sz w:val="36"/>
          <w:szCs w:val="36"/>
          <w:rtl w:val="0"/>
        </w:rPr>
        <w:t xml:space="preserve">Difference between Natural Join and Inner Join in SQL</w:t>
      </w:r>
    </w:p>
    <w:tbl>
      <w:tblPr>
        <w:tblStyle w:val="Table1"/>
        <w:tblW w:w="8880.0" w:type="dxa"/>
        <w:jc w:val="left"/>
        <w:tblBorders>
          <w:top w:color="444444" w:space="0" w:sz="4" w:val="single"/>
          <w:left w:color="444444" w:space="0" w:sz="4" w:val="single"/>
          <w:bottom w:color="444444" w:space="0" w:sz="4" w:val="single"/>
          <w:right w:color="444444" w:space="0" w:sz="4" w:val="single"/>
          <w:insideH w:color="444444" w:space="0" w:sz="4" w:val="single"/>
          <w:insideV w:color="444444" w:space="0" w:sz="4" w:val="single"/>
        </w:tblBorders>
        <w:tblLayout w:type="fixed"/>
        <w:tblLook w:val="0600"/>
      </w:tblPr>
      <w:tblGrid>
        <w:gridCol w:w="525"/>
        <w:gridCol w:w="3795"/>
        <w:gridCol w:w="4560"/>
        <w:tblGridChange w:id="0">
          <w:tblGrid>
            <w:gridCol w:w="525"/>
            <w:gridCol w:w="3795"/>
            <w:gridCol w:w="4560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rtl w:val="0"/>
              </w:rPr>
              <w:t xml:space="preserve">NATURAL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444444"/>
                <w:sz w:val="21"/>
                <w:szCs w:val="21"/>
                <w:rtl w:val="0"/>
              </w:rPr>
              <w:t xml:space="preserve">INNER 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The join operation which is used to merge two tables depending on their same column name and data types is known as natural join.</w:t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Inner joins have a specific join condition. Here, the join operation is used to form a new table by joining column values of two tables based upon the join-predicate.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Here, the final table will accommodate all the attributes of both the tables and doesn’t duplicate the column.</w:t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Here, the final table will accommodate all the attributes of both the tables and it also holds the duplicate columns.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SQL Server Management Studio does not support natural joins.</w:t>
            </w:r>
          </w:p>
        </w:tc>
        <w:tc>
          <w:tcPr>
            <w:tcBorders>
              <w:top w:color="444444" w:space="0" w:sz="4" w:val="single"/>
              <w:left w:color="444444" w:space="0" w:sz="4" w:val="single"/>
              <w:bottom w:color="444444" w:space="0" w:sz="4" w:val="single"/>
              <w:right w:color="444444" w:space="0" w:sz="4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444444"/>
                <w:sz w:val="21"/>
                <w:szCs w:val="21"/>
              </w:rPr>
            </w:pPr>
            <w:r w:rsidDel="00000000" w:rsidR="00000000" w:rsidRPr="00000000">
              <w:rPr>
                <w:color w:val="444444"/>
                <w:sz w:val="21"/>
                <w:szCs w:val="21"/>
                <w:rtl w:val="0"/>
              </w:rPr>
              <w:t xml:space="preserve">SQL Server Management Studio supports inner joins.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1ed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