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E682" w14:textId="77777777" w:rsidR="00DD56B3" w:rsidRDefault="00DD56B3"/>
    <w:p w14:paraId="21B3E5FD" w14:textId="2C4DA6AF" w:rsidR="00DB0F2A" w:rsidRDefault="00DB0F2A" w:rsidP="00A625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Name</w:t>
      </w:r>
      <w:r w:rsidRPr="00391D8A">
        <w:rPr>
          <w:rFonts w:ascii="Times New Roman" w:hAnsi="Times New Roman" w:cs="Times New Roman"/>
          <w:sz w:val="28"/>
          <w:szCs w:val="28"/>
          <w:highlight w:val="yellow"/>
        </w:rPr>
        <w:t>: Dr. Sonal Tawde</w:t>
      </w:r>
    </w:p>
    <w:p w14:paraId="3813DA4E" w14:textId="3B7C0352" w:rsidR="00DB0F2A" w:rsidRDefault="00DB0F2A" w:rsidP="00A6255A">
      <w:pPr>
        <w:jc w:val="center"/>
        <w:rPr>
          <w:rFonts w:ascii="Times New Roman" w:hAnsi="Times New Roman" w:cs="Times New Roman"/>
          <w:sz w:val="28"/>
          <w:szCs w:val="28"/>
        </w:rPr>
      </w:pPr>
      <w:r w:rsidRPr="00DB0F2A">
        <w:rPr>
          <w:rFonts w:ascii="Times New Roman" w:hAnsi="Times New Roman" w:cs="Times New Roman"/>
          <w:sz w:val="28"/>
          <w:szCs w:val="28"/>
          <w:highlight w:val="yellow"/>
        </w:rPr>
        <w:t>Task 05</w:t>
      </w:r>
    </w:p>
    <w:p w14:paraId="7C6D6109" w14:textId="77777777" w:rsidR="00DB0F2A" w:rsidRDefault="00DB0F2A" w:rsidP="00DB0F2A">
      <w:pPr>
        <w:rPr>
          <w:rFonts w:ascii="Times New Roman" w:hAnsi="Times New Roman" w:cs="Times New Roman"/>
          <w:sz w:val="28"/>
          <w:szCs w:val="28"/>
        </w:rPr>
      </w:pPr>
    </w:p>
    <w:p w14:paraId="5F2992CF" w14:textId="0CF2CFBF" w:rsidR="00DB0F2A" w:rsidRDefault="008A3B72" w:rsidP="00A6255A">
      <w:pPr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 xml:space="preserve">Teaching </w:t>
      </w:r>
      <w:r w:rsidRPr="008A3B72">
        <w:rPr>
          <w:rFonts w:ascii="Times New Roman" w:hAnsi="Times New Roman" w:cs="Times New Roman"/>
          <w:b/>
          <w:bCs/>
          <w:sz w:val="28"/>
          <w:szCs w:val="28"/>
        </w:rPr>
        <w:t>ESG (Environmental, Social, and Governance)</w:t>
      </w:r>
      <w:r w:rsidRPr="008A3B72">
        <w:rPr>
          <w:rFonts w:ascii="Times New Roman" w:hAnsi="Times New Roman" w:cs="Times New Roman"/>
          <w:sz w:val="28"/>
          <w:szCs w:val="28"/>
        </w:rPr>
        <w:t xml:space="preserve"> is increasingly important, but many programs face </w:t>
      </w:r>
      <w:r w:rsidRPr="008A3B72">
        <w:rPr>
          <w:rFonts w:ascii="Times New Roman" w:hAnsi="Times New Roman" w:cs="Times New Roman"/>
          <w:b/>
          <w:bCs/>
          <w:sz w:val="28"/>
          <w:szCs w:val="28"/>
        </w:rPr>
        <w:t>systemic and pedagogical gaps</w:t>
      </w:r>
      <w:r w:rsidRPr="008A3B72">
        <w:rPr>
          <w:rFonts w:ascii="Times New Roman" w:hAnsi="Times New Roman" w:cs="Times New Roman"/>
          <w:sz w:val="28"/>
          <w:szCs w:val="28"/>
        </w:rPr>
        <w:t>.</w:t>
      </w:r>
    </w:p>
    <w:p w14:paraId="5B9E30FC" w14:textId="77777777" w:rsidR="008A3B72" w:rsidRPr="008A3B72" w:rsidRDefault="008A3B72" w:rsidP="00A6255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Major Gaps in Teaching ESG</w:t>
      </w:r>
    </w:p>
    <w:p w14:paraId="5ECA1CF8" w14:textId="77777777" w:rsidR="008A3B72" w:rsidRPr="008A3B72" w:rsidRDefault="008A3B72" w:rsidP="00A6255A">
      <w:pPr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pict w14:anchorId="63D42D9F">
          <v:rect id="_x0000_i1085" style="width:0;height:1.5pt" o:hralign="center" o:hrstd="t" o:hr="t" fillcolor="#a0a0a0" stroked="f"/>
        </w:pict>
      </w:r>
    </w:p>
    <w:p w14:paraId="0AC645BE" w14:textId="32775490" w:rsidR="008A3B72" w:rsidRPr="005D771D" w:rsidRDefault="008A3B72" w:rsidP="00A6255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771D">
        <w:rPr>
          <w:rFonts w:ascii="Times New Roman" w:hAnsi="Times New Roman" w:cs="Times New Roman"/>
          <w:b/>
          <w:bCs/>
          <w:sz w:val="28"/>
          <w:szCs w:val="28"/>
        </w:rPr>
        <w:t>Overemphasis on Theory, Limited Practical Application</w:t>
      </w:r>
    </w:p>
    <w:p w14:paraId="736E2FDC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Gap</w:t>
      </w:r>
    </w:p>
    <w:p w14:paraId="652F00B5" w14:textId="77777777" w:rsidR="008A3B72" w:rsidRPr="008A3B72" w:rsidRDefault="008A3B72" w:rsidP="00A6255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ESG is often taught as definitions, frameworks, and policies.</w:t>
      </w:r>
    </w:p>
    <w:p w14:paraId="573B0E46" w14:textId="77777777" w:rsidR="008A3B72" w:rsidRPr="008A3B72" w:rsidRDefault="008A3B72" w:rsidP="00A6255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Limited exposure to real-world ESG implementation.</w:t>
      </w:r>
    </w:p>
    <w:p w14:paraId="0F9F6A33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71B9E70A" w14:textId="77777777" w:rsidR="008A3B72" w:rsidRPr="008A3B72" w:rsidRDefault="008A3B72" w:rsidP="00A6255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Students struggle to apply ESG concepts in industry or policy roles.</w:t>
      </w:r>
    </w:p>
    <w:p w14:paraId="03E15389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764E6DA2" w14:textId="77777777" w:rsidR="008A3B72" w:rsidRPr="008A3B72" w:rsidRDefault="008A3B72" w:rsidP="00A6255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Learning GRI standards without analyzing actual sustainability reports.</w:t>
      </w:r>
    </w:p>
    <w:p w14:paraId="39D0C8E7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pict w14:anchorId="5DE71270">
          <v:rect id="_x0000_i1086" style="width:0;height:1.5pt" o:hralign="center" o:hrstd="t" o:hr="t" fillcolor="#a0a0a0" stroked="f"/>
        </w:pict>
      </w:r>
    </w:p>
    <w:p w14:paraId="19B812DF" w14:textId="37F39083" w:rsidR="008A3B72" w:rsidRPr="005D771D" w:rsidRDefault="008A3B72" w:rsidP="00A6255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771D">
        <w:rPr>
          <w:rFonts w:ascii="Times New Roman" w:hAnsi="Times New Roman" w:cs="Times New Roman"/>
          <w:b/>
          <w:bCs/>
          <w:sz w:val="28"/>
          <w:szCs w:val="28"/>
        </w:rPr>
        <w:t>Insufficient Industry &amp; Case-Based Learning</w:t>
      </w:r>
    </w:p>
    <w:p w14:paraId="45B8BD64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Gap</w:t>
      </w:r>
    </w:p>
    <w:p w14:paraId="5B469100" w14:textId="77777777" w:rsidR="008A3B72" w:rsidRPr="008A3B72" w:rsidRDefault="008A3B72" w:rsidP="00A6255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Lack of contemporary Indian and global case studies.</w:t>
      </w:r>
    </w:p>
    <w:p w14:paraId="3D358784" w14:textId="77777777" w:rsidR="008A3B72" w:rsidRPr="008A3B72" w:rsidRDefault="008A3B72" w:rsidP="00A6255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Minimal interaction with ESG practitioners.</w:t>
      </w:r>
    </w:p>
    <w:p w14:paraId="499C969D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174ADFB4" w14:textId="77777777" w:rsidR="008A3B72" w:rsidRPr="008A3B72" w:rsidRDefault="008A3B72" w:rsidP="00A6255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ESG remains abstract and detached from business realities.</w:t>
      </w:r>
    </w:p>
    <w:p w14:paraId="2E74A7A0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4C4F778C" w14:textId="77777777" w:rsidR="008A3B72" w:rsidRPr="008A3B72" w:rsidRDefault="008A3B72" w:rsidP="00A6255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Teaching governance principles without discussing Satyam, Yes Bank, or Rana Plaza.</w:t>
      </w:r>
    </w:p>
    <w:p w14:paraId="1FAA0835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pict w14:anchorId="04BB3F30">
          <v:rect id="_x0000_i1087" style="width:0;height:1.5pt" o:hralign="center" o:hrstd="t" o:hr="t" fillcolor="#a0a0a0" stroked="f"/>
        </w:pict>
      </w:r>
    </w:p>
    <w:p w14:paraId="5909A4A1" w14:textId="738542CB" w:rsidR="008A3B72" w:rsidRPr="005D771D" w:rsidRDefault="008A3B72" w:rsidP="00A6255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771D">
        <w:rPr>
          <w:rFonts w:ascii="Times New Roman" w:hAnsi="Times New Roman" w:cs="Times New Roman"/>
          <w:b/>
          <w:bCs/>
          <w:sz w:val="28"/>
          <w:szCs w:val="28"/>
        </w:rPr>
        <w:t>Fragmented Teaching of E, S, and G</w:t>
      </w:r>
    </w:p>
    <w:p w14:paraId="61FDAA59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Gap</w:t>
      </w:r>
    </w:p>
    <w:p w14:paraId="5B7D0DD1" w14:textId="77777777" w:rsidR="008A3B72" w:rsidRPr="008A3B72" w:rsidRDefault="008A3B72" w:rsidP="00A6255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Environmental, Social, and Governance topics taught in isolation.</w:t>
      </w:r>
    </w:p>
    <w:p w14:paraId="678803EF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680BCF13" w14:textId="77777777" w:rsidR="008A3B72" w:rsidRPr="008A3B72" w:rsidRDefault="008A3B72" w:rsidP="00A6255A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 xml:space="preserve">Students fail to understand ESG as an </w:t>
      </w:r>
      <w:r w:rsidRPr="008A3B72">
        <w:rPr>
          <w:rFonts w:ascii="Times New Roman" w:hAnsi="Times New Roman" w:cs="Times New Roman"/>
          <w:b/>
          <w:bCs/>
          <w:sz w:val="28"/>
          <w:szCs w:val="28"/>
        </w:rPr>
        <w:t>integrated risk and value framework</w:t>
      </w:r>
      <w:r w:rsidRPr="008A3B72">
        <w:rPr>
          <w:rFonts w:ascii="Times New Roman" w:hAnsi="Times New Roman" w:cs="Times New Roman"/>
          <w:sz w:val="28"/>
          <w:szCs w:val="28"/>
        </w:rPr>
        <w:t>.</w:t>
      </w:r>
    </w:p>
    <w:p w14:paraId="2813F148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01C27C8" w14:textId="77777777" w:rsidR="008A3B72" w:rsidRPr="008A3B72" w:rsidRDefault="008A3B72" w:rsidP="00A6255A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Climate risk taught without linking to board accountability.</w:t>
      </w:r>
    </w:p>
    <w:p w14:paraId="732EE836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pict w14:anchorId="1E73C884">
          <v:rect id="_x0000_i1088" style="width:0;height:1.5pt" o:hralign="center" o:hrstd="t" o:hr="t" fillcolor="#a0a0a0" stroked="f"/>
        </w:pict>
      </w:r>
    </w:p>
    <w:p w14:paraId="698F6789" w14:textId="700DC5CA" w:rsidR="008A3B72" w:rsidRPr="005D771D" w:rsidRDefault="008A3B72" w:rsidP="00A6255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771D">
        <w:rPr>
          <w:rFonts w:ascii="Times New Roman" w:hAnsi="Times New Roman" w:cs="Times New Roman"/>
          <w:b/>
          <w:bCs/>
          <w:sz w:val="28"/>
          <w:szCs w:val="28"/>
        </w:rPr>
        <w:t>Limited Focus on Data, Metrics &amp; Analytics</w:t>
      </w:r>
    </w:p>
    <w:p w14:paraId="3D83DFCA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Gap</w:t>
      </w:r>
    </w:p>
    <w:p w14:paraId="072D2D3D" w14:textId="77777777" w:rsidR="008A3B72" w:rsidRPr="008A3B72" w:rsidRDefault="008A3B72" w:rsidP="00A6255A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lastRenderedPageBreak/>
        <w:t>Minimal training on ESG data interpretation, KPIs, and materiality analysis.</w:t>
      </w:r>
    </w:p>
    <w:p w14:paraId="6B2D435E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427E4E8E" w14:textId="77777777" w:rsidR="008A3B72" w:rsidRPr="008A3B72" w:rsidRDefault="008A3B72" w:rsidP="00A6255A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Students lack analytical skills demanded by ESG roles.</w:t>
      </w:r>
    </w:p>
    <w:p w14:paraId="02987C86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EEDD97A" w14:textId="77777777" w:rsidR="008A3B72" w:rsidRPr="008A3B72" w:rsidRDefault="008A3B72" w:rsidP="00A6255A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No exposure to Scope 3 emissions calculation or ESG rating methodologies.</w:t>
      </w:r>
    </w:p>
    <w:p w14:paraId="75BCEB05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pict w14:anchorId="5AE02CA5">
          <v:rect id="_x0000_i1089" style="width:0;height:1.5pt" o:hralign="center" o:hrstd="t" o:hr="t" fillcolor="#a0a0a0" stroked="f"/>
        </w:pict>
      </w:r>
    </w:p>
    <w:p w14:paraId="6B911D85" w14:textId="01C7F7CA" w:rsidR="008A3B72" w:rsidRPr="00047A21" w:rsidRDefault="008A3B72" w:rsidP="00A6255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A21">
        <w:rPr>
          <w:rFonts w:ascii="Times New Roman" w:hAnsi="Times New Roman" w:cs="Times New Roman"/>
          <w:b/>
          <w:bCs/>
          <w:sz w:val="28"/>
          <w:szCs w:val="28"/>
        </w:rPr>
        <w:t>Outdated or Incomplete Coverage of Regulations</w:t>
      </w:r>
    </w:p>
    <w:p w14:paraId="39265727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Gap</w:t>
      </w:r>
    </w:p>
    <w:p w14:paraId="0EEA32EF" w14:textId="77777777" w:rsidR="008A3B72" w:rsidRPr="008A3B72" w:rsidRDefault="008A3B72" w:rsidP="00A6255A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Slow updates on evolving ESG regulations and disclosures.</w:t>
      </w:r>
    </w:p>
    <w:p w14:paraId="49B0C467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1D6B8B7F" w14:textId="77777777" w:rsidR="008A3B72" w:rsidRPr="008A3B72" w:rsidRDefault="008A3B72" w:rsidP="00A6255A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Students remain unaware of current compliance requirements.</w:t>
      </w:r>
    </w:p>
    <w:p w14:paraId="41D34614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613436EB" w14:textId="77777777" w:rsidR="008A3B72" w:rsidRPr="008A3B72" w:rsidRDefault="008A3B72" w:rsidP="00A6255A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Teaching CSR without covering BRSR or EU CSRD.</w:t>
      </w:r>
    </w:p>
    <w:p w14:paraId="2B2BC46B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pict w14:anchorId="651D94B9">
          <v:rect id="_x0000_i1090" style="width:0;height:1.5pt" o:hralign="center" o:hrstd="t" o:hr="t" fillcolor="#a0a0a0" stroked="f"/>
        </w:pict>
      </w:r>
    </w:p>
    <w:p w14:paraId="491AF7B1" w14:textId="7121EA98" w:rsidR="008A3B72" w:rsidRPr="00047A21" w:rsidRDefault="008A3B72" w:rsidP="00A6255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A21">
        <w:rPr>
          <w:rFonts w:ascii="Times New Roman" w:hAnsi="Times New Roman" w:cs="Times New Roman"/>
          <w:b/>
          <w:bCs/>
          <w:sz w:val="28"/>
          <w:szCs w:val="28"/>
        </w:rPr>
        <w:t>Weak Interdisciplinary Integration</w:t>
      </w:r>
    </w:p>
    <w:p w14:paraId="2A9D0B55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Gap</w:t>
      </w:r>
    </w:p>
    <w:p w14:paraId="65C88109" w14:textId="77777777" w:rsidR="008A3B72" w:rsidRPr="008A3B72" w:rsidRDefault="008A3B72" w:rsidP="00A6255A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ESG taught only from an environmental or management lens.</w:t>
      </w:r>
    </w:p>
    <w:p w14:paraId="580B2935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3F38C885" w14:textId="77777777" w:rsidR="008A3B72" w:rsidRPr="008A3B72" w:rsidRDefault="008A3B72" w:rsidP="00A6255A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Students miss legal, financial, ethical, and technological dimensions.</w:t>
      </w:r>
    </w:p>
    <w:p w14:paraId="0071703C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1AEB6014" w14:textId="77777777" w:rsidR="008A3B72" w:rsidRPr="008A3B72" w:rsidRDefault="008A3B72" w:rsidP="00A6255A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Governance taught without linking to ethics, audit, or risk management.</w:t>
      </w:r>
    </w:p>
    <w:p w14:paraId="52D18E2C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pict w14:anchorId="3ADF74CB">
          <v:rect id="_x0000_i1091" style="width:0;height:1.5pt" o:hralign="center" o:hrstd="t" o:hr="t" fillcolor="#a0a0a0" stroked="f"/>
        </w:pict>
      </w:r>
    </w:p>
    <w:p w14:paraId="4C480816" w14:textId="237F1465" w:rsidR="008A3B72" w:rsidRPr="00047A21" w:rsidRDefault="008A3B72" w:rsidP="00A6255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A21">
        <w:rPr>
          <w:rFonts w:ascii="Times New Roman" w:hAnsi="Times New Roman" w:cs="Times New Roman"/>
          <w:b/>
          <w:bCs/>
          <w:sz w:val="28"/>
          <w:szCs w:val="28"/>
        </w:rPr>
        <w:t>Lack of Skill-Based &amp; Experiential Learning</w:t>
      </w:r>
    </w:p>
    <w:p w14:paraId="026B0AEA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Gap</w:t>
      </w:r>
    </w:p>
    <w:p w14:paraId="5F8E5B18" w14:textId="77777777" w:rsidR="008A3B72" w:rsidRPr="008A3B72" w:rsidRDefault="008A3B72" w:rsidP="00A6255A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Few simulations, projects, or field-based ESG activities.</w:t>
      </w:r>
    </w:p>
    <w:p w14:paraId="73498860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6701C7DA" w14:textId="77777777" w:rsidR="008A3B72" w:rsidRPr="008A3B72" w:rsidRDefault="008A3B72" w:rsidP="00A6255A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Poor employability and practical competence.</w:t>
      </w:r>
    </w:p>
    <w:p w14:paraId="4A5CF580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6B42FA47" w14:textId="77777777" w:rsidR="008A3B72" w:rsidRPr="008A3B72" w:rsidRDefault="008A3B72" w:rsidP="00A6255A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No carbon audit, ESG risk mapping, or stakeholder engagement project.</w:t>
      </w:r>
    </w:p>
    <w:p w14:paraId="03885A47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pict w14:anchorId="299065B1">
          <v:rect id="_x0000_i1092" style="width:0;height:1.5pt" o:hralign="center" o:hrstd="t" o:hr="t" fillcolor="#a0a0a0" stroked="f"/>
        </w:pict>
      </w:r>
    </w:p>
    <w:p w14:paraId="20FBF93C" w14:textId="136CBCE7" w:rsidR="008A3B72" w:rsidRPr="00047A21" w:rsidRDefault="008A3B72" w:rsidP="00A6255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A21">
        <w:rPr>
          <w:rFonts w:ascii="Times New Roman" w:hAnsi="Times New Roman" w:cs="Times New Roman"/>
          <w:b/>
          <w:bCs/>
          <w:sz w:val="28"/>
          <w:szCs w:val="28"/>
        </w:rPr>
        <w:t>Minimal Use of Digital Tools &amp; AI</w:t>
      </w:r>
    </w:p>
    <w:p w14:paraId="7D954969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Gap</w:t>
      </w:r>
    </w:p>
    <w:p w14:paraId="632E4072" w14:textId="77777777" w:rsidR="008A3B72" w:rsidRPr="008A3B72" w:rsidRDefault="008A3B72" w:rsidP="00A6255A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ESG teaching rarely integrates AI, analytics, or digital dashboards.</w:t>
      </w:r>
    </w:p>
    <w:p w14:paraId="006B46A3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2E8179F0" w14:textId="77777777" w:rsidR="008A3B72" w:rsidRPr="008A3B72" w:rsidRDefault="008A3B72" w:rsidP="00A6255A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Students are unprepared for tech-driven ESG roles.</w:t>
      </w:r>
    </w:p>
    <w:p w14:paraId="382FB1CC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18C4BAA3" w14:textId="77777777" w:rsidR="008A3B72" w:rsidRPr="008A3B72" w:rsidRDefault="008A3B72" w:rsidP="00A6255A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No exposure to ESG data platforms or AI-based sustainability tools.</w:t>
      </w:r>
    </w:p>
    <w:p w14:paraId="4E38C100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pict w14:anchorId="2399F7E4">
          <v:rect id="_x0000_i1093" style="width:0;height:1.5pt" o:hralign="center" o:hrstd="t" o:hr="t" fillcolor="#a0a0a0" stroked="f"/>
        </w:pict>
      </w:r>
    </w:p>
    <w:p w14:paraId="72510945" w14:textId="7C9D1F3B" w:rsidR="008A3B72" w:rsidRPr="00047A21" w:rsidRDefault="008A3B72" w:rsidP="00A6255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A21">
        <w:rPr>
          <w:rFonts w:ascii="Times New Roman" w:hAnsi="Times New Roman" w:cs="Times New Roman"/>
          <w:b/>
          <w:bCs/>
          <w:sz w:val="28"/>
          <w:szCs w:val="28"/>
        </w:rPr>
        <w:t>Assessment Focused on Exams, Not Impact</w:t>
      </w:r>
    </w:p>
    <w:p w14:paraId="29DD87F7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Gap</w:t>
      </w:r>
    </w:p>
    <w:p w14:paraId="32B5D7C9" w14:textId="77777777" w:rsidR="008A3B72" w:rsidRPr="008A3B72" w:rsidRDefault="008A3B72" w:rsidP="00A6255A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Heavy reliance on written exams and rote learning.</w:t>
      </w:r>
    </w:p>
    <w:p w14:paraId="052417AF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Impact</w:t>
      </w:r>
    </w:p>
    <w:p w14:paraId="54AD49FF" w14:textId="77777777" w:rsidR="008A3B72" w:rsidRPr="008A3B72" w:rsidRDefault="008A3B72" w:rsidP="00A6255A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Limited evaluation of problem-solving or ethical reasoning.</w:t>
      </w:r>
    </w:p>
    <w:p w14:paraId="16FCA909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75ED793C" w14:textId="77777777" w:rsidR="008A3B72" w:rsidRPr="008A3B72" w:rsidRDefault="008A3B72" w:rsidP="00A6255A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Exams test definitions, not ESG decision-making.</w:t>
      </w:r>
    </w:p>
    <w:p w14:paraId="3250F121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pict w14:anchorId="64C7AF55">
          <v:rect id="_x0000_i1162" style="width:0;height:1.5pt" o:hralign="center" o:hrstd="t" o:hr="t" fillcolor="#a0a0a0" stroked="f"/>
        </w:pict>
      </w:r>
    </w:p>
    <w:p w14:paraId="663F3C0E" w14:textId="4D5B1A02" w:rsidR="008A3B72" w:rsidRPr="00047A21" w:rsidRDefault="008A3B72" w:rsidP="00A6255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A21">
        <w:rPr>
          <w:rFonts w:ascii="Times New Roman" w:hAnsi="Times New Roman" w:cs="Times New Roman"/>
          <w:b/>
          <w:bCs/>
          <w:sz w:val="28"/>
          <w:szCs w:val="28"/>
        </w:rPr>
        <w:t>Limited Faculty Capacity &amp; Continuous Training</w:t>
      </w:r>
    </w:p>
    <w:p w14:paraId="22EFC05A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Gap</w:t>
      </w:r>
    </w:p>
    <w:p w14:paraId="62B2F94F" w14:textId="77777777" w:rsidR="008A3B72" w:rsidRPr="008A3B72" w:rsidRDefault="008A3B72" w:rsidP="00A6255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Faculty may lack industry exposure or updated ESG training.</w:t>
      </w:r>
    </w:p>
    <w:p w14:paraId="071349E2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0A061216" w14:textId="77777777" w:rsidR="008A3B72" w:rsidRPr="008A3B72" w:rsidRDefault="008A3B72" w:rsidP="00A6255A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Inconsistent quality of ESG delivery.</w:t>
      </w:r>
    </w:p>
    <w:p w14:paraId="25F08533" w14:textId="77777777" w:rsidR="008A3B72" w:rsidRPr="008A3B72" w:rsidRDefault="008A3B72" w:rsidP="00A625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1732B9A4" w14:textId="77777777" w:rsidR="008A3B72" w:rsidRDefault="008A3B72" w:rsidP="00A6255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B72">
        <w:rPr>
          <w:rFonts w:ascii="Times New Roman" w:hAnsi="Times New Roman" w:cs="Times New Roman"/>
          <w:sz w:val="28"/>
          <w:szCs w:val="28"/>
        </w:rPr>
        <w:t>Faculty unfamiliar with SBTi, Scope 3, or ESG assurance.</w:t>
      </w:r>
    </w:p>
    <w:p w14:paraId="3EDED2CD" w14:textId="77777777" w:rsidR="00976B4C" w:rsidRPr="008A3B72" w:rsidRDefault="00976B4C" w:rsidP="00976B4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6A578A" w14:textId="0A3DFFD0" w:rsidR="008A3B72" w:rsidRPr="00976B4C" w:rsidRDefault="00976B4C" w:rsidP="00DB0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6B4C">
        <w:rPr>
          <w:rFonts w:ascii="Times New Roman" w:hAnsi="Times New Roman" w:cs="Times New Roman"/>
          <w:b/>
          <w:bCs/>
          <w:sz w:val="28"/>
          <w:szCs w:val="28"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3260"/>
      </w:tblGrid>
      <w:tr w:rsidR="00976B4C" w:rsidRPr="00976B4C" w14:paraId="2AABCC4C" w14:textId="77777777" w:rsidTr="00976B4C">
        <w:tc>
          <w:tcPr>
            <w:tcW w:w="1980" w:type="dxa"/>
            <w:hideMark/>
          </w:tcPr>
          <w:p w14:paraId="2ABFDB35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Gap Area</w:t>
            </w:r>
          </w:p>
        </w:tc>
        <w:tc>
          <w:tcPr>
            <w:tcW w:w="2977" w:type="dxa"/>
            <w:hideMark/>
          </w:tcPr>
          <w:p w14:paraId="1D493A2D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Issue</w:t>
            </w:r>
          </w:p>
        </w:tc>
        <w:tc>
          <w:tcPr>
            <w:tcW w:w="3260" w:type="dxa"/>
            <w:hideMark/>
          </w:tcPr>
          <w:p w14:paraId="1D49937C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Needed Shift</w:t>
            </w:r>
          </w:p>
        </w:tc>
      </w:tr>
      <w:tr w:rsidR="00976B4C" w:rsidRPr="00976B4C" w14:paraId="3F2092CA" w14:textId="77777777" w:rsidTr="00976B4C">
        <w:tc>
          <w:tcPr>
            <w:tcW w:w="1980" w:type="dxa"/>
            <w:hideMark/>
          </w:tcPr>
          <w:p w14:paraId="1BC947B1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Curriculum</w:t>
            </w:r>
          </w:p>
        </w:tc>
        <w:tc>
          <w:tcPr>
            <w:tcW w:w="2977" w:type="dxa"/>
            <w:hideMark/>
          </w:tcPr>
          <w:p w14:paraId="13D0211A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Theoretical focus</w:t>
            </w:r>
          </w:p>
        </w:tc>
        <w:tc>
          <w:tcPr>
            <w:tcW w:w="3260" w:type="dxa"/>
            <w:hideMark/>
          </w:tcPr>
          <w:p w14:paraId="3292A715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Practice-oriented ESG</w:t>
            </w:r>
          </w:p>
        </w:tc>
      </w:tr>
      <w:tr w:rsidR="00976B4C" w:rsidRPr="00976B4C" w14:paraId="6B0BEA10" w14:textId="77777777" w:rsidTr="00976B4C">
        <w:tc>
          <w:tcPr>
            <w:tcW w:w="1980" w:type="dxa"/>
            <w:hideMark/>
          </w:tcPr>
          <w:p w14:paraId="5FAC3822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Teaching</w:t>
            </w:r>
          </w:p>
        </w:tc>
        <w:tc>
          <w:tcPr>
            <w:tcW w:w="2977" w:type="dxa"/>
            <w:hideMark/>
          </w:tcPr>
          <w:p w14:paraId="6CF247A4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Fragmented E-S-G</w:t>
            </w:r>
          </w:p>
        </w:tc>
        <w:tc>
          <w:tcPr>
            <w:tcW w:w="3260" w:type="dxa"/>
            <w:hideMark/>
          </w:tcPr>
          <w:p w14:paraId="25B34FDF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Integrated framework</w:t>
            </w:r>
          </w:p>
        </w:tc>
      </w:tr>
      <w:tr w:rsidR="00976B4C" w:rsidRPr="00976B4C" w14:paraId="4704658F" w14:textId="77777777" w:rsidTr="00976B4C">
        <w:tc>
          <w:tcPr>
            <w:tcW w:w="1980" w:type="dxa"/>
            <w:hideMark/>
          </w:tcPr>
          <w:p w14:paraId="431F4FAA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Skills</w:t>
            </w:r>
          </w:p>
        </w:tc>
        <w:tc>
          <w:tcPr>
            <w:tcW w:w="2977" w:type="dxa"/>
            <w:hideMark/>
          </w:tcPr>
          <w:p w14:paraId="233FFD4F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Limited analytics</w:t>
            </w:r>
          </w:p>
        </w:tc>
        <w:tc>
          <w:tcPr>
            <w:tcW w:w="3260" w:type="dxa"/>
            <w:hideMark/>
          </w:tcPr>
          <w:p w14:paraId="68E57D4A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Data-driven ESG</w:t>
            </w:r>
          </w:p>
        </w:tc>
      </w:tr>
      <w:tr w:rsidR="00976B4C" w:rsidRPr="00976B4C" w14:paraId="5DDFEA2F" w14:textId="77777777" w:rsidTr="00976B4C">
        <w:tc>
          <w:tcPr>
            <w:tcW w:w="1980" w:type="dxa"/>
            <w:hideMark/>
          </w:tcPr>
          <w:p w14:paraId="0EB90B73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Tools</w:t>
            </w:r>
          </w:p>
        </w:tc>
        <w:tc>
          <w:tcPr>
            <w:tcW w:w="2977" w:type="dxa"/>
            <w:hideMark/>
          </w:tcPr>
          <w:p w14:paraId="6BF8EEDA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Low tech adoption</w:t>
            </w:r>
          </w:p>
        </w:tc>
        <w:tc>
          <w:tcPr>
            <w:tcW w:w="3260" w:type="dxa"/>
            <w:hideMark/>
          </w:tcPr>
          <w:p w14:paraId="47F00440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AI &amp; ESG platforms</w:t>
            </w:r>
          </w:p>
        </w:tc>
      </w:tr>
      <w:tr w:rsidR="00976B4C" w:rsidRPr="00976B4C" w14:paraId="7266AC70" w14:textId="77777777" w:rsidTr="00976B4C">
        <w:tc>
          <w:tcPr>
            <w:tcW w:w="1980" w:type="dxa"/>
            <w:hideMark/>
          </w:tcPr>
          <w:p w14:paraId="7227EC3B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Assessment</w:t>
            </w:r>
          </w:p>
        </w:tc>
        <w:tc>
          <w:tcPr>
            <w:tcW w:w="2977" w:type="dxa"/>
            <w:hideMark/>
          </w:tcPr>
          <w:p w14:paraId="009E8780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Exam-centric</w:t>
            </w:r>
          </w:p>
        </w:tc>
        <w:tc>
          <w:tcPr>
            <w:tcW w:w="3260" w:type="dxa"/>
            <w:hideMark/>
          </w:tcPr>
          <w:p w14:paraId="5CC0FAE9" w14:textId="77777777" w:rsidR="00976B4C" w:rsidRPr="00976B4C" w:rsidRDefault="00976B4C" w:rsidP="00976B4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6B4C">
              <w:rPr>
                <w:rFonts w:ascii="Times New Roman" w:hAnsi="Times New Roman" w:cs="Times New Roman"/>
                <w:sz w:val="28"/>
                <w:szCs w:val="28"/>
              </w:rPr>
              <w:t>Performance &amp; projects</w:t>
            </w:r>
          </w:p>
        </w:tc>
      </w:tr>
    </w:tbl>
    <w:p w14:paraId="59952225" w14:textId="77777777" w:rsidR="00976B4C" w:rsidRPr="00391D8A" w:rsidRDefault="00976B4C" w:rsidP="00DB0F2A">
      <w:pPr>
        <w:rPr>
          <w:rFonts w:ascii="Times New Roman" w:hAnsi="Times New Roman" w:cs="Times New Roman"/>
          <w:sz w:val="28"/>
          <w:szCs w:val="28"/>
        </w:rPr>
      </w:pPr>
    </w:p>
    <w:p w14:paraId="1F635C85" w14:textId="24F51941" w:rsidR="007F4745" w:rsidRPr="007F4745" w:rsidRDefault="007F4745" w:rsidP="007F4745">
      <w:pPr>
        <w:rPr>
          <w:rFonts w:ascii="Times New Roman" w:hAnsi="Times New Roman" w:cs="Times New Roman"/>
          <w:sz w:val="26"/>
          <w:szCs w:val="26"/>
        </w:rPr>
      </w:pPr>
      <w:r w:rsidRPr="007F4745">
        <w:rPr>
          <w:rFonts w:ascii="Times New Roman" w:hAnsi="Times New Roman" w:cs="Times New Roman"/>
          <w:sz w:val="26"/>
          <w:szCs w:val="26"/>
        </w:rPr>
        <w:t xml:space="preserve">Below is a </w:t>
      </w:r>
      <w:r w:rsidRPr="007F4745">
        <w:rPr>
          <w:rFonts w:ascii="Times New Roman" w:hAnsi="Times New Roman" w:cs="Times New Roman"/>
          <w:b/>
          <w:bCs/>
          <w:sz w:val="26"/>
          <w:szCs w:val="26"/>
        </w:rPr>
        <w:t>Lucidchart-ready GAP ANALYSIS</w:t>
      </w:r>
      <w:r w:rsidRPr="007F4745">
        <w:rPr>
          <w:rFonts w:ascii="Times New Roman" w:hAnsi="Times New Roman" w:cs="Times New Roman"/>
          <w:sz w:val="26"/>
          <w:szCs w:val="26"/>
        </w:rPr>
        <w:t xml:space="preserve"> based on the </w:t>
      </w:r>
      <w:r w:rsidRPr="007F4745">
        <w:rPr>
          <w:rFonts w:ascii="Times New Roman" w:hAnsi="Times New Roman" w:cs="Times New Roman"/>
          <w:b/>
          <w:bCs/>
          <w:sz w:val="26"/>
          <w:szCs w:val="26"/>
        </w:rPr>
        <w:t>identified gaps in teaching ESG</w:t>
      </w:r>
      <w:r w:rsidRPr="007F4745">
        <w:rPr>
          <w:rFonts w:ascii="Times New Roman" w:hAnsi="Times New Roman" w:cs="Times New Roman"/>
          <w:sz w:val="26"/>
          <w:szCs w:val="26"/>
        </w:rPr>
        <w:t>.</w:t>
      </w:r>
      <w:r w:rsidRPr="007F4745">
        <w:rPr>
          <w:rFonts w:ascii="Times New Roman" w:hAnsi="Times New Roman" w:cs="Times New Roman"/>
          <w:sz w:val="26"/>
          <w:szCs w:val="26"/>
        </w:rPr>
        <w:br/>
      </w:r>
    </w:p>
    <w:p w14:paraId="766FC1A6" w14:textId="094D3E75" w:rsidR="007F4745" w:rsidRDefault="007F4745" w:rsidP="007F4745">
      <w:pPr>
        <w:rPr>
          <w:rFonts w:ascii="Times New Roman" w:hAnsi="Times New Roman" w:cs="Times New Roman"/>
          <w:sz w:val="26"/>
          <w:szCs w:val="26"/>
        </w:rPr>
      </w:pPr>
    </w:p>
    <w:p w14:paraId="7CA7636A" w14:textId="77777777" w:rsidR="00A6255A" w:rsidRDefault="00A6255A" w:rsidP="007F4745">
      <w:pPr>
        <w:rPr>
          <w:rFonts w:ascii="Times New Roman" w:hAnsi="Times New Roman" w:cs="Times New Roman"/>
          <w:sz w:val="26"/>
          <w:szCs w:val="26"/>
        </w:rPr>
      </w:pPr>
    </w:p>
    <w:p w14:paraId="0E0974A0" w14:textId="77777777" w:rsidR="00A6255A" w:rsidRDefault="00A6255A" w:rsidP="007F4745">
      <w:pPr>
        <w:rPr>
          <w:rFonts w:ascii="Times New Roman" w:hAnsi="Times New Roman" w:cs="Times New Roman"/>
          <w:sz w:val="26"/>
          <w:szCs w:val="26"/>
        </w:rPr>
      </w:pPr>
    </w:p>
    <w:p w14:paraId="78BE49E0" w14:textId="77777777" w:rsidR="00A6255A" w:rsidRDefault="00A6255A" w:rsidP="007F4745">
      <w:pPr>
        <w:rPr>
          <w:rFonts w:ascii="Times New Roman" w:hAnsi="Times New Roman" w:cs="Times New Roman"/>
          <w:sz w:val="26"/>
          <w:szCs w:val="26"/>
        </w:rPr>
      </w:pPr>
    </w:p>
    <w:p w14:paraId="25BD537B" w14:textId="77777777" w:rsidR="00A6255A" w:rsidRDefault="00A6255A" w:rsidP="007F4745">
      <w:pPr>
        <w:rPr>
          <w:rFonts w:ascii="Times New Roman" w:hAnsi="Times New Roman" w:cs="Times New Roman"/>
          <w:sz w:val="26"/>
          <w:szCs w:val="26"/>
        </w:rPr>
      </w:pPr>
    </w:p>
    <w:p w14:paraId="6D7A6C1A" w14:textId="77777777" w:rsidR="00A6255A" w:rsidRDefault="00A6255A" w:rsidP="007F4745">
      <w:pPr>
        <w:rPr>
          <w:rFonts w:ascii="Times New Roman" w:hAnsi="Times New Roman" w:cs="Times New Roman"/>
          <w:sz w:val="26"/>
          <w:szCs w:val="26"/>
        </w:rPr>
      </w:pPr>
    </w:p>
    <w:p w14:paraId="5AA38BC3" w14:textId="77777777" w:rsidR="00A6255A" w:rsidRDefault="00A6255A" w:rsidP="007F4745">
      <w:pPr>
        <w:rPr>
          <w:rFonts w:ascii="Times New Roman" w:hAnsi="Times New Roman" w:cs="Times New Roman"/>
          <w:sz w:val="26"/>
          <w:szCs w:val="26"/>
        </w:rPr>
      </w:pPr>
    </w:p>
    <w:p w14:paraId="553C70B8" w14:textId="77777777" w:rsidR="00A6255A" w:rsidRDefault="00A6255A" w:rsidP="007F4745">
      <w:pPr>
        <w:rPr>
          <w:rFonts w:ascii="Times New Roman" w:hAnsi="Times New Roman" w:cs="Times New Roman"/>
          <w:sz w:val="26"/>
          <w:szCs w:val="26"/>
        </w:rPr>
      </w:pPr>
    </w:p>
    <w:p w14:paraId="1421D5D4" w14:textId="77777777" w:rsidR="00A6255A" w:rsidRDefault="00A6255A" w:rsidP="007F4745">
      <w:pPr>
        <w:rPr>
          <w:rFonts w:ascii="Times New Roman" w:hAnsi="Times New Roman" w:cs="Times New Roman"/>
          <w:sz w:val="26"/>
          <w:szCs w:val="26"/>
        </w:rPr>
      </w:pPr>
    </w:p>
    <w:p w14:paraId="386503A7" w14:textId="1B7F0A94" w:rsidR="007F4745" w:rsidRPr="007F4745" w:rsidRDefault="00A6255A" w:rsidP="007F474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GAP</w:t>
      </w:r>
      <w:r w:rsidR="007F4745" w:rsidRPr="007F4745">
        <w:rPr>
          <w:rFonts w:ascii="Times New Roman" w:hAnsi="Times New Roman" w:cs="Times New Roman"/>
          <w:b/>
          <w:bCs/>
          <w:sz w:val="26"/>
          <w:szCs w:val="26"/>
        </w:rPr>
        <w:t xml:space="preserve"> ANALYSIS – Teaching ESG</w:t>
      </w:r>
    </w:p>
    <w:p w14:paraId="1649EB5F" w14:textId="77777777" w:rsidR="007F4745" w:rsidRPr="007F4745" w:rsidRDefault="007F4745" w:rsidP="007F47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4745">
        <w:rPr>
          <w:rFonts w:ascii="Times New Roman" w:hAnsi="Times New Roman" w:cs="Times New Roman"/>
          <w:b/>
          <w:bCs/>
          <w:sz w:val="26"/>
          <w:szCs w:val="26"/>
        </w:rPr>
        <w:t>Title: Gap Analysis for Teaching ESG (Environmental, Social &amp; Governance)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717"/>
        <w:gridCol w:w="2017"/>
        <w:gridCol w:w="1836"/>
        <w:gridCol w:w="1928"/>
      </w:tblGrid>
      <w:tr w:rsidR="007F4745" w:rsidRPr="007F4745" w14:paraId="3D8E3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75CDA" w14:textId="77777777" w:rsidR="007F4745" w:rsidRPr="007F4745" w:rsidRDefault="007F4745" w:rsidP="007F474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D11D9A8" w14:textId="77777777" w:rsidR="007F4745" w:rsidRPr="007F4745" w:rsidRDefault="007F4745" w:rsidP="007F474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Current Practice</w:t>
            </w:r>
          </w:p>
        </w:tc>
        <w:tc>
          <w:tcPr>
            <w:tcW w:w="0" w:type="auto"/>
            <w:vAlign w:val="center"/>
            <w:hideMark/>
          </w:tcPr>
          <w:p w14:paraId="10D7E04B" w14:textId="77777777" w:rsidR="007F4745" w:rsidRPr="007F4745" w:rsidRDefault="007F4745" w:rsidP="007F474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Identified Gap</w:t>
            </w:r>
          </w:p>
        </w:tc>
        <w:tc>
          <w:tcPr>
            <w:tcW w:w="0" w:type="auto"/>
            <w:vAlign w:val="center"/>
            <w:hideMark/>
          </w:tcPr>
          <w:p w14:paraId="44C4640E" w14:textId="77777777" w:rsidR="007F4745" w:rsidRPr="007F4745" w:rsidRDefault="007F4745" w:rsidP="007F474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Desired State (Best Practice)</w:t>
            </w:r>
          </w:p>
        </w:tc>
        <w:tc>
          <w:tcPr>
            <w:tcW w:w="0" w:type="auto"/>
            <w:vAlign w:val="center"/>
            <w:hideMark/>
          </w:tcPr>
          <w:p w14:paraId="3D3F3983" w14:textId="77777777" w:rsidR="007F4745" w:rsidRPr="007F4745" w:rsidRDefault="007F4745" w:rsidP="007F474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 Needed</w:t>
            </w:r>
          </w:p>
        </w:tc>
      </w:tr>
      <w:tr w:rsidR="007F4745" w:rsidRPr="007F4745" w14:paraId="568E4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2B88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Curriculum Design</w:t>
            </w:r>
          </w:p>
        </w:tc>
        <w:tc>
          <w:tcPr>
            <w:tcW w:w="0" w:type="auto"/>
            <w:vAlign w:val="center"/>
            <w:hideMark/>
          </w:tcPr>
          <w:p w14:paraId="3ACDB1EF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ESG taught theoretically</w:t>
            </w:r>
          </w:p>
        </w:tc>
        <w:tc>
          <w:tcPr>
            <w:tcW w:w="0" w:type="auto"/>
            <w:vAlign w:val="center"/>
            <w:hideMark/>
          </w:tcPr>
          <w:p w14:paraId="002FFA24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Limited real-world application</w:t>
            </w:r>
          </w:p>
        </w:tc>
        <w:tc>
          <w:tcPr>
            <w:tcW w:w="0" w:type="auto"/>
            <w:vAlign w:val="center"/>
            <w:hideMark/>
          </w:tcPr>
          <w:p w14:paraId="4B9BE229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Practice-oriented ESG learning</w:t>
            </w:r>
          </w:p>
        </w:tc>
        <w:tc>
          <w:tcPr>
            <w:tcW w:w="0" w:type="auto"/>
            <w:vAlign w:val="center"/>
            <w:hideMark/>
          </w:tcPr>
          <w:p w14:paraId="364029BF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Case studies, projects</w:t>
            </w:r>
          </w:p>
        </w:tc>
      </w:tr>
      <w:tr w:rsidR="007F4745" w:rsidRPr="007F4745" w14:paraId="6D4AA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90D6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Teaching Approach</w:t>
            </w:r>
          </w:p>
        </w:tc>
        <w:tc>
          <w:tcPr>
            <w:tcW w:w="0" w:type="auto"/>
            <w:vAlign w:val="center"/>
            <w:hideMark/>
          </w:tcPr>
          <w:p w14:paraId="4D2F204F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Lecture-based</w:t>
            </w:r>
          </w:p>
        </w:tc>
        <w:tc>
          <w:tcPr>
            <w:tcW w:w="0" w:type="auto"/>
            <w:vAlign w:val="center"/>
            <w:hideMark/>
          </w:tcPr>
          <w:p w14:paraId="23F743E1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Low student engagement</w:t>
            </w:r>
          </w:p>
        </w:tc>
        <w:tc>
          <w:tcPr>
            <w:tcW w:w="0" w:type="auto"/>
            <w:vAlign w:val="center"/>
            <w:hideMark/>
          </w:tcPr>
          <w:p w14:paraId="5FF3C5A9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Interactive &amp; inquiry-based</w:t>
            </w:r>
          </w:p>
        </w:tc>
        <w:tc>
          <w:tcPr>
            <w:tcW w:w="0" w:type="auto"/>
            <w:vAlign w:val="center"/>
            <w:hideMark/>
          </w:tcPr>
          <w:p w14:paraId="25F2C3B5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Design Thinking, discussions</w:t>
            </w:r>
          </w:p>
        </w:tc>
      </w:tr>
      <w:tr w:rsidR="007F4745" w:rsidRPr="007F4745" w14:paraId="0E484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6800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E–S–G Integration</w:t>
            </w:r>
          </w:p>
        </w:tc>
        <w:tc>
          <w:tcPr>
            <w:tcW w:w="0" w:type="auto"/>
            <w:vAlign w:val="center"/>
            <w:hideMark/>
          </w:tcPr>
          <w:p w14:paraId="44C0B1B9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Taught separately</w:t>
            </w:r>
          </w:p>
        </w:tc>
        <w:tc>
          <w:tcPr>
            <w:tcW w:w="0" w:type="auto"/>
            <w:vAlign w:val="center"/>
            <w:hideMark/>
          </w:tcPr>
          <w:p w14:paraId="2F6EEB5D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Fragmented understanding</w:t>
            </w:r>
          </w:p>
        </w:tc>
        <w:tc>
          <w:tcPr>
            <w:tcW w:w="0" w:type="auto"/>
            <w:vAlign w:val="center"/>
            <w:hideMark/>
          </w:tcPr>
          <w:p w14:paraId="4D480A81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Integrated ESG framework</w:t>
            </w:r>
          </w:p>
        </w:tc>
        <w:tc>
          <w:tcPr>
            <w:tcW w:w="0" w:type="auto"/>
            <w:vAlign w:val="center"/>
            <w:hideMark/>
          </w:tcPr>
          <w:p w14:paraId="5FC7C7C9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Cross-linking topics</w:t>
            </w:r>
          </w:p>
        </w:tc>
      </w:tr>
      <w:tr w:rsidR="007F4745" w:rsidRPr="007F4745" w14:paraId="28755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1538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Industry Exposure</w:t>
            </w:r>
          </w:p>
        </w:tc>
        <w:tc>
          <w:tcPr>
            <w:tcW w:w="0" w:type="auto"/>
            <w:vAlign w:val="center"/>
            <w:hideMark/>
          </w:tcPr>
          <w:p w14:paraId="3C03A6FD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732A00BD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Weak employability</w:t>
            </w:r>
          </w:p>
        </w:tc>
        <w:tc>
          <w:tcPr>
            <w:tcW w:w="0" w:type="auto"/>
            <w:vAlign w:val="center"/>
            <w:hideMark/>
          </w:tcPr>
          <w:p w14:paraId="2D6B41C8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Industry-aligned ESG skills</w:t>
            </w:r>
          </w:p>
        </w:tc>
        <w:tc>
          <w:tcPr>
            <w:tcW w:w="0" w:type="auto"/>
            <w:vAlign w:val="center"/>
            <w:hideMark/>
          </w:tcPr>
          <w:p w14:paraId="06C75786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Guest lectures, live cases</w:t>
            </w:r>
          </w:p>
        </w:tc>
      </w:tr>
      <w:tr w:rsidR="007F4745" w:rsidRPr="007F4745" w14:paraId="38559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7D94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Data &amp; Analytics</w:t>
            </w:r>
          </w:p>
        </w:tc>
        <w:tc>
          <w:tcPr>
            <w:tcW w:w="0" w:type="auto"/>
            <w:vAlign w:val="center"/>
            <w:hideMark/>
          </w:tcPr>
          <w:p w14:paraId="01766033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Descriptive learning</w:t>
            </w:r>
          </w:p>
        </w:tc>
        <w:tc>
          <w:tcPr>
            <w:tcW w:w="0" w:type="auto"/>
            <w:vAlign w:val="center"/>
            <w:hideMark/>
          </w:tcPr>
          <w:p w14:paraId="3555384E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No ESG metrics skills</w:t>
            </w:r>
          </w:p>
        </w:tc>
        <w:tc>
          <w:tcPr>
            <w:tcW w:w="0" w:type="auto"/>
            <w:vAlign w:val="center"/>
            <w:hideMark/>
          </w:tcPr>
          <w:p w14:paraId="215DCF85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Data-driven ESG analysis</w:t>
            </w:r>
          </w:p>
        </w:tc>
        <w:tc>
          <w:tcPr>
            <w:tcW w:w="0" w:type="auto"/>
            <w:vAlign w:val="center"/>
            <w:hideMark/>
          </w:tcPr>
          <w:p w14:paraId="26EEF5BA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ESG KPIs, carbon accounting</w:t>
            </w:r>
          </w:p>
        </w:tc>
      </w:tr>
      <w:tr w:rsidR="007F4745" w:rsidRPr="007F4745" w14:paraId="36B27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4A35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Digital Tools</w:t>
            </w:r>
          </w:p>
        </w:tc>
        <w:tc>
          <w:tcPr>
            <w:tcW w:w="0" w:type="auto"/>
            <w:vAlign w:val="center"/>
            <w:hideMark/>
          </w:tcPr>
          <w:p w14:paraId="7FEAACB7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Traditional teaching</w:t>
            </w:r>
          </w:p>
        </w:tc>
        <w:tc>
          <w:tcPr>
            <w:tcW w:w="0" w:type="auto"/>
            <w:vAlign w:val="center"/>
            <w:hideMark/>
          </w:tcPr>
          <w:p w14:paraId="68F0E409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No AI integration</w:t>
            </w:r>
          </w:p>
        </w:tc>
        <w:tc>
          <w:tcPr>
            <w:tcW w:w="0" w:type="auto"/>
            <w:vAlign w:val="center"/>
            <w:hideMark/>
          </w:tcPr>
          <w:p w14:paraId="7C691B56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AI-enabled ESG learning</w:t>
            </w:r>
          </w:p>
        </w:tc>
        <w:tc>
          <w:tcPr>
            <w:tcW w:w="0" w:type="auto"/>
            <w:vAlign w:val="center"/>
            <w:hideMark/>
          </w:tcPr>
          <w:p w14:paraId="674AABEC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Dashboards, analytics tools</w:t>
            </w:r>
          </w:p>
        </w:tc>
      </w:tr>
      <w:tr w:rsidR="007F4745" w:rsidRPr="007F4745" w14:paraId="5F8FE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D5E4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3128631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Exam-focused</w:t>
            </w:r>
          </w:p>
        </w:tc>
        <w:tc>
          <w:tcPr>
            <w:tcW w:w="0" w:type="auto"/>
            <w:vAlign w:val="center"/>
            <w:hideMark/>
          </w:tcPr>
          <w:p w14:paraId="78B2AABD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Rote learning</w:t>
            </w:r>
          </w:p>
        </w:tc>
        <w:tc>
          <w:tcPr>
            <w:tcW w:w="0" w:type="auto"/>
            <w:vAlign w:val="center"/>
            <w:hideMark/>
          </w:tcPr>
          <w:p w14:paraId="794D038E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Skill &amp; impact-based</w:t>
            </w:r>
          </w:p>
        </w:tc>
        <w:tc>
          <w:tcPr>
            <w:tcW w:w="0" w:type="auto"/>
            <w:vAlign w:val="center"/>
            <w:hideMark/>
          </w:tcPr>
          <w:p w14:paraId="1A8E48E9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Projects, simulations</w:t>
            </w:r>
          </w:p>
        </w:tc>
      </w:tr>
      <w:tr w:rsidR="007F4745" w:rsidRPr="007F4745" w14:paraId="1311C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3346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Faculty Capacity</w:t>
            </w:r>
          </w:p>
        </w:tc>
        <w:tc>
          <w:tcPr>
            <w:tcW w:w="0" w:type="auto"/>
            <w:vAlign w:val="center"/>
            <w:hideMark/>
          </w:tcPr>
          <w:p w14:paraId="58BBD43A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Limited ESG upskilling</w:t>
            </w:r>
          </w:p>
        </w:tc>
        <w:tc>
          <w:tcPr>
            <w:tcW w:w="0" w:type="auto"/>
            <w:vAlign w:val="center"/>
            <w:hideMark/>
          </w:tcPr>
          <w:p w14:paraId="38C9A012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Inconsistent delivery</w:t>
            </w:r>
          </w:p>
        </w:tc>
        <w:tc>
          <w:tcPr>
            <w:tcW w:w="0" w:type="auto"/>
            <w:vAlign w:val="center"/>
            <w:hideMark/>
          </w:tcPr>
          <w:p w14:paraId="2A0E94B4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Continuous faculty training</w:t>
            </w:r>
          </w:p>
        </w:tc>
        <w:tc>
          <w:tcPr>
            <w:tcW w:w="0" w:type="auto"/>
            <w:vAlign w:val="center"/>
            <w:hideMark/>
          </w:tcPr>
          <w:p w14:paraId="0C6B7FC8" w14:textId="77777777" w:rsidR="007F4745" w:rsidRPr="007F4745" w:rsidRDefault="007F4745" w:rsidP="007F47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F4745">
              <w:rPr>
                <w:rFonts w:ascii="Times New Roman" w:hAnsi="Times New Roman" w:cs="Times New Roman"/>
                <w:sz w:val="26"/>
                <w:szCs w:val="26"/>
              </w:rPr>
              <w:t>FDPs, certifications</w:t>
            </w:r>
          </w:p>
        </w:tc>
      </w:tr>
    </w:tbl>
    <w:p w14:paraId="2CE2616C" w14:textId="77777777" w:rsidR="007F4745" w:rsidRDefault="007F4745" w:rsidP="007F4745">
      <w:r w:rsidRPr="007F4745">
        <w:pict w14:anchorId="7E42D7DC">
          <v:rect id="_x0000_i1142" style="width:0;height:1.5pt" o:hralign="center" o:hrstd="t" o:hr="t" fillcolor="#a0a0a0" stroked="f"/>
        </w:pict>
      </w:r>
    </w:p>
    <w:p w14:paraId="1990E08E" w14:textId="77777777" w:rsidR="002C2358" w:rsidRDefault="002C2358" w:rsidP="007F4745"/>
    <w:p w14:paraId="2DCE5830" w14:textId="77777777" w:rsidR="002C2358" w:rsidRDefault="002C2358" w:rsidP="007F4745"/>
    <w:p w14:paraId="5E4AAB80" w14:textId="77777777" w:rsidR="002C2358" w:rsidRDefault="002C2358" w:rsidP="007F4745"/>
    <w:p w14:paraId="79389352" w14:textId="77777777" w:rsidR="002C2358" w:rsidRDefault="002C2358" w:rsidP="007F4745"/>
    <w:p w14:paraId="513C6843" w14:textId="77777777" w:rsidR="002C2358" w:rsidRDefault="002C2358" w:rsidP="007F4745"/>
    <w:p w14:paraId="5529A793" w14:textId="77777777" w:rsidR="002C2358" w:rsidRDefault="002C2358" w:rsidP="007F4745"/>
    <w:p w14:paraId="5DA23B9D" w14:textId="77777777" w:rsidR="002C2358" w:rsidRDefault="002C2358" w:rsidP="007F4745"/>
    <w:p w14:paraId="2E01A5A0" w14:textId="77777777" w:rsidR="002C2358" w:rsidRDefault="002C2358" w:rsidP="007F4745"/>
    <w:p w14:paraId="166F7410" w14:textId="6F8DD47C" w:rsidR="002C2358" w:rsidRDefault="002C2358" w:rsidP="007F4745">
      <w:r>
        <w:rPr>
          <w:noProof/>
        </w:rPr>
        <w:lastRenderedPageBreak/>
        <w:drawing>
          <wp:inline distT="0" distB="0" distL="0" distR="0" wp14:anchorId="7618F70A" wp14:editId="547FD867">
            <wp:extent cx="6240780" cy="8999220"/>
            <wp:effectExtent l="0" t="0" r="7620" b="0"/>
            <wp:docPr id="1211144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899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C2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3FBE"/>
    <w:multiLevelType w:val="multilevel"/>
    <w:tmpl w:val="477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210BE"/>
    <w:multiLevelType w:val="multilevel"/>
    <w:tmpl w:val="0926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2C6C"/>
    <w:multiLevelType w:val="multilevel"/>
    <w:tmpl w:val="BB2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3100E"/>
    <w:multiLevelType w:val="multilevel"/>
    <w:tmpl w:val="32B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74EF7"/>
    <w:multiLevelType w:val="multilevel"/>
    <w:tmpl w:val="2D74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C40D5"/>
    <w:multiLevelType w:val="multilevel"/>
    <w:tmpl w:val="B54E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C22F0"/>
    <w:multiLevelType w:val="multilevel"/>
    <w:tmpl w:val="2CA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04C31"/>
    <w:multiLevelType w:val="multilevel"/>
    <w:tmpl w:val="54D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E331B"/>
    <w:multiLevelType w:val="hybridMultilevel"/>
    <w:tmpl w:val="5B60F0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E42C1"/>
    <w:multiLevelType w:val="multilevel"/>
    <w:tmpl w:val="72C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75C0D"/>
    <w:multiLevelType w:val="multilevel"/>
    <w:tmpl w:val="4700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6720D"/>
    <w:multiLevelType w:val="multilevel"/>
    <w:tmpl w:val="379A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0234B"/>
    <w:multiLevelType w:val="multilevel"/>
    <w:tmpl w:val="7E6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9609C"/>
    <w:multiLevelType w:val="multilevel"/>
    <w:tmpl w:val="3C9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836D2"/>
    <w:multiLevelType w:val="multilevel"/>
    <w:tmpl w:val="BB74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C03D9"/>
    <w:multiLevelType w:val="multilevel"/>
    <w:tmpl w:val="8F7E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F704F"/>
    <w:multiLevelType w:val="multilevel"/>
    <w:tmpl w:val="CF02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30CC0"/>
    <w:multiLevelType w:val="multilevel"/>
    <w:tmpl w:val="B11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4298E"/>
    <w:multiLevelType w:val="multilevel"/>
    <w:tmpl w:val="C23A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C7CA3"/>
    <w:multiLevelType w:val="multilevel"/>
    <w:tmpl w:val="B8EC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10F1D"/>
    <w:multiLevelType w:val="multilevel"/>
    <w:tmpl w:val="D7B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C5B73"/>
    <w:multiLevelType w:val="multilevel"/>
    <w:tmpl w:val="2A56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B6AC7"/>
    <w:multiLevelType w:val="multilevel"/>
    <w:tmpl w:val="260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E498E"/>
    <w:multiLevelType w:val="multilevel"/>
    <w:tmpl w:val="027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A5456"/>
    <w:multiLevelType w:val="multilevel"/>
    <w:tmpl w:val="5EA4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91C45"/>
    <w:multiLevelType w:val="multilevel"/>
    <w:tmpl w:val="6F52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1505D"/>
    <w:multiLevelType w:val="multilevel"/>
    <w:tmpl w:val="93E2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85999"/>
    <w:multiLevelType w:val="multilevel"/>
    <w:tmpl w:val="0A8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30ED1"/>
    <w:multiLevelType w:val="multilevel"/>
    <w:tmpl w:val="370E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D5E1B"/>
    <w:multiLevelType w:val="multilevel"/>
    <w:tmpl w:val="1546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B0209"/>
    <w:multiLevelType w:val="multilevel"/>
    <w:tmpl w:val="977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44BC1"/>
    <w:multiLevelType w:val="multilevel"/>
    <w:tmpl w:val="DA6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57774"/>
    <w:multiLevelType w:val="multilevel"/>
    <w:tmpl w:val="BE0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7222">
    <w:abstractNumId w:val="19"/>
  </w:num>
  <w:num w:numId="2" w16cid:durableId="1781335655">
    <w:abstractNumId w:val="1"/>
  </w:num>
  <w:num w:numId="3" w16cid:durableId="1165819931">
    <w:abstractNumId w:val="21"/>
  </w:num>
  <w:num w:numId="4" w16cid:durableId="1531190347">
    <w:abstractNumId w:val="5"/>
  </w:num>
  <w:num w:numId="5" w16cid:durableId="422848666">
    <w:abstractNumId w:val="2"/>
  </w:num>
  <w:num w:numId="6" w16cid:durableId="697238376">
    <w:abstractNumId w:val="24"/>
  </w:num>
  <w:num w:numId="7" w16cid:durableId="188763919">
    <w:abstractNumId w:val="15"/>
  </w:num>
  <w:num w:numId="8" w16cid:durableId="1377581244">
    <w:abstractNumId w:val="7"/>
  </w:num>
  <w:num w:numId="9" w16cid:durableId="1530265807">
    <w:abstractNumId w:val="9"/>
  </w:num>
  <w:num w:numId="10" w16cid:durableId="294481589">
    <w:abstractNumId w:val="6"/>
  </w:num>
  <w:num w:numId="11" w16cid:durableId="823472573">
    <w:abstractNumId w:val="28"/>
  </w:num>
  <w:num w:numId="12" w16cid:durableId="1778520684">
    <w:abstractNumId w:val="26"/>
  </w:num>
  <w:num w:numId="13" w16cid:durableId="1628973293">
    <w:abstractNumId w:val="20"/>
  </w:num>
  <w:num w:numId="14" w16cid:durableId="1873496832">
    <w:abstractNumId w:val="17"/>
  </w:num>
  <w:num w:numId="15" w16cid:durableId="380708478">
    <w:abstractNumId w:val="29"/>
  </w:num>
  <w:num w:numId="16" w16cid:durableId="147479200">
    <w:abstractNumId w:val="22"/>
  </w:num>
  <w:num w:numId="17" w16cid:durableId="1742562018">
    <w:abstractNumId w:val="25"/>
  </w:num>
  <w:num w:numId="18" w16cid:durableId="220793473">
    <w:abstractNumId w:val="11"/>
  </w:num>
  <w:num w:numId="19" w16cid:durableId="545528949">
    <w:abstractNumId w:val="3"/>
  </w:num>
  <w:num w:numId="20" w16cid:durableId="1860313618">
    <w:abstractNumId w:val="31"/>
  </w:num>
  <w:num w:numId="21" w16cid:durableId="1550458237">
    <w:abstractNumId w:val="18"/>
  </w:num>
  <w:num w:numId="22" w16cid:durableId="1444182275">
    <w:abstractNumId w:val="32"/>
  </w:num>
  <w:num w:numId="23" w16cid:durableId="937520634">
    <w:abstractNumId w:val="14"/>
  </w:num>
  <w:num w:numId="24" w16cid:durableId="1541749331">
    <w:abstractNumId w:val="23"/>
  </w:num>
  <w:num w:numId="25" w16cid:durableId="460195307">
    <w:abstractNumId w:val="12"/>
  </w:num>
  <w:num w:numId="26" w16cid:durableId="1155300648">
    <w:abstractNumId w:val="10"/>
  </w:num>
  <w:num w:numId="27" w16cid:durableId="210386122">
    <w:abstractNumId w:val="4"/>
  </w:num>
  <w:num w:numId="28" w16cid:durableId="934050576">
    <w:abstractNumId w:val="13"/>
  </w:num>
  <w:num w:numId="29" w16cid:durableId="1303541620">
    <w:abstractNumId w:val="27"/>
  </w:num>
  <w:num w:numId="30" w16cid:durableId="499854585">
    <w:abstractNumId w:val="30"/>
  </w:num>
  <w:num w:numId="31" w16cid:durableId="1291474234">
    <w:abstractNumId w:val="0"/>
  </w:num>
  <w:num w:numId="32" w16cid:durableId="564335407">
    <w:abstractNumId w:val="16"/>
  </w:num>
  <w:num w:numId="33" w16cid:durableId="1633091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6E"/>
    <w:rsid w:val="00047A21"/>
    <w:rsid w:val="00075063"/>
    <w:rsid w:val="001B6A18"/>
    <w:rsid w:val="002C2358"/>
    <w:rsid w:val="0045646E"/>
    <w:rsid w:val="004D53B6"/>
    <w:rsid w:val="005D771D"/>
    <w:rsid w:val="007F4745"/>
    <w:rsid w:val="008A3B72"/>
    <w:rsid w:val="00976B4C"/>
    <w:rsid w:val="00A6255A"/>
    <w:rsid w:val="00B2782A"/>
    <w:rsid w:val="00DB0F2A"/>
    <w:rsid w:val="00DD56B3"/>
    <w:rsid w:val="00F5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35BC"/>
  <w15:chartTrackingRefBased/>
  <w15:docId w15:val="{A1CC8C31-9DBF-490A-B02C-C708820B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F2A"/>
  </w:style>
  <w:style w:type="paragraph" w:styleId="Heading1">
    <w:name w:val="heading 1"/>
    <w:basedOn w:val="Normal"/>
    <w:next w:val="Normal"/>
    <w:link w:val="Heading1Char"/>
    <w:uiPriority w:val="9"/>
    <w:qFormat/>
    <w:rsid w:val="00456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4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6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559</Words>
  <Characters>3651</Characters>
  <Application>Microsoft Office Word</Application>
  <DocSecurity>0</DocSecurity>
  <Lines>110</Lines>
  <Paragraphs>102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Sonal_Tawde</dc:creator>
  <cp:keywords/>
  <dc:description/>
  <cp:lastModifiedBy>Sonal_Tawde</cp:lastModifiedBy>
  <cp:revision>13</cp:revision>
  <dcterms:created xsi:type="dcterms:W3CDTF">2026-01-04T06:23:00Z</dcterms:created>
  <dcterms:modified xsi:type="dcterms:W3CDTF">2026-01-04T06:49:00Z</dcterms:modified>
</cp:coreProperties>
</file>