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93B2" w14:textId="77777777" w:rsidR="00EA7945" w:rsidRPr="00391D8A" w:rsidRDefault="00EA7945" w:rsidP="00EA79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Name</w:t>
      </w:r>
      <w:r w:rsidRPr="00391D8A">
        <w:rPr>
          <w:rFonts w:ascii="Times New Roman" w:hAnsi="Times New Roman" w:cs="Times New Roman"/>
          <w:sz w:val="28"/>
          <w:szCs w:val="28"/>
          <w:highlight w:val="yellow"/>
        </w:rPr>
        <w:t>: Dr. Sonal Tawde</w:t>
      </w:r>
    </w:p>
    <w:p w14:paraId="07C0582D" w14:textId="77777777" w:rsidR="00F81345" w:rsidRDefault="00F81345"/>
    <w:p w14:paraId="41C80185" w14:textId="76F4C64F" w:rsidR="00F81345" w:rsidRPr="00F81345" w:rsidRDefault="001C05F4" w:rsidP="00F81345">
      <w:r>
        <w:t xml:space="preserve">A </w:t>
      </w:r>
      <w:r w:rsidR="00F81345" w:rsidRPr="00F81345">
        <w:t>clear, accurate outline of key concepts from the SASB and GRI frameworks suitable for designing your quiz. Below are concise, teacher-ready summaries you can use to inform question writing and alignment.</w:t>
      </w:r>
    </w:p>
    <w:p w14:paraId="30EF1D37" w14:textId="77777777" w:rsidR="00F81345" w:rsidRPr="00F81345" w:rsidRDefault="00F81345" w:rsidP="00F81345">
      <w:r w:rsidRPr="00F81345">
        <w:t>SASB — Key concepts (concise summary)</w:t>
      </w:r>
    </w:p>
    <w:p w14:paraId="60408EE9" w14:textId="77777777" w:rsidR="00F81345" w:rsidRPr="00F81345" w:rsidRDefault="00F81345" w:rsidP="00F81345">
      <w:pPr>
        <w:numPr>
          <w:ilvl w:val="0"/>
          <w:numId w:val="1"/>
        </w:numPr>
      </w:pPr>
      <w:r w:rsidRPr="00F81345">
        <w:t>Purpose: Provide industry-specific, financially material sustainability disclosure standards to inform investors and integrate sustainability into financial decision-making.</w:t>
      </w:r>
    </w:p>
    <w:p w14:paraId="27B768DF" w14:textId="77777777" w:rsidR="00F81345" w:rsidRPr="00F81345" w:rsidRDefault="00F81345" w:rsidP="00F81345">
      <w:pPr>
        <w:numPr>
          <w:ilvl w:val="0"/>
          <w:numId w:val="1"/>
        </w:numPr>
      </w:pPr>
      <w:r w:rsidRPr="00F81345">
        <w:t>Materiality concept: Focuses on issues likely to affect financial performance; material topics vary by industry.</w:t>
      </w:r>
    </w:p>
    <w:p w14:paraId="423EFFE3" w14:textId="77777777" w:rsidR="00F81345" w:rsidRPr="00F81345" w:rsidRDefault="00F81345" w:rsidP="00F81345">
      <w:pPr>
        <w:numPr>
          <w:ilvl w:val="0"/>
          <w:numId w:val="1"/>
        </w:numPr>
      </w:pPr>
      <w:r w:rsidRPr="00F81345">
        <w:t>Industry specificity: Standards are organized by sector and industry (e.g., Oil &amp; Gas, Banking, Technology) with tailored metrics.</w:t>
      </w:r>
    </w:p>
    <w:p w14:paraId="05EB8F3F" w14:textId="77777777" w:rsidR="00F81345" w:rsidRPr="00F81345" w:rsidRDefault="00F81345" w:rsidP="00F81345">
      <w:pPr>
        <w:numPr>
          <w:ilvl w:val="0"/>
          <w:numId w:val="1"/>
        </w:numPr>
      </w:pPr>
      <w:r w:rsidRPr="00F81345">
        <w:t>Metrics type: Includes quantitative and qualitative metrics (e.g., emissions intensity, water use, employee turnover, cybersecurity incidents).</w:t>
      </w:r>
    </w:p>
    <w:p w14:paraId="38E306F4" w14:textId="77777777" w:rsidR="00F81345" w:rsidRPr="00F81345" w:rsidRDefault="00F81345" w:rsidP="00F81345">
      <w:pPr>
        <w:numPr>
          <w:ilvl w:val="0"/>
          <w:numId w:val="1"/>
        </w:numPr>
      </w:pPr>
      <w:r w:rsidRPr="00F81345">
        <w:t>Disclosure format: Designed to be included in filings and investor communications; emphasizes comparability and decision-useful data.</w:t>
      </w:r>
    </w:p>
    <w:p w14:paraId="788E98C7" w14:textId="77777777" w:rsidR="00F81345" w:rsidRPr="00F81345" w:rsidRDefault="00F81345" w:rsidP="00F81345">
      <w:pPr>
        <w:numPr>
          <w:ilvl w:val="0"/>
          <w:numId w:val="1"/>
        </w:numPr>
      </w:pPr>
      <w:r w:rsidRPr="00F81345">
        <w:t>Topic categories: Typical topics include Climate &amp; Energy, Human Capital, Human Rights &amp; Community, Business Model &amp; Innovation, Leadership &amp; Governance, and Product Quality &amp; Safety.</w:t>
      </w:r>
    </w:p>
    <w:p w14:paraId="1187F7D7" w14:textId="77777777" w:rsidR="00F81345" w:rsidRPr="00F81345" w:rsidRDefault="00F81345" w:rsidP="00F81345">
      <w:pPr>
        <w:numPr>
          <w:ilvl w:val="0"/>
          <w:numId w:val="1"/>
        </w:numPr>
      </w:pPr>
      <w:r w:rsidRPr="00F81345">
        <w:t>SASB metrics vs. accounting metrics: Metrics are standardized but complementary to traditional financial reporting; meant to be audited/reconciled to financials where possible.</w:t>
      </w:r>
    </w:p>
    <w:p w14:paraId="283BBC2A" w14:textId="77777777" w:rsidR="00F81345" w:rsidRPr="00F81345" w:rsidRDefault="00F81345" w:rsidP="00F81345">
      <w:pPr>
        <w:numPr>
          <w:ilvl w:val="0"/>
          <w:numId w:val="1"/>
        </w:numPr>
      </w:pPr>
      <w:r w:rsidRPr="00F81345">
        <w:t>Implementation: Companies select the SASB industry standard, disclose material topics, and report on required metrics or explain why not applicable.</w:t>
      </w:r>
    </w:p>
    <w:p w14:paraId="16AE4E8F" w14:textId="77777777" w:rsidR="00F81345" w:rsidRPr="00F81345" w:rsidRDefault="00F81345" w:rsidP="00F81345">
      <w:r w:rsidRPr="00F81345">
        <w:t>GRI — Key concepts (concise summary)</w:t>
      </w:r>
    </w:p>
    <w:p w14:paraId="38087960" w14:textId="77777777" w:rsidR="00F81345" w:rsidRPr="00F81345" w:rsidRDefault="00F81345" w:rsidP="00F81345">
      <w:pPr>
        <w:numPr>
          <w:ilvl w:val="0"/>
          <w:numId w:val="2"/>
        </w:numPr>
      </w:pPr>
      <w:r w:rsidRPr="00F81345">
        <w:t>Purpose: Provide globally applicable sustainability reporting standards focused on a broad set of stakeholders (not just investors), supporting transparency and accountability.</w:t>
      </w:r>
    </w:p>
    <w:p w14:paraId="38251EE8" w14:textId="77777777" w:rsidR="00F81345" w:rsidRPr="00F81345" w:rsidRDefault="00F81345" w:rsidP="00F81345">
      <w:pPr>
        <w:numPr>
          <w:ilvl w:val="0"/>
          <w:numId w:val="2"/>
        </w:numPr>
      </w:pPr>
      <w:r w:rsidRPr="00F81345">
        <w:t>Universal vs. topic-specific standards: GRI has universal standards (e.g., reporting principles, general disclosures) plus topic-specific standards (Environmental, Social, Economic).</w:t>
      </w:r>
    </w:p>
    <w:p w14:paraId="031F8B9E" w14:textId="77777777" w:rsidR="00F81345" w:rsidRPr="00F81345" w:rsidRDefault="00F81345" w:rsidP="00F81345">
      <w:pPr>
        <w:numPr>
          <w:ilvl w:val="0"/>
          <w:numId w:val="2"/>
        </w:numPr>
      </w:pPr>
      <w:r w:rsidRPr="00F81345">
        <w:t>Materiality concept: Double-materiality approach — considers both financial/material impacts and impacts on people and the environment (inside-out and outside-in).</w:t>
      </w:r>
    </w:p>
    <w:p w14:paraId="6C3BDE00" w14:textId="77777777" w:rsidR="00F81345" w:rsidRPr="00F81345" w:rsidRDefault="00F81345" w:rsidP="00F81345">
      <w:pPr>
        <w:numPr>
          <w:ilvl w:val="0"/>
          <w:numId w:val="2"/>
        </w:numPr>
      </w:pPr>
      <w:r w:rsidRPr="00F81345">
        <w:t>Reporting topics: Environment (emissions, energy, water, biodiversity), Labor Practices (wages, health &amp; safety, training), Human Rights, Community Impacts, Anti-corruption, Governance, Supply Chain.</w:t>
      </w:r>
    </w:p>
    <w:p w14:paraId="4FC08948" w14:textId="77777777" w:rsidR="00F81345" w:rsidRPr="00F81345" w:rsidRDefault="00F81345" w:rsidP="00F81345">
      <w:pPr>
        <w:numPr>
          <w:ilvl w:val="0"/>
          <w:numId w:val="2"/>
        </w:numPr>
      </w:pPr>
      <w:r w:rsidRPr="00F81345">
        <w:lastRenderedPageBreak/>
        <w:t>Disclosures: Includes management approach explanations, specific performance indicators, context, boundaries (which entities/operations are covered).</w:t>
      </w:r>
    </w:p>
    <w:p w14:paraId="285F737D" w14:textId="77777777" w:rsidR="00F81345" w:rsidRPr="00F81345" w:rsidRDefault="00F81345" w:rsidP="00F81345">
      <w:pPr>
        <w:numPr>
          <w:ilvl w:val="0"/>
          <w:numId w:val="2"/>
        </w:numPr>
      </w:pPr>
      <w:r w:rsidRPr="00F81345">
        <w:t>Stakeholder inclusiveness: Emphasizes engagement with stakeholders to determine material issues and set reporting boundaries.</w:t>
      </w:r>
    </w:p>
    <w:p w14:paraId="70DE3E33" w14:textId="77777777" w:rsidR="00F81345" w:rsidRPr="00F81345" w:rsidRDefault="00F81345" w:rsidP="00F81345">
      <w:pPr>
        <w:numPr>
          <w:ilvl w:val="0"/>
          <w:numId w:val="2"/>
        </w:numPr>
      </w:pPr>
      <w:r w:rsidRPr="00F81345">
        <w:t>Use cases: Used by a wide range of organizations to produce sustainability reports that communicate impacts, strategies, and governance.</w:t>
      </w:r>
    </w:p>
    <w:p w14:paraId="190528C9" w14:textId="77777777" w:rsidR="00F81345" w:rsidRPr="00F81345" w:rsidRDefault="00F81345" w:rsidP="00F81345">
      <w:pPr>
        <w:numPr>
          <w:ilvl w:val="0"/>
          <w:numId w:val="2"/>
        </w:numPr>
      </w:pPr>
      <w:r w:rsidRPr="00F81345">
        <w:t>Assurance: GRI encourages external assurance for credibility but does not mandate a specific assurance standard.</w:t>
      </w:r>
    </w:p>
    <w:p w14:paraId="75FA5D0A" w14:textId="77777777" w:rsidR="00F81345" w:rsidRPr="00F81345" w:rsidRDefault="00F81345" w:rsidP="00F81345">
      <w:r w:rsidRPr="00F81345">
        <w:t>Comparing SASB and GRI — Key contrasts</w:t>
      </w:r>
    </w:p>
    <w:p w14:paraId="20D0476A" w14:textId="77777777" w:rsidR="00F81345" w:rsidRPr="00F81345" w:rsidRDefault="00F81345" w:rsidP="00F81345">
      <w:pPr>
        <w:numPr>
          <w:ilvl w:val="0"/>
          <w:numId w:val="3"/>
        </w:numPr>
      </w:pPr>
      <w:r w:rsidRPr="00F81345">
        <w:t>Primary audience: SASB — investors and financial stakeholders; GRI — broader stakeholders (community, civil society, customers, employees, investors).</w:t>
      </w:r>
    </w:p>
    <w:p w14:paraId="71506DDE" w14:textId="77777777" w:rsidR="00F81345" w:rsidRPr="00F81345" w:rsidRDefault="00F81345" w:rsidP="00F81345">
      <w:pPr>
        <w:numPr>
          <w:ilvl w:val="0"/>
          <w:numId w:val="3"/>
        </w:numPr>
      </w:pPr>
      <w:r w:rsidRPr="00F81345">
        <w:t xml:space="preserve">Materiality approach: SASB — single materiality </w:t>
      </w:r>
      <w:proofErr w:type="spellStart"/>
      <w:r w:rsidRPr="00F81345">
        <w:t>centered</w:t>
      </w:r>
      <w:proofErr w:type="spellEnd"/>
      <w:r w:rsidRPr="00F81345">
        <w:t xml:space="preserve"> on financial/material impacts; GRI — double materiality including impacts on society/environment.</w:t>
      </w:r>
    </w:p>
    <w:p w14:paraId="3593DEFA" w14:textId="77777777" w:rsidR="00F81345" w:rsidRPr="00F81345" w:rsidRDefault="00F81345" w:rsidP="00F81345">
      <w:pPr>
        <w:numPr>
          <w:ilvl w:val="0"/>
          <w:numId w:val="3"/>
        </w:numPr>
      </w:pPr>
      <w:r w:rsidRPr="00F81345">
        <w:t>Scope: SASB — industry-specific, financially material metrics; GRI — general and topic-specific standards covering wide-ranging impacts.</w:t>
      </w:r>
    </w:p>
    <w:p w14:paraId="04DDE415" w14:textId="77777777" w:rsidR="00F81345" w:rsidRPr="00F81345" w:rsidRDefault="00F81345" w:rsidP="00F81345">
      <w:pPr>
        <w:numPr>
          <w:ilvl w:val="0"/>
          <w:numId w:val="3"/>
        </w:numPr>
      </w:pPr>
      <w:r w:rsidRPr="00F81345">
        <w:t>Use in reporting: Many organizations use both: SASB metrics for investor-focused reporting and GRI for comprehensive sustainability reports.</w:t>
      </w:r>
    </w:p>
    <w:p w14:paraId="4F83A323" w14:textId="77777777" w:rsidR="00F81345" w:rsidRPr="00F81345" w:rsidRDefault="00F81345" w:rsidP="00F81345">
      <w:pPr>
        <w:numPr>
          <w:ilvl w:val="0"/>
          <w:numId w:val="3"/>
        </w:numPr>
      </w:pPr>
      <w:r w:rsidRPr="00F81345">
        <w:t>Regulatory alignment: SASB metrics map well to investor-reporting regulations (e.g., SEC climate disclosure guidance); GRI is often used to satisfy broader disclosure requirements (e.g., CSRD expects double-materiality approaches).</w:t>
      </w:r>
    </w:p>
    <w:p w14:paraId="081667AF" w14:textId="77777777" w:rsidR="00F81345" w:rsidRPr="00F81345" w:rsidRDefault="00F81345" w:rsidP="00F81345">
      <w:r w:rsidRPr="00F81345">
        <w:t>Practical examples and typical metrics (for quiz item ideas)</w:t>
      </w:r>
    </w:p>
    <w:p w14:paraId="5E94629D" w14:textId="77777777" w:rsidR="00F81345" w:rsidRPr="00F81345" w:rsidRDefault="00F81345" w:rsidP="00F81345">
      <w:pPr>
        <w:numPr>
          <w:ilvl w:val="0"/>
          <w:numId w:val="4"/>
        </w:numPr>
      </w:pPr>
      <w:r w:rsidRPr="00F81345">
        <w:t xml:space="preserve">SASB examples: </w:t>
      </w:r>
    </w:p>
    <w:p w14:paraId="7D980A28" w14:textId="77777777" w:rsidR="00F81345" w:rsidRPr="00F81345" w:rsidRDefault="00F81345" w:rsidP="00F81345">
      <w:pPr>
        <w:numPr>
          <w:ilvl w:val="1"/>
          <w:numId w:val="4"/>
        </w:numPr>
      </w:pPr>
      <w:r w:rsidRPr="00F81345">
        <w:t>Oil &amp; Gas: Greenhouse gas (GHG) emissions intensity; methane emissions; spills and environmental fines.</w:t>
      </w:r>
    </w:p>
    <w:p w14:paraId="4CCA9AAA" w14:textId="77777777" w:rsidR="00F81345" w:rsidRPr="00F81345" w:rsidRDefault="00F81345" w:rsidP="00F81345">
      <w:pPr>
        <w:numPr>
          <w:ilvl w:val="1"/>
          <w:numId w:val="4"/>
        </w:numPr>
      </w:pPr>
      <w:r w:rsidRPr="00F81345">
        <w:t>Banking: Credit risk from climate change; responsible lending policies; customer data security incidents.</w:t>
      </w:r>
    </w:p>
    <w:p w14:paraId="139C4899" w14:textId="77777777" w:rsidR="00F81345" w:rsidRPr="00F81345" w:rsidRDefault="00F81345" w:rsidP="00F81345">
      <w:pPr>
        <w:numPr>
          <w:ilvl w:val="1"/>
          <w:numId w:val="4"/>
        </w:numPr>
      </w:pPr>
      <w:r w:rsidRPr="00F81345">
        <w:t xml:space="preserve">Technology: Data privacy breaches; energy consumption of data </w:t>
      </w:r>
      <w:proofErr w:type="spellStart"/>
      <w:r w:rsidRPr="00F81345">
        <w:t>centers</w:t>
      </w:r>
      <w:proofErr w:type="spellEnd"/>
      <w:r w:rsidRPr="00F81345">
        <w:t>; lifecycle impacts of products.</w:t>
      </w:r>
    </w:p>
    <w:p w14:paraId="6D99CB14" w14:textId="77777777" w:rsidR="00F81345" w:rsidRPr="00F81345" w:rsidRDefault="00F81345" w:rsidP="00F81345">
      <w:pPr>
        <w:numPr>
          <w:ilvl w:val="0"/>
          <w:numId w:val="4"/>
        </w:numPr>
      </w:pPr>
      <w:r w:rsidRPr="00F81345">
        <w:t xml:space="preserve">GRI examples: </w:t>
      </w:r>
    </w:p>
    <w:p w14:paraId="4010B2A1" w14:textId="77777777" w:rsidR="00F81345" w:rsidRPr="00F81345" w:rsidRDefault="00F81345" w:rsidP="00F81345">
      <w:pPr>
        <w:numPr>
          <w:ilvl w:val="1"/>
          <w:numId w:val="4"/>
        </w:numPr>
      </w:pPr>
      <w:r w:rsidRPr="00F81345">
        <w:t>GRI 305 (Emissions): Total GHG emissions (Scope 1, 2, and, where relevant, Scope 3).</w:t>
      </w:r>
    </w:p>
    <w:p w14:paraId="5BA1A7C6" w14:textId="77777777" w:rsidR="00F81345" w:rsidRPr="00F81345" w:rsidRDefault="00F81345" w:rsidP="00F81345">
      <w:pPr>
        <w:numPr>
          <w:ilvl w:val="1"/>
          <w:numId w:val="4"/>
        </w:numPr>
      </w:pPr>
      <w:r w:rsidRPr="00F81345">
        <w:t>GRI 403 (Occupational Health and Safety): Injury rates, lost-time incidents, health &amp; safety training.</w:t>
      </w:r>
    </w:p>
    <w:p w14:paraId="63AE363D" w14:textId="77777777" w:rsidR="00F81345" w:rsidRPr="00F81345" w:rsidRDefault="00F81345" w:rsidP="00F81345">
      <w:pPr>
        <w:numPr>
          <w:ilvl w:val="1"/>
          <w:numId w:val="4"/>
        </w:numPr>
      </w:pPr>
      <w:r w:rsidRPr="00F81345">
        <w:t>GRI 404 (Training and Education): Average hours of training per employee, programs for skills development.</w:t>
      </w:r>
    </w:p>
    <w:p w14:paraId="2D639DCD" w14:textId="77777777" w:rsidR="00F81345" w:rsidRPr="00F81345" w:rsidRDefault="00F81345" w:rsidP="00F81345">
      <w:pPr>
        <w:numPr>
          <w:ilvl w:val="1"/>
          <w:numId w:val="4"/>
        </w:numPr>
      </w:pPr>
      <w:r w:rsidRPr="00F81345">
        <w:t>GRI 401 (Employment): New employee hires, employee turnover, benefits.</w:t>
      </w:r>
    </w:p>
    <w:p w14:paraId="61A97A91" w14:textId="77777777" w:rsidR="00F81345" w:rsidRPr="00F81345" w:rsidRDefault="00F81345" w:rsidP="00F81345">
      <w:pPr>
        <w:numPr>
          <w:ilvl w:val="1"/>
          <w:numId w:val="4"/>
        </w:numPr>
      </w:pPr>
      <w:r w:rsidRPr="00F81345">
        <w:lastRenderedPageBreak/>
        <w:t>GRI 308/414 (Supplier Environmental/Social Assessment): Percentage of new suppliers screened using environmental/social criteria.</w:t>
      </w:r>
    </w:p>
    <w:p w14:paraId="3DCFF640" w14:textId="77777777" w:rsidR="00F81345" w:rsidRPr="00F81345" w:rsidRDefault="00F81345" w:rsidP="00F81345">
      <w:r w:rsidRPr="00F81345">
        <w:t>Key governance and process concepts</w:t>
      </w:r>
    </w:p>
    <w:p w14:paraId="6E26CC77" w14:textId="77777777" w:rsidR="00F81345" w:rsidRPr="00F81345" w:rsidRDefault="00F81345" w:rsidP="00F81345">
      <w:pPr>
        <w:numPr>
          <w:ilvl w:val="0"/>
          <w:numId w:val="5"/>
        </w:numPr>
      </w:pPr>
      <w:r w:rsidRPr="00F81345">
        <w:t>Materiality assessment: Process to identify and prioritize issues (stakeholder engagement, internal/external analysis, scoring/weighting).</w:t>
      </w:r>
    </w:p>
    <w:p w14:paraId="617EDB8D" w14:textId="77777777" w:rsidR="00F81345" w:rsidRPr="00F81345" w:rsidRDefault="00F81345" w:rsidP="00F81345">
      <w:pPr>
        <w:numPr>
          <w:ilvl w:val="0"/>
          <w:numId w:val="5"/>
        </w:numPr>
      </w:pPr>
      <w:r w:rsidRPr="00F81345">
        <w:t>Reporting boundary &amp; scope: Deciding which entities, operations, value-chain elements, and geographies are included.</w:t>
      </w:r>
    </w:p>
    <w:p w14:paraId="5AB9A6D5" w14:textId="77777777" w:rsidR="00F81345" w:rsidRPr="00F81345" w:rsidRDefault="00F81345" w:rsidP="00F81345">
      <w:pPr>
        <w:numPr>
          <w:ilvl w:val="0"/>
          <w:numId w:val="5"/>
        </w:numPr>
      </w:pPr>
      <w:r w:rsidRPr="00F81345">
        <w:t>Data collection and systems: Importance of reliable data systems, internal controls, and reconciliation to financial accounts.</w:t>
      </w:r>
    </w:p>
    <w:p w14:paraId="1F4227D3" w14:textId="77777777" w:rsidR="00F81345" w:rsidRPr="00F81345" w:rsidRDefault="00F81345" w:rsidP="00F81345">
      <w:pPr>
        <w:numPr>
          <w:ilvl w:val="0"/>
          <w:numId w:val="5"/>
        </w:numPr>
      </w:pPr>
      <w:r w:rsidRPr="00F81345">
        <w:t>Assurance &amp; verification: Internal controls and external assurance improve credibility; varies by standard and regulator.</w:t>
      </w:r>
    </w:p>
    <w:p w14:paraId="47FE9973" w14:textId="77777777" w:rsidR="00F81345" w:rsidRPr="00F81345" w:rsidRDefault="00F81345" w:rsidP="00F81345">
      <w:pPr>
        <w:numPr>
          <w:ilvl w:val="0"/>
          <w:numId w:val="5"/>
        </w:numPr>
      </w:pPr>
      <w:r w:rsidRPr="00F81345">
        <w:t>Governance oversight: Board/senior management roles in ESG strategy, risk oversight, and incentives (e.g., linking executive pay to ESG goals).</w:t>
      </w:r>
    </w:p>
    <w:p w14:paraId="0D51BBC7" w14:textId="77777777" w:rsidR="00F81345" w:rsidRPr="00F81345" w:rsidRDefault="00F81345" w:rsidP="00F81345">
      <w:pPr>
        <w:numPr>
          <w:ilvl w:val="0"/>
          <w:numId w:val="5"/>
        </w:numPr>
      </w:pPr>
      <w:r w:rsidRPr="00F81345">
        <w:t>Integration with strategy: ESG considerations in risk management, capital allocation, and product development.</w:t>
      </w:r>
    </w:p>
    <w:p w14:paraId="139D8375" w14:textId="77777777" w:rsidR="00F81345" w:rsidRPr="00F81345" w:rsidRDefault="00F81345" w:rsidP="00F81345">
      <w:r w:rsidRPr="00F81345">
        <w:t>Possible quiz topic areas based on frameworks (examples to guide question-writing)</w:t>
      </w:r>
    </w:p>
    <w:p w14:paraId="1CC8E1E5" w14:textId="77777777" w:rsidR="00F81345" w:rsidRPr="00F81345" w:rsidRDefault="00F81345" w:rsidP="00F81345">
      <w:pPr>
        <w:numPr>
          <w:ilvl w:val="0"/>
          <w:numId w:val="6"/>
        </w:numPr>
      </w:pPr>
      <w:r w:rsidRPr="00F81345">
        <w:t>Definitions and audiences (SASB vs GRI focus)</w:t>
      </w:r>
    </w:p>
    <w:p w14:paraId="618EBF1E" w14:textId="77777777" w:rsidR="00F81345" w:rsidRPr="00F81345" w:rsidRDefault="00F81345" w:rsidP="00F81345">
      <w:pPr>
        <w:numPr>
          <w:ilvl w:val="0"/>
          <w:numId w:val="6"/>
        </w:numPr>
      </w:pPr>
      <w:r w:rsidRPr="00F81345">
        <w:t xml:space="preserve">Materiality and </w:t>
      </w:r>
      <w:proofErr w:type="gramStart"/>
      <w:r w:rsidRPr="00F81345">
        <w:t>double-materiality</w:t>
      </w:r>
      <w:proofErr w:type="gramEnd"/>
    </w:p>
    <w:p w14:paraId="3C46D331" w14:textId="77777777" w:rsidR="00F81345" w:rsidRPr="00F81345" w:rsidRDefault="00F81345" w:rsidP="00F81345">
      <w:pPr>
        <w:numPr>
          <w:ilvl w:val="0"/>
          <w:numId w:val="6"/>
        </w:numPr>
      </w:pPr>
      <w:r w:rsidRPr="00F81345">
        <w:t>Industry-specific versus universal standards</w:t>
      </w:r>
    </w:p>
    <w:p w14:paraId="0420CADB" w14:textId="77777777" w:rsidR="00F81345" w:rsidRPr="00F81345" w:rsidRDefault="00F81345" w:rsidP="00F81345">
      <w:pPr>
        <w:numPr>
          <w:ilvl w:val="0"/>
          <w:numId w:val="6"/>
        </w:numPr>
      </w:pPr>
      <w:r w:rsidRPr="00F81345">
        <w:t>Typical performance indicators for environment, social, governance</w:t>
      </w:r>
    </w:p>
    <w:p w14:paraId="7912F50B" w14:textId="77777777" w:rsidR="00F81345" w:rsidRPr="00F81345" w:rsidRDefault="00F81345" w:rsidP="00F81345">
      <w:pPr>
        <w:numPr>
          <w:ilvl w:val="0"/>
          <w:numId w:val="6"/>
        </w:numPr>
      </w:pPr>
      <w:r w:rsidRPr="00F81345">
        <w:t>Reporting process: boundaries, stakeholder engagement, assurance</w:t>
      </w:r>
    </w:p>
    <w:p w14:paraId="674F9DC1" w14:textId="77777777" w:rsidR="00F81345" w:rsidRPr="00F81345" w:rsidRDefault="00F81345" w:rsidP="00F81345">
      <w:pPr>
        <w:numPr>
          <w:ilvl w:val="0"/>
          <w:numId w:val="6"/>
        </w:numPr>
      </w:pPr>
      <w:r w:rsidRPr="00F81345">
        <w:t>Regulatory overlaps: SEC guidance on climate, EU CSRD's double-materiality emphasis</w:t>
      </w:r>
    </w:p>
    <w:p w14:paraId="7463F191" w14:textId="77777777" w:rsidR="00F81345" w:rsidRPr="00F81345" w:rsidRDefault="00F81345" w:rsidP="00F81345">
      <w:pPr>
        <w:numPr>
          <w:ilvl w:val="0"/>
          <w:numId w:val="6"/>
        </w:numPr>
      </w:pPr>
      <w:r w:rsidRPr="00F81345">
        <w:t>Use-cases: investor reporting vs. sustainability reports vs. integrated reporting</w:t>
      </w:r>
    </w:p>
    <w:p w14:paraId="39373C91" w14:textId="77777777" w:rsidR="00F81345" w:rsidRPr="00F81345" w:rsidRDefault="00F81345" w:rsidP="00F81345">
      <w:pPr>
        <w:numPr>
          <w:ilvl w:val="0"/>
          <w:numId w:val="6"/>
        </w:numPr>
      </w:pPr>
      <w:r w:rsidRPr="00F81345">
        <w:t>Examples of ESG practices: emission reduction targets, diversity &amp; inclusion programs, anti-corruption policies, supplier audits, energy-efficiency investments, board oversight mechanisms</w:t>
      </w:r>
    </w:p>
    <w:p w14:paraId="114D88DB" w14:textId="77777777" w:rsidR="00F81345" w:rsidRDefault="00F81345"/>
    <w:sectPr w:rsidR="00F81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D15"/>
    <w:multiLevelType w:val="multilevel"/>
    <w:tmpl w:val="D67A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C2188"/>
    <w:multiLevelType w:val="multilevel"/>
    <w:tmpl w:val="38BE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E1E9E"/>
    <w:multiLevelType w:val="multilevel"/>
    <w:tmpl w:val="942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6E6"/>
    <w:multiLevelType w:val="multilevel"/>
    <w:tmpl w:val="89D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B4318"/>
    <w:multiLevelType w:val="multilevel"/>
    <w:tmpl w:val="688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36E61"/>
    <w:multiLevelType w:val="multilevel"/>
    <w:tmpl w:val="94B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A4266"/>
    <w:multiLevelType w:val="multilevel"/>
    <w:tmpl w:val="EE9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406687">
    <w:abstractNumId w:val="3"/>
  </w:num>
  <w:num w:numId="2" w16cid:durableId="941913039">
    <w:abstractNumId w:val="4"/>
  </w:num>
  <w:num w:numId="3" w16cid:durableId="2136866973">
    <w:abstractNumId w:val="0"/>
  </w:num>
  <w:num w:numId="4" w16cid:durableId="720329753">
    <w:abstractNumId w:val="2"/>
  </w:num>
  <w:num w:numId="5" w16cid:durableId="1159541239">
    <w:abstractNumId w:val="6"/>
  </w:num>
  <w:num w:numId="6" w16cid:durableId="479537359">
    <w:abstractNumId w:val="1"/>
  </w:num>
  <w:num w:numId="7" w16cid:durableId="165680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F0"/>
    <w:rsid w:val="001C05F4"/>
    <w:rsid w:val="004C468E"/>
    <w:rsid w:val="007D48C9"/>
    <w:rsid w:val="009E7CF0"/>
    <w:rsid w:val="00DD56B3"/>
    <w:rsid w:val="00DF6291"/>
    <w:rsid w:val="00EA7945"/>
    <w:rsid w:val="00F8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5FC3"/>
  <w15:chartTrackingRefBased/>
  <w15:docId w15:val="{DCAC0D25-1957-4BB5-95D9-042E090E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Sonal_Tawde</dc:creator>
  <cp:keywords/>
  <dc:description/>
  <cp:lastModifiedBy>Sonal_Tawde</cp:lastModifiedBy>
  <cp:revision>6</cp:revision>
  <dcterms:created xsi:type="dcterms:W3CDTF">2026-03-08T09:44:00Z</dcterms:created>
  <dcterms:modified xsi:type="dcterms:W3CDTF">2026-03-10T05:52:00Z</dcterms:modified>
</cp:coreProperties>
</file>