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08F4" w:rsidRPr="003F08F4" w:rsidRDefault="003F08F4" w:rsidP="003F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8F4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3F08F4" w:rsidRPr="003F08F4" w:rsidRDefault="003F08F4" w:rsidP="003F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8F4">
        <w:rPr>
          <w:rFonts w:ascii="Times New Roman" w:eastAsia="Times New Roman" w:hAnsi="Times New Roman" w:cs="Times New Roman"/>
          <w:sz w:val="24"/>
          <w:szCs w:val="24"/>
        </w:rPr>
        <w:t>Credit risk assessment is one of the most critical functions in retail banking. When a customer applies for a loan, the bank must evaluate the likelihood of repayment — approving too freely leads to financial losses, while being overly restrictive means losing viable customers. This project analyses a real-world credit dataset to identify the borrower and loan characteristics that most strongly predict default, with the goal of providing data-driven insights that can support smarter, more consistent lending decisions.</w:t>
      </w:r>
    </w:p>
    <w:p w:rsidR="003F08F4" w:rsidRPr="003F08F4" w:rsidRDefault="003F08F4" w:rsidP="003F0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8F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F08F4" w:rsidRPr="003F08F4" w:rsidRDefault="003F08F4" w:rsidP="003F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8F4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</w:p>
    <w:p w:rsidR="003F08F4" w:rsidRPr="003F08F4" w:rsidRDefault="003F08F4" w:rsidP="003F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8F4">
        <w:rPr>
          <w:rFonts w:ascii="Times New Roman" w:eastAsia="Times New Roman" w:hAnsi="Times New Roman" w:cs="Times New Roman"/>
          <w:sz w:val="24"/>
          <w:szCs w:val="24"/>
        </w:rPr>
        <w:t xml:space="preserve">The dataset used in this analysis is the Credit Risk Dataset sourced from </w:t>
      </w:r>
      <w:proofErr w:type="spellStart"/>
      <w:r w:rsidRPr="003F08F4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3F08F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4" w:history="1">
        <w:r w:rsidRPr="003F08F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https://www.kaggle.com/datasets/laotse/credit-risk-dataset</w:t>
        </w:r>
      </w:hyperlink>
      <w:r w:rsidRPr="003F08F4">
        <w:rPr>
          <w:rFonts w:ascii="Times New Roman" w:eastAsia="Times New Roman" w:hAnsi="Times New Roman" w:cs="Times New Roman"/>
          <w:sz w:val="24"/>
          <w:szCs w:val="24"/>
        </w:rPr>
        <w:t xml:space="preserve">). It contains 32,581 records and 12 features capturing borrower demographics, financial profile, and loan characteristics. The target variable, </w:t>
      </w:r>
      <w:proofErr w:type="spellStart"/>
      <w:r w:rsidRPr="003F08F4">
        <w:rPr>
          <w:rFonts w:ascii="Courier New" w:eastAsia="Times New Roman" w:hAnsi="Courier New" w:cs="Courier New"/>
          <w:sz w:val="20"/>
          <w:szCs w:val="20"/>
        </w:rPr>
        <w:t>loan_status</w:t>
      </w:r>
      <w:proofErr w:type="spellEnd"/>
      <w:r w:rsidRPr="003F08F4">
        <w:rPr>
          <w:rFonts w:ascii="Times New Roman" w:eastAsia="Times New Roman" w:hAnsi="Times New Roman" w:cs="Times New Roman"/>
          <w:sz w:val="24"/>
          <w:szCs w:val="24"/>
        </w:rPr>
        <w:t>, indicates whether a borrower defaulted (1) or not (0). Key features include annual income, employment length, loan amount, interest rate, loan intent, loan grade, and credit history length — variables that collectively reflect a borrower's capacity and willingness to repay.</w:t>
      </w:r>
    </w:p>
    <w:p w:rsidR="003F08F4" w:rsidRPr="003F08F4" w:rsidRDefault="003F08F4" w:rsidP="003F0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8F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F08F4" w:rsidRPr="003F08F4" w:rsidRDefault="003F08F4" w:rsidP="003F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8F4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Cleaning</w:t>
      </w:r>
    </w:p>
    <w:p w:rsidR="003F08F4" w:rsidRPr="003F08F4" w:rsidRDefault="003F08F4" w:rsidP="003F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8F4">
        <w:rPr>
          <w:rFonts w:ascii="Times New Roman" w:eastAsia="Times New Roman" w:hAnsi="Times New Roman" w:cs="Times New Roman"/>
          <w:sz w:val="24"/>
          <w:szCs w:val="24"/>
        </w:rPr>
        <w:t xml:space="preserve">An initial inspection revealed missing values in two columns: </w:t>
      </w:r>
      <w:proofErr w:type="spellStart"/>
      <w:r w:rsidRPr="003F08F4">
        <w:rPr>
          <w:rFonts w:ascii="Courier New" w:eastAsia="Times New Roman" w:hAnsi="Courier New" w:cs="Courier New"/>
          <w:sz w:val="20"/>
          <w:szCs w:val="20"/>
        </w:rPr>
        <w:t>person_emp_length</w:t>
      </w:r>
      <w:proofErr w:type="spellEnd"/>
      <w:r w:rsidRPr="003F08F4">
        <w:rPr>
          <w:rFonts w:ascii="Times New Roman" w:eastAsia="Times New Roman" w:hAnsi="Times New Roman" w:cs="Times New Roman"/>
          <w:sz w:val="24"/>
          <w:szCs w:val="24"/>
        </w:rPr>
        <w:t xml:space="preserve"> (895 missing) and </w:t>
      </w:r>
      <w:proofErr w:type="spellStart"/>
      <w:r w:rsidRPr="003F08F4">
        <w:rPr>
          <w:rFonts w:ascii="Courier New" w:eastAsia="Times New Roman" w:hAnsi="Courier New" w:cs="Courier New"/>
          <w:sz w:val="20"/>
          <w:szCs w:val="20"/>
        </w:rPr>
        <w:t>loan_int_rate</w:t>
      </w:r>
      <w:proofErr w:type="spellEnd"/>
      <w:r w:rsidRPr="003F08F4">
        <w:rPr>
          <w:rFonts w:ascii="Times New Roman" w:eastAsia="Times New Roman" w:hAnsi="Times New Roman" w:cs="Times New Roman"/>
          <w:sz w:val="24"/>
          <w:szCs w:val="24"/>
        </w:rPr>
        <w:t xml:space="preserve"> (3,116 missing).</w:t>
      </w:r>
    </w:p>
    <w:p w:rsidR="003F08F4" w:rsidRPr="003F08F4" w:rsidRDefault="003F08F4" w:rsidP="003F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8F4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3F08F4">
        <w:rPr>
          <w:rFonts w:ascii="Courier New" w:eastAsia="Times New Roman" w:hAnsi="Courier New" w:cs="Courier New"/>
          <w:sz w:val="20"/>
          <w:szCs w:val="20"/>
        </w:rPr>
        <w:t>person_emp_length</w:t>
      </w:r>
      <w:proofErr w:type="spellEnd"/>
      <w:r w:rsidRPr="003F08F4">
        <w:rPr>
          <w:rFonts w:ascii="Times New Roman" w:eastAsia="Times New Roman" w:hAnsi="Times New Roman" w:cs="Times New Roman"/>
          <w:sz w:val="24"/>
          <w:szCs w:val="24"/>
        </w:rPr>
        <w:t>, missing values were filled with 0, reflecting borrowers with no recorded employment history — a defensible assumption consistent with unemployment or recent entry into the workforce.</w:t>
      </w:r>
    </w:p>
    <w:p w:rsidR="003F08F4" w:rsidRPr="003F08F4" w:rsidRDefault="003F08F4" w:rsidP="003F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8F4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3F08F4">
        <w:rPr>
          <w:rFonts w:ascii="Courier New" w:eastAsia="Times New Roman" w:hAnsi="Courier New" w:cs="Courier New"/>
          <w:sz w:val="20"/>
          <w:szCs w:val="20"/>
        </w:rPr>
        <w:t>loan_int_rate</w:t>
      </w:r>
      <w:proofErr w:type="spellEnd"/>
      <w:r w:rsidRPr="003F08F4">
        <w:rPr>
          <w:rFonts w:ascii="Times New Roman" w:eastAsia="Times New Roman" w:hAnsi="Times New Roman" w:cs="Times New Roman"/>
          <w:sz w:val="24"/>
          <w:szCs w:val="24"/>
        </w:rPr>
        <w:t>, rows were removed after confirming that the default rate within the missing subset (20.67%) closely mirrored the overall dataset default rate (21.82%), indicating the data was missing at random. Removal therefore introduced minimal bias. Following cleaning, the dataset contains 29,465 records with a default rate of 21.94%.</w:t>
      </w:r>
    </w:p>
    <w:p w:rsidR="003F08F4" w:rsidRDefault="003F08F4" w:rsidP="003F08F4">
      <w:pPr>
        <w:pStyle w:val="font-claude-response-body"/>
      </w:pPr>
      <w:r>
        <w:rPr>
          <w:rStyle w:val="Strong"/>
        </w:rPr>
        <w:t>Outlier Treatment</w:t>
      </w:r>
    </w:p>
    <w:p w:rsidR="00D77398" w:rsidRDefault="00D77398" w:rsidP="00D77398">
      <w:pPr>
        <w:pStyle w:val="font-claude-response-body"/>
      </w:pPr>
      <w:r>
        <w:t>Outliers are data points that fall outside the range of realistic or expected values. Left unaddressed, extreme values can distort model training and lead to misleading predictions.</w:t>
      </w:r>
    </w:p>
    <w:p w:rsidR="00D77398" w:rsidRDefault="00D77398" w:rsidP="00D77398">
      <w:pPr>
        <w:pStyle w:val="font-claude-response-body"/>
      </w:pPr>
      <w:r>
        <w:t xml:space="preserve">An inspection revealed extreme values in three columns. </w:t>
      </w:r>
      <w:proofErr w:type="spellStart"/>
      <w:proofErr w:type="gramStart"/>
      <w:r>
        <w:rPr>
          <w:rStyle w:val="HTMLCode"/>
        </w:rPr>
        <w:t>person_age</w:t>
      </w:r>
      <w:proofErr w:type="spellEnd"/>
      <w:proofErr w:type="gramEnd"/>
      <w:r>
        <w:t xml:space="preserve"> contained a maximum value of 144 years, </w:t>
      </w:r>
      <w:proofErr w:type="spellStart"/>
      <w:r>
        <w:rPr>
          <w:rStyle w:val="HTMLCode"/>
        </w:rPr>
        <w:t>person_emp_length</w:t>
      </w:r>
      <w:proofErr w:type="spellEnd"/>
      <w:r>
        <w:t xml:space="preserve"> reached 123 years, and </w:t>
      </w:r>
      <w:proofErr w:type="spellStart"/>
      <w:r>
        <w:rPr>
          <w:rStyle w:val="HTMLCode"/>
        </w:rPr>
        <w:t>person_income</w:t>
      </w:r>
      <w:proofErr w:type="spellEnd"/>
      <w:r>
        <w:t xml:space="preserve"> had a maximum of $2,039,784 — far beyond what would be expected for a retail loan applicant. These were identified as likely data entry errors rather than genuine records.</w:t>
      </w:r>
    </w:p>
    <w:p w:rsidR="00D77398" w:rsidRDefault="00D77398" w:rsidP="00D77398">
      <w:pPr>
        <w:pStyle w:val="font-claude-response-body"/>
      </w:pPr>
      <w:r>
        <w:lastRenderedPageBreak/>
        <w:t>Realistic upper thresholds were applied: 90 years for age, 60 years for employment length, and $150,000 for annual income. The income threshold was validated using the IQR method, which suggested a cutoff of approximately $140,000 — consistent with the chosen value. After applying the correct filters, 1,038 rows (3.52% of the dataset) were removed. The default rate shifted marginally from 21.94% to 22.37%, confirming that outlier removal introduced no material bias. The final cleaned dataset contains 28,427 records.</w:t>
      </w:r>
    </w:p>
    <w:p w:rsidR="003F08F4" w:rsidRDefault="003F08F4" w:rsidP="003F08F4">
      <w:pPr>
        <w:pStyle w:val="font-claude-response-body"/>
      </w:pPr>
      <w:r>
        <w:rPr>
          <w:rStyle w:val="Strong"/>
        </w:rPr>
        <w:t>Key Finding: Prior Default History as a Risk Indicator</w:t>
      </w:r>
    </w:p>
    <w:p w:rsidR="00066FAD" w:rsidRDefault="00AE1051">
      <w:r>
        <w:t>A cross-tabulation of historical default status against current loan outcomes reveals a striking pattern. Borrowers with no prior default on record defaulted at a rate of 18.9%, while those with a prior default on file defaulted at 38.7% — more than double the rate. This finding strongly supports the inclusion of credit history as a core feature in any risk assessment model, and suggests that lending institutions should apply heightened scrutiny to applicants with a recorded history of default, regardless of their current financial profile.</w:t>
      </w:r>
    </w:p>
    <w:p w:rsidR="003F08F4" w:rsidRDefault="003F08F4"/>
    <w:p w:rsidR="00AE1051" w:rsidRDefault="00AE1051" w:rsidP="00AE1051">
      <w:pPr>
        <w:pStyle w:val="font-claude-response-body"/>
      </w:pPr>
      <w:r>
        <w:rPr>
          <w:rStyle w:val="Strong"/>
        </w:rPr>
        <w:t>Exploratory Data Analysis</w:t>
      </w:r>
    </w:p>
    <w:p w:rsidR="00AE1051" w:rsidRDefault="00AE1051" w:rsidP="00AE1051">
      <w:pPr>
        <w:pStyle w:val="font-claude-response-body"/>
      </w:pPr>
      <w:r>
        <w:t>To understand the patterns driving loan default, five key relationships were examined across the cleaned dataset.</w:t>
      </w:r>
    </w:p>
    <w:p w:rsidR="003F08F4" w:rsidRDefault="003F08F4">
      <w:r w:rsidRPr="003F08F4">
        <w:drawing>
          <wp:inline distT="0" distB="0" distL="0" distR="0" wp14:anchorId="77B7F58F" wp14:editId="2D28C125">
            <wp:extent cx="5705475" cy="33932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8387" cy="34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8F4" w:rsidRDefault="00AE1051">
      <w:r>
        <w:rPr>
          <w:rStyle w:val="Strong"/>
        </w:rPr>
        <w:t>Default Rate by Loan Intent</w:t>
      </w:r>
      <w:r>
        <w:t xml:space="preserve"> Debt consolidation loans carry the highest default rate at 29%, while venture loans are the lowest at 15%. This pattern is intuitive — borrowers consolidating debt are likely already financially stretched, whereas those taking venture loans may have more deliberate financial </w:t>
      </w:r>
      <w:r>
        <w:lastRenderedPageBreak/>
        <w:t>planning behind their decision. Banks should apply stricter assessment criteria to debt consolidation applicants as a baseline practice.</w:t>
      </w:r>
    </w:p>
    <w:p w:rsidR="003F08F4" w:rsidRDefault="003F08F4" w:rsidP="00AE1051">
      <w:r w:rsidRPr="003F08F4">
        <w:drawing>
          <wp:inline distT="0" distB="0" distL="0" distR="0" wp14:anchorId="0B525366" wp14:editId="6A018331">
            <wp:extent cx="5943600" cy="44342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1051" w:rsidRPr="00AE1051">
        <w:rPr>
          <w:rStyle w:val="font-claude-response-body"/>
          <w:rFonts w:ascii="Georgia" w:hAnsi="Georgia"/>
          <w:color w:val="FFFFFF"/>
          <w:shd w:val="clear" w:color="auto" w:fill="1F1F1E"/>
        </w:rPr>
        <w:t xml:space="preserve"> </w:t>
      </w:r>
      <w:r w:rsidR="00AE1051">
        <w:rPr>
          <w:rStyle w:val="Strong"/>
        </w:rPr>
        <w:t>Default Rate by Loan Grade</w:t>
      </w:r>
      <w:r w:rsidR="00AE1051">
        <w:t xml:space="preserve"> Default rates increase sharply with declining loan grade. Grade </w:t>
      </w:r>
      <w:proofErr w:type="gramStart"/>
      <w:r w:rsidR="00AE1051">
        <w:t>A</w:t>
      </w:r>
      <w:proofErr w:type="gramEnd"/>
      <w:r w:rsidR="00AE1051">
        <w:t xml:space="preserve"> borrowers default at approximately 10%, while Grade G borrowers default at nearly 100%. A clear risk threshold emerges at Grade D, where default rates exceed 60%. Banks should apply significantly stricter approval criteria for Grade D and below, and consider these applications high risk by default.</w:t>
      </w:r>
    </w:p>
    <w:p w:rsidR="003F08F4" w:rsidRDefault="003F08F4">
      <w:r w:rsidRPr="003F08F4">
        <w:lastRenderedPageBreak/>
        <w:drawing>
          <wp:inline distT="0" distB="0" distL="0" distR="0" wp14:anchorId="3041BD1C" wp14:editId="3FCC7140">
            <wp:extent cx="5762625" cy="42195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8F4" w:rsidRDefault="003F08F4"/>
    <w:p w:rsidR="003F08F4" w:rsidRDefault="00AE1051">
      <w:r>
        <w:rPr>
          <w:rStyle w:val="Strong"/>
        </w:rPr>
        <w:t>Loan Amount by Default Status</w:t>
      </w:r>
      <w:r>
        <w:t xml:space="preserve"> The distribution of loan amounts is nearly identical between defaulters and non-defaulters, with medians around $8,000–$10,000 for both groups. This suggests that loan amount alone is not a reliable predictor of default risk and should not be used in isolation when making lending decisions.</w:t>
      </w:r>
    </w:p>
    <w:p w:rsidR="003F08F4" w:rsidRDefault="003F08F4">
      <w:r w:rsidRPr="003F08F4">
        <w:lastRenderedPageBreak/>
        <w:drawing>
          <wp:inline distT="0" distB="0" distL="0" distR="0" wp14:anchorId="1D3B80C8" wp14:editId="48F965FE">
            <wp:extent cx="5514975" cy="42195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8F4" w:rsidRDefault="003F08F4"/>
    <w:p w:rsidR="00AE1051" w:rsidRDefault="00AE1051" w:rsidP="003F08F4">
      <w:r>
        <w:rPr>
          <w:rStyle w:val="Strong"/>
        </w:rPr>
        <w:t>Age by Default Status</w:t>
      </w:r>
      <w:r>
        <w:t xml:space="preserve"> The age distribution shows minimal difference between defaulters and non-defaulters, with both groups </w:t>
      </w:r>
      <w:proofErr w:type="spellStart"/>
      <w:r>
        <w:t>centred</w:t>
      </w:r>
      <w:proofErr w:type="spellEnd"/>
      <w:r>
        <w:t xml:space="preserve"> </w:t>
      </w:r>
      <w:proofErr w:type="gramStart"/>
      <w:r>
        <w:t>around</w:t>
      </w:r>
      <w:proofErr w:type="gramEnd"/>
      <w:r>
        <w:t xml:space="preserve"> a median of approximately 25–26 years. Age does not appear to be a strong standalone predictor in this dataset, though it may contribute value in combination with other features during modelling.</w:t>
      </w:r>
    </w:p>
    <w:p w:rsidR="00AE1051" w:rsidRDefault="00AE1051" w:rsidP="003F08F4">
      <w:r w:rsidRPr="00AE1051">
        <w:lastRenderedPageBreak/>
        <w:drawing>
          <wp:inline distT="0" distB="0" distL="0" distR="0" wp14:anchorId="34383893" wp14:editId="2D985C11">
            <wp:extent cx="5848350" cy="42195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8F4" w:rsidRDefault="00AE1051" w:rsidP="003F08F4">
      <w:r>
        <w:rPr>
          <w:rStyle w:val="Strong"/>
        </w:rPr>
        <w:t>Income by Default Status</w:t>
      </w:r>
      <w:r>
        <w:t xml:space="preserve"> </w:t>
      </w:r>
      <w:proofErr w:type="gramStart"/>
      <w:r>
        <w:t>A</w:t>
      </w:r>
      <w:proofErr w:type="gramEnd"/>
      <w:r>
        <w:t xml:space="preserve"> clear income gap exists between the two groups. Non-defaulters have a median income of approximately $60,000, while defaulters sit closer to $40,000. Lower income is associated with higher default risk, suggesting that income should be weighted heavily alongside other factors — particularly loan grade and prior default history — when assessing borderline applications.</w:t>
      </w:r>
      <w:bookmarkStart w:id="0" w:name="_GoBack"/>
      <w:bookmarkEnd w:id="0"/>
    </w:p>
    <w:sectPr w:rsidR="003F0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8F4"/>
    <w:rsid w:val="00066FAD"/>
    <w:rsid w:val="003F08F4"/>
    <w:rsid w:val="00AE1051"/>
    <w:rsid w:val="00D7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1E772C-F216-4097-AE7D-9FAE4986A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3F0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8F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F08F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F08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3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kaggle.com/datasets/laotse/credit-risk-datase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833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2026-06-03T12:39:00Z</dcterms:created>
  <dcterms:modified xsi:type="dcterms:W3CDTF">2026-06-03T13:16:00Z</dcterms:modified>
</cp:coreProperties>
</file>