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F4761" w:themeColor="accent1" w:themeShade="BF"/>
  <w:body>
    <w:p w14:paraId="6CCD4691" w14:textId="77777777" w:rsidR="00911F4F" w:rsidRPr="00911F4F" w:rsidRDefault="00911F4F" w:rsidP="00911F4F">
      <w:pPr>
        <w:pStyle w:val="Heading1"/>
        <w:rPr>
          <w:b/>
          <w:bCs/>
          <w:color w:val="CAEDFB" w:themeColor="accent4" w:themeTint="33"/>
          <w:sz w:val="44"/>
          <w:szCs w:val="44"/>
        </w:rPr>
      </w:pPr>
      <w:r w:rsidRPr="00911F4F">
        <w:rPr>
          <w:b/>
          <w:bCs/>
          <w:color w:val="CAEDFB" w:themeColor="accent4" w:themeTint="33"/>
          <w:sz w:val="44"/>
          <w:szCs w:val="44"/>
        </w:rPr>
        <w:t>Executive Summary: Finance Report Insights</w:t>
      </w:r>
    </w:p>
    <w:p w14:paraId="1A190F1B" w14:textId="77777777" w:rsidR="00911F4F" w:rsidRPr="00911F4F" w:rsidRDefault="00911F4F" w:rsidP="00911F4F">
      <w:pPr>
        <w:pStyle w:val="Heading2"/>
        <w:rPr>
          <w:b/>
          <w:bCs/>
          <w:color w:val="FFFF00"/>
        </w:rPr>
      </w:pPr>
      <w:r w:rsidRPr="00911F4F">
        <w:rPr>
          <w:b/>
          <w:bCs/>
          <w:color w:val="FFFF00"/>
        </w:rPr>
        <w:t>Overview</w:t>
      </w:r>
    </w:p>
    <w:p w14:paraId="4E653DF9" w14:textId="77777777" w:rsidR="00911F4F" w:rsidRPr="00911F4F" w:rsidRDefault="00911F4F" w:rsidP="00911F4F">
      <w:r w:rsidRPr="00911F4F">
        <w:t>This dashboard presents a financial performance summary using key charts and maps to visualize profit and sales across time, geography, products, and segments. The analysis draws upon the dataset containing records by date, product, market segment, and country.</w:t>
      </w:r>
    </w:p>
    <w:p w14:paraId="1D075805" w14:textId="77777777" w:rsidR="00911F4F" w:rsidRPr="00911F4F" w:rsidRDefault="00911F4F" w:rsidP="00911F4F">
      <w:pPr>
        <w:pStyle w:val="Heading2"/>
        <w:rPr>
          <w:b/>
          <w:bCs/>
          <w:color w:val="FFFF00"/>
        </w:rPr>
      </w:pPr>
      <w:r w:rsidRPr="00911F4F">
        <w:rPr>
          <w:b/>
          <w:bCs/>
          <w:color w:val="FFFF00"/>
        </w:rPr>
        <w:t>Key Trends &amp; Insights</w:t>
      </w:r>
    </w:p>
    <w:p w14:paraId="3DC87422" w14:textId="77777777" w:rsidR="00911F4F" w:rsidRPr="00911F4F" w:rsidRDefault="00911F4F" w:rsidP="00911F4F">
      <w:r w:rsidRPr="00911F4F">
        <w:t>1. Profit Trends Over Time</w:t>
      </w:r>
    </w:p>
    <w:p w14:paraId="4E1C1EA8" w14:textId="77777777" w:rsidR="00911F4F" w:rsidRPr="00911F4F" w:rsidRDefault="00911F4F" w:rsidP="00911F4F">
      <w:pPr>
        <w:numPr>
          <w:ilvl w:val="0"/>
          <w:numId w:val="3"/>
        </w:numPr>
      </w:pPr>
      <w:r w:rsidRPr="00911F4F">
        <w:rPr>
          <w:b/>
          <w:bCs/>
        </w:rPr>
        <w:t>Monthly Profit Fluctuations</w:t>
      </w:r>
      <w:r w:rsidRPr="00911F4F">
        <w:t>: The "Profit by Month and Year" line chart indicates pronounced seasonality, with sharp rises and falls across months. The highest profits are recorded in December and June, reaching peaks around 2.0M.</w:t>
      </w:r>
    </w:p>
    <w:p w14:paraId="27D0F8DC" w14:textId="77777777" w:rsidR="00911F4F" w:rsidRPr="00911F4F" w:rsidRDefault="00911F4F" w:rsidP="00911F4F">
      <w:pPr>
        <w:numPr>
          <w:ilvl w:val="0"/>
          <w:numId w:val="3"/>
        </w:numPr>
      </w:pPr>
      <w:r w:rsidRPr="00911F4F">
        <w:rPr>
          <w:b/>
          <w:bCs/>
        </w:rPr>
        <w:t>Consistent Growth</w:t>
      </w:r>
      <w:r w:rsidRPr="00911F4F">
        <w:t>: Overall, despite fluctuations, there is a general upward trajectory in profit, especially toward the end of each year.</w:t>
      </w:r>
    </w:p>
    <w:p w14:paraId="16E7E3FF" w14:textId="77777777" w:rsidR="00911F4F" w:rsidRPr="00911F4F" w:rsidRDefault="00911F4F" w:rsidP="00911F4F">
      <w:r w:rsidRPr="00911F4F">
        <w:t>2. Profit Distribution by Geography</w:t>
      </w:r>
    </w:p>
    <w:p w14:paraId="59225978" w14:textId="77777777" w:rsidR="00911F4F" w:rsidRPr="00911F4F" w:rsidRDefault="00911F4F" w:rsidP="00911F4F">
      <w:pPr>
        <w:numPr>
          <w:ilvl w:val="0"/>
          <w:numId w:val="4"/>
        </w:numPr>
      </w:pPr>
      <w:r w:rsidRPr="00911F4F">
        <w:rPr>
          <w:b/>
          <w:bCs/>
        </w:rPr>
        <w:t>Top Countries for Profit</w:t>
      </w:r>
      <w:r w:rsidRPr="00911F4F">
        <w:t>:</w:t>
      </w:r>
    </w:p>
    <w:p w14:paraId="15CF3467" w14:textId="77777777" w:rsidR="00911F4F" w:rsidRPr="00911F4F" w:rsidRDefault="00911F4F" w:rsidP="00911F4F">
      <w:pPr>
        <w:numPr>
          <w:ilvl w:val="1"/>
          <w:numId w:val="4"/>
        </w:numPr>
      </w:pPr>
      <w:r w:rsidRPr="00911F4F">
        <w:rPr>
          <w:b/>
          <w:bCs/>
        </w:rPr>
        <w:t>United States of America</w:t>
      </w:r>
      <w:r w:rsidRPr="00911F4F">
        <w:t>, </w:t>
      </w:r>
      <w:r w:rsidRPr="00911F4F">
        <w:rPr>
          <w:b/>
          <w:bCs/>
        </w:rPr>
        <w:t>Canada</w:t>
      </w:r>
      <w:r w:rsidRPr="00911F4F">
        <w:t>, </w:t>
      </w:r>
      <w:r w:rsidRPr="00911F4F">
        <w:rPr>
          <w:b/>
          <w:bCs/>
        </w:rPr>
        <w:t>Mexico</w:t>
      </w:r>
      <w:r w:rsidRPr="00911F4F">
        <w:t>, </w:t>
      </w:r>
      <w:r w:rsidRPr="00911F4F">
        <w:rPr>
          <w:b/>
          <w:bCs/>
        </w:rPr>
        <w:t>France</w:t>
      </w:r>
      <w:r w:rsidRPr="00911F4F">
        <w:t>, and </w:t>
      </w:r>
      <w:r w:rsidRPr="00911F4F">
        <w:rPr>
          <w:b/>
          <w:bCs/>
        </w:rPr>
        <w:t>Germany</w:t>
      </w:r>
      <w:r w:rsidRPr="00911F4F">
        <w:t> are the leading contributors to total profit.</w:t>
      </w:r>
    </w:p>
    <w:p w14:paraId="491A04CC" w14:textId="77777777" w:rsidR="00911F4F" w:rsidRPr="00911F4F" w:rsidRDefault="00911F4F" w:rsidP="00911F4F">
      <w:pPr>
        <w:numPr>
          <w:ilvl w:val="1"/>
          <w:numId w:val="4"/>
        </w:numPr>
      </w:pPr>
      <w:r w:rsidRPr="00911F4F">
        <w:t>The "Sum of Profit by Country" map visualizes this with clearly larger data points over these countries, indicating significant revenue concentration in North America and Western Europe.</w:t>
      </w:r>
    </w:p>
    <w:p w14:paraId="0636D47D" w14:textId="77777777" w:rsidR="00911F4F" w:rsidRPr="00911F4F" w:rsidRDefault="00911F4F" w:rsidP="00911F4F">
      <w:r w:rsidRPr="00911F4F">
        <w:t>3. Profit by Date</w:t>
      </w:r>
    </w:p>
    <w:p w14:paraId="008272BE" w14:textId="77777777" w:rsidR="00911F4F" w:rsidRPr="00911F4F" w:rsidRDefault="00911F4F" w:rsidP="00911F4F">
      <w:pPr>
        <w:numPr>
          <w:ilvl w:val="0"/>
          <w:numId w:val="5"/>
        </w:numPr>
      </w:pPr>
      <w:r w:rsidRPr="00911F4F">
        <w:rPr>
          <w:b/>
          <w:bCs/>
        </w:rPr>
        <w:t>Periodic Spikes</w:t>
      </w:r>
      <w:r w:rsidRPr="00911F4F">
        <w:t>: The "Sum of Profit by Date" bar chart shows that significant profit spikes align with the end of quarters and the year-end, suggesting strong closing period performance.</w:t>
      </w:r>
    </w:p>
    <w:p w14:paraId="27788066" w14:textId="77777777" w:rsidR="00911F4F" w:rsidRPr="00911F4F" w:rsidRDefault="00911F4F" w:rsidP="00911F4F">
      <w:pPr>
        <w:numPr>
          <w:ilvl w:val="0"/>
          <w:numId w:val="5"/>
        </w:numPr>
      </w:pPr>
      <w:r w:rsidRPr="00911F4F">
        <w:rPr>
          <w:b/>
          <w:bCs/>
        </w:rPr>
        <w:t>Low-activity Periods</w:t>
      </w:r>
      <w:r w:rsidRPr="00911F4F">
        <w:t>: Several months, notably mid-year months outside June, show lower profit, which could be attributed to seasonal sales cycles or market-specific events.</w:t>
      </w:r>
    </w:p>
    <w:p w14:paraId="54E28453" w14:textId="77777777" w:rsidR="00911F4F" w:rsidRPr="00911F4F" w:rsidRDefault="00911F4F" w:rsidP="00911F4F">
      <w:r w:rsidRPr="00911F4F">
        <w:t>4. Sales by Product and Segment</w:t>
      </w:r>
    </w:p>
    <w:p w14:paraId="10FB3D22" w14:textId="77777777" w:rsidR="00911F4F" w:rsidRPr="00911F4F" w:rsidRDefault="00911F4F" w:rsidP="00911F4F">
      <w:pPr>
        <w:numPr>
          <w:ilvl w:val="0"/>
          <w:numId w:val="6"/>
        </w:numPr>
      </w:pPr>
      <w:r w:rsidRPr="00911F4F">
        <w:rPr>
          <w:b/>
          <w:bCs/>
        </w:rPr>
        <w:t>Product Segmentation</w:t>
      </w:r>
      <w:r w:rsidRPr="00911F4F">
        <w:t>:</w:t>
      </w:r>
    </w:p>
    <w:p w14:paraId="1164FC66" w14:textId="77777777" w:rsidR="00911F4F" w:rsidRPr="00911F4F" w:rsidRDefault="00911F4F" w:rsidP="00911F4F">
      <w:pPr>
        <w:numPr>
          <w:ilvl w:val="1"/>
          <w:numId w:val="6"/>
        </w:numPr>
      </w:pPr>
      <w:proofErr w:type="spellStart"/>
      <w:r w:rsidRPr="00911F4F">
        <w:rPr>
          <w:b/>
          <w:bCs/>
        </w:rPr>
        <w:t>Paseo</w:t>
      </w:r>
      <w:proofErr w:type="spellEnd"/>
      <w:r w:rsidRPr="00911F4F">
        <w:t> and </w:t>
      </w:r>
      <w:r w:rsidRPr="00911F4F">
        <w:rPr>
          <w:b/>
          <w:bCs/>
        </w:rPr>
        <w:t>VTT</w:t>
      </w:r>
      <w:r w:rsidRPr="00911F4F">
        <w:t> are the top-performing products, driving the highest sales figures across segments.</w:t>
      </w:r>
    </w:p>
    <w:p w14:paraId="6A338DA0" w14:textId="77777777" w:rsidR="00911F4F" w:rsidRPr="00911F4F" w:rsidRDefault="00911F4F" w:rsidP="00911F4F">
      <w:pPr>
        <w:numPr>
          <w:ilvl w:val="1"/>
          <w:numId w:val="6"/>
        </w:numPr>
      </w:pPr>
      <w:r w:rsidRPr="00911F4F">
        <w:rPr>
          <w:b/>
          <w:bCs/>
        </w:rPr>
        <w:t>Amarilla</w:t>
      </w:r>
      <w:r w:rsidRPr="00911F4F">
        <w:t>, </w:t>
      </w:r>
      <w:r w:rsidRPr="00911F4F">
        <w:rPr>
          <w:b/>
          <w:bCs/>
        </w:rPr>
        <w:t>Velo</w:t>
      </w:r>
      <w:r w:rsidRPr="00911F4F">
        <w:t>, and </w:t>
      </w:r>
      <w:r w:rsidRPr="00911F4F">
        <w:rPr>
          <w:b/>
          <w:bCs/>
        </w:rPr>
        <w:t>Carretera</w:t>
      </w:r>
      <w:r w:rsidRPr="00911F4F">
        <w:t> also demonstrate substantial but lower levels of sales.</w:t>
      </w:r>
    </w:p>
    <w:p w14:paraId="56CD1248" w14:textId="77777777" w:rsidR="00911F4F" w:rsidRPr="00911F4F" w:rsidRDefault="00911F4F" w:rsidP="00911F4F">
      <w:pPr>
        <w:numPr>
          <w:ilvl w:val="0"/>
          <w:numId w:val="6"/>
        </w:numPr>
      </w:pPr>
      <w:r w:rsidRPr="00911F4F">
        <w:rPr>
          <w:b/>
          <w:bCs/>
        </w:rPr>
        <w:t>Segment Insights</w:t>
      </w:r>
      <w:r w:rsidRPr="00911F4F">
        <w:t>:</w:t>
      </w:r>
    </w:p>
    <w:p w14:paraId="14434839" w14:textId="77777777" w:rsidR="00911F4F" w:rsidRPr="00911F4F" w:rsidRDefault="00911F4F" w:rsidP="00911F4F">
      <w:pPr>
        <w:numPr>
          <w:ilvl w:val="1"/>
          <w:numId w:val="6"/>
        </w:numPr>
      </w:pPr>
      <w:r w:rsidRPr="00911F4F">
        <w:rPr>
          <w:b/>
          <w:bCs/>
        </w:rPr>
        <w:lastRenderedPageBreak/>
        <w:t>Midmarket</w:t>
      </w:r>
      <w:r w:rsidRPr="00911F4F">
        <w:t> and </w:t>
      </w:r>
      <w:r w:rsidRPr="00911F4F">
        <w:rPr>
          <w:b/>
          <w:bCs/>
        </w:rPr>
        <w:t>Small Business</w:t>
      </w:r>
      <w:r w:rsidRPr="00911F4F">
        <w:t> segments frequently outperform others in terms of total sales, suggesting effective targeting or larger demand within these groups.</w:t>
      </w:r>
    </w:p>
    <w:p w14:paraId="7436740B" w14:textId="77777777" w:rsidR="00911F4F" w:rsidRPr="00911F4F" w:rsidRDefault="00911F4F" w:rsidP="00911F4F">
      <w:pPr>
        <w:numPr>
          <w:ilvl w:val="1"/>
          <w:numId w:val="6"/>
        </w:numPr>
      </w:pPr>
      <w:r w:rsidRPr="00911F4F">
        <w:rPr>
          <w:b/>
          <w:bCs/>
        </w:rPr>
        <w:t>Enterprise</w:t>
      </w:r>
      <w:r w:rsidRPr="00911F4F">
        <w:t> and </w:t>
      </w:r>
      <w:r w:rsidRPr="00911F4F">
        <w:rPr>
          <w:b/>
          <w:bCs/>
        </w:rPr>
        <w:t>Government</w:t>
      </w:r>
      <w:r w:rsidRPr="00911F4F">
        <w:t> segments, while significant for certain products (e.g., Amarilla and VTT), show more variability in performance.</w:t>
      </w:r>
    </w:p>
    <w:p w14:paraId="680EB2D2" w14:textId="77777777" w:rsidR="00911F4F" w:rsidRPr="00911F4F" w:rsidRDefault="00911F4F" w:rsidP="00911F4F">
      <w:pPr>
        <w:pStyle w:val="Heading2"/>
        <w:rPr>
          <w:b/>
          <w:bCs/>
          <w:color w:val="FFFF00"/>
        </w:rPr>
      </w:pPr>
      <w:r w:rsidRPr="00911F4F">
        <w:rPr>
          <w:b/>
          <w:bCs/>
          <w:color w:val="FFFF00"/>
        </w:rPr>
        <w:t>Detailed Observations</w:t>
      </w:r>
    </w:p>
    <w:tbl>
      <w:tblPr>
        <w:tblW w:w="5000" w:type="pct"/>
        <w:tblCellMar>
          <w:top w:w="15" w:type="dxa"/>
          <w:left w:w="15" w:type="dxa"/>
          <w:bottom w:w="15" w:type="dxa"/>
          <w:right w:w="15" w:type="dxa"/>
        </w:tblCellMar>
        <w:tblLook w:val="04A0" w:firstRow="1" w:lastRow="0" w:firstColumn="1" w:lastColumn="0" w:noHBand="0" w:noVBand="1"/>
      </w:tblPr>
      <w:tblGrid>
        <w:gridCol w:w="1903"/>
        <w:gridCol w:w="7123"/>
      </w:tblGrid>
      <w:tr w:rsidR="00911F4F" w:rsidRPr="00911F4F" w14:paraId="61BCB139" w14:textId="77777777" w:rsidTr="00911F4F">
        <w:trPr>
          <w:tblHeader/>
        </w:trPr>
        <w:tc>
          <w:tcPr>
            <w:tcW w:w="1022" w:type="pct"/>
            <w:tcMar>
              <w:top w:w="120" w:type="dxa"/>
              <w:left w:w="120" w:type="dxa"/>
              <w:bottom w:w="120" w:type="dxa"/>
              <w:right w:w="120" w:type="dxa"/>
            </w:tcMar>
            <w:hideMark/>
          </w:tcPr>
          <w:p w14:paraId="16EF00A0" w14:textId="77777777" w:rsidR="00911F4F" w:rsidRPr="00911F4F" w:rsidRDefault="00911F4F" w:rsidP="00911F4F">
            <w:pPr>
              <w:rPr>
                <w:b/>
                <w:bCs/>
              </w:rPr>
            </w:pPr>
            <w:r w:rsidRPr="00911F4F">
              <w:rPr>
                <w:b/>
                <w:bCs/>
              </w:rPr>
              <w:t>Dimension</w:t>
            </w:r>
          </w:p>
        </w:tc>
        <w:tc>
          <w:tcPr>
            <w:tcW w:w="3978" w:type="pct"/>
            <w:tcMar>
              <w:top w:w="120" w:type="dxa"/>
              <w:left w:w="120" w:type="dxa"/>
              <w:bottom w:w="120" w:type="dxa"/>
              <w:right w:w="120" w:type="dxa"/>
            </w:tcMar>
            <w:hideMark/>
          </w:tcPr>
          <w:p w14:paraId="69F7C7E6" w14:textId="1D3A4573" w:rsidR="00911F4F" w:rsidRPr="00911F4F" w:rsidRDefault="00911F4F" w:rsidP="00911F4F">
            <w:pPr>
              <w:rPr>
                <w:b/>
                <w:bCs/>
              </w:rPr>
            </w:pPr>
            <w:r>
              <w:rPr>
                <w:b/>
                <w:bCs/>
              </w:rPr>
              <w:t xml:space="preserve">                                                          </w:t>
            </w:r>
            <w:r w:rsidRPr="00911F4F">
              <w:rPr>
                <w:b/>
                <w:bCs/>
              </w:rPr>
              <w:t>Insight</w:t>
            </w:r>
          </w:p>
        </w:tc>
      </w:tr>
      <w:tr w:rsidR="00911F4F" w:rsidRPr="00911F4F" w14:paraId="512949F1" w14:textId="77777777" w:rsidTr="00911F4F">
        <w:tc>
          <w:tcPr>
            <w:tcW w:w="1022" w:type="pct"/>
            <w:tcMar>
              <w:top w:w="137" w:type="dxa"/>
              <w:left w:w="120" w:type="dxa"/>
              <w:bottom w:w="137" w:type="dxa"/>
              <w:right w:w="120" w:type="dxa"/>
            </w:tcMar>
            <w:vAlign w:val="bottom"/>
            <w:hideMark/>
          </w:tcPr>
          <w:p w14:paraId="1EE7BC6A" w14:textId="77777777" w:rsidR="00911F4F" w:rsidRPr="00911F4F" w:rsidRDefault="00911F4F" w:rsidP="00911F4F">
            <w:r w:rsidRPr="00911F4F">
              <w:t>Time</w:t>
            </w:r>
          </w:p>
        </w:tc>
        <w:tc>
          <w:tcPr>
            <w:tcW w:w="3978" w:type="pct"/>
            <w:tcMar>
              <w:top w:w="137" w:type="dxa"/>
              <w:left w:w="120" w:type="dxa"/>
              <w:bottom w:w="137" w:type="dxa"/>
              <w:right w:w="120" w:type="dxa"/>
            </w:tcMar>
            <w:vAlign w:val="bottom"/>
            <w:hideMark/>
          </w:tcPr>
          <w:p w14:paraId="3B33E6C8" w14:textId="77777777" w:rsidR="00911F4F" w:rsidRPr="00911F4F" w:rsidRDefault="00911F4F" w:rsidP="00911F4F">
            <w:r w:rsidRPr="00911F4F">
              <w:t>Highest profits in December and June; profit generally trending upward.</w:t>
            </w:r>
          </w:p>
        </w:tc>
      </w:tr>
      <w:tr w:rsidR="00911F4F" w:rsidRPr="00911F4F" w14:paraId="5B52090C" w14:textId="77777777" w:rsidTr="00911F4F">
        <w:tc>
          <w:tcPr>
            <w:tcW w:w="1022" w:type="pct"/>
            <w:tcMar>
              <w:top w:w="137" w:type="dxa"/>
              <w:left w:w="120" w:type="dxa"/>
              <w:bottom w:w="137" w:type="dxa"/>
              <w:right w:w="120" w:type="dxa"/>
            </w:tcMar>
            <w:vAlign w:val="bottom"/>
            <w:hideMark/>
          </w:tcPr>
          <w:p w14:paraId="380680BD" w14:textId="77777777" w:rsidR="00911F4F" w:rsidRPr="00911F4F" w:rsidRDefault="00911F4F" w:rsidP="00911F4F">
            <w:r w:rsidRPr="00911F4F">
              <w:t>Geography</w:t>
            </w:r>
          </w:p>
        </w:tc>
        <w:tc>
          <w:tcPr>
            <w:tcW w:w="3978" w:type="pct"/>
            <w:tcMar>
              <w:top w:w="137" w:type="dxa"/>
              <w:left w:w="120" w:type="dxa"/>
              <w:bottom w:w="137" w:type="dxa"/>
              <w:right w:w="120" w:type="dxa"/>
            </w:tcMar>
            <w:vAlign w:val="bottom"/>
            <w:hideMark/>
          </w:tcPr>
          <w:p w14:paraId="6C85927F" w14:textId="77777777" w:rsidR="00911F4F" w:rsidRPr="00911F4F" w:rsidRDefault="00911F4F" w:rsidP="00911F4F">
            <w:r w:rsidRPr="00911F4F">
              <w:t>USA, Canada, Mexico, France, and Germany dominate profit contributions.</w:t>
            </w:r>
          </w:p>
        </w:tc>
      </w:tr>
      <w:tr w:rsidR="00911F4F" w:rsidRPr="00911F4F" w14:paraId="44202032" w14:textId="77777777" w:rsidTr="00911F4F">
        <w:tc>
          <w:tcPr>
            <w:tcW w:w="1022" w:type="pct"/>
            <w:tcMar>
              <w:top w:w="137" w:type="dxa"/>
              <w:left w:w="120" w:type="dxa"/>
              <w:bottom w:w="137" w:type="dxa"/>
              <w:right w:w="120" w:type="dxa"/>
            </w:tcMar>
            <w:vAlign w:val="bottom"/>
            <w:hideMark/>
          </w:tcPr>
          <w:p w14:paraId="7531F563" w14:textId="77777777" w:rsidR="00911F4F" w:rsidRPr="00911F4F" w:rsidRDefault="00911F4F" w:rsidP="00911F4F">
            <w:r w:rsidRPr="00911F4F">
              <w:t>Product/Segment</w:t>
            </w:r>
          </w:p>
        </w:tc>
        <w:tc>
          <w:tcPr>
            <w:tcW w:w="3978" w:type="pct"/>
            <w:tcMar>
              <w:top w:w="137" w:type="dxa"/>
              <w:left w:w="120" w:type="dxa"/>
              <w:bottom w:w="137" w:type="dxa"/>
              <w:right w:w="120" w:type="dxa"/>
            </w:tcMar>
            <w:vAlign w:val="bottom"/>
            <w:hideMark/>
          </w:tcPr>
          <w:p w14:paraId="189FC39D" w14:textId="77777777" w:rsidR="00911F4F" w:rsidRPr="00911F4F" w:rsidRDefault="00911F4F" w:rsidP="00911F4F">
            <w:proofErr w:type="spellStart"/>
            <w:r w:rsidRPr="00911F4F">
              <w:t>Paseo</w:t>
            </w:r>
            <w:proofErr w:type="spellEnd"/>
            <w:r w:rsidRPr="00911F4F">
              <w:t xml:space="preserve"> &amp; VTT lead in sales; Midmarket &amp; Small Business segments excel.</w:t>
            </w:r>
          </w:p>
        </w:tc>
      </w:tr>
      <w:tr w:rsidR="00911F4F" w:rsidRPr="00911F4F" w14:paraId="51E252E6" w14:textId="77777777" w:rsidTr="00911F4F">
        <w:tc>
          <w:tcPr>
            <w:tcW w:w="1022" w:type="pct"/>
            <w:tcMar>
              <w:top w:w="137" w:type="dxa"/>
              <w:left w:w="120" w:type="dxa"/>
              <w:bottom w:w="137" w:type="dxa"/>
              <w:right w:w="120" w:type="dxa"/>
            </w:tcMar>
            <w:vAlign w:val="bottom"/>
            <w:hideMark/>
          </w:tcPr>
          <w:p w14:paraId="1F8006EB" w14:textId="77777777" w:rsidR="00911F4F" w:rsidRPr="00911F4F" w:rsidRDefault="00911F4F" w:rsidP="00911F4F">
            <w:r w:rsidRPr="00911F4F">
              <w:t>Sales Seasonality</w:t>
            </w:r>
          </w:p>
        </w:tc>
        <w:tc>
          <w:tcPr>
            <w:tcW w:w="3978" w:type="pct"/>
            <w:tcMar>
              <w:top w:w="137" w:type="dxa"/>
              <w:left w:w="120" w:type="dxa"/>
              <w:bottom w:w="137" w:type="dxa"/>
              <w:right w:w="120" w:type="dxa"/>
            </w:tcMar>
            <w:vAlign w:val="bottom"/>
            <w:hideMark/>
          </w:tcPr>
          <w:p w14:paraId="0D96164D" w14:textId="77777777" w:rsidR="00911F4F" w:rsidRPr="00911F4F" w:rsidRDefault="00911F4F" w:rsidP="00911F4F">
            <w:r w:rsidRPr="00911F4F">
              <w:t>Profits spike in year-end and quarter-end months, hinting at seasonal cycles.</w:t>
            </w:r>
          </w:p>
        </w:tc>
      </w:tr>
    </w:tbl>
    <w:p w14:paraId="5C9CA731" w14:textId="77777777" w:rsidR="00911F4F" w:rsidRDefault="00911F4F" w:rsidP="00911F4F"/>
    <w:p w14:paraId="6BFF23BA" w14:textId="77777777" w:rsidR="00911F4F" w:rsidRDefault="00911F4F" w:rsidP="00911F4F"/>
    <w:p w14:paraId="729333F8" w14:textId="00C6F705" w:rsidR="00911F4F" w:rsidRPr="00911F4F" w:rsidRDefault="00911F4F" w:rsidP="00911F4F">
      <w:pPr>
        <w:pStyle w:val="Heading2"/>
        <w:rPr>
          <w:b/>
          <w:bCs/>
          <w:color w:val="FFFF00"/>
        </w:rPr>
      </w:pPr>
      <w:r w:rsidRPr="00911F4F">
        <w:rPr>
          <w:b/>
          <w:bCs/>
          <w:color w:val="FFFF00"/>
        </w:rPr>
        <w:t>Recommendations</w:t>
      </w:r>
    </w:p>
    <w:p w14:paraId="143D98F3" w14:textId="77777777" w:rsidR="00911F4F" w:rsidRPr="00911F4F" w:rsidRDefault="00911F4F" w:rsidP="00911F4F">
      <w:pPr>
        <w:numPr>
          <w:ilvl w:val="0"/>
          <w:numId w:val="7"/>
        </w:numPr>
      </w:pPr>
      <w:r w:rsidRPr="00911F4F">
        <w:rPr>
          <w:b/>
          <w:bCs/>
        </w:rPr>
        <w:t>Prioritize High-performing Segments</w:t>
      </w:r>
      <w:r w:rsidRPr="00911F4F">
        <w:t>: Continue focusing on the Midmarket and Small Business sectors, optimizing marketing and sales strategies for these segments.</w:t>
      </w:r>
    </w:p>
    <w:p w14:paraId="1A214C77" w14:textId="77777777" w:rsidR="00911F4F" w:rsidRPr="00911F4F" w:rsidRDefault="00911F4F" w:rsidP="00911F4F">
      <w:pPr>
        <w:numPr>
          <w:ilvl w:val="0"/>
          <w:numId w:val="7"/>
        </w:numPr>
      </w:pPr>
      <w:r w:rsidRPr="00911F4F">
        <w:rPr>
          <w:b/>
          <w:bCs/>
        </w:rPr>
        <w:t>Capitalize on Product Winners</w:t>
      </w:r>
      <w:r w:rsidRPr="00911F4F">
        <w:t xml:space="preserve">: Increase investments in the </w:t>
      </w:r>
      <w:proofErr w:type="spellStart"/>
      <w:r w:rsidRPr="00911F4F">
        <w:t>Paseo</w:t>
      </w:r>
      <w:proofErr w:type="spellEnd"/>
      <w:r w:rsidRPr="00911F4F">
        <w:t xml:space="preserve"> and VTT product lines, maintaining momentum in their top-selling countries.</w:t>
      </w:r>
    </w:p>
    <w:p w14:paraId="0A7F2ED3" w14:textId="77777777" w:rsidR="00911F4F" w:rsidRPr="00911F4F" w:rsidRDefault="00911F4F" w:rsidP="00911F4F">
      <w:pPr>
        <w:numPr>
          <w:ilvl w:val="0"/>
          <w:numId w:val="7"/>
        </w:numPr>
      </w:pPr>
      <w:r w:rsidRPr="00911F4F">
        <w:rPr>
          <w:b/>
          <w:bCs/>
        </w:rPr>
        <w:t>Target End-Of-Period Peaks</w:t>
      </w:r>
      <w:r w:rsidRPr="00911F4F">
        <w:t>: Leverage the pattern of profit spikes at quarter and year-end with promotional campaigns to maximize revenue.</w:t>
      </w:r>
    </w:p>
    <w:p w14:paraId="4C3413F7" w14:textId="77777777" w:rsidR="00911F4F" w:rsidRPr="00911F4F" w:rsidRDefault="00911F4F" w:rsidP="00911F4F">
      <w:pPr>
        <w:pStyle w:val="Heading2"/>
        <w:rPr>
          <w:b/>
          <w:bCs/>
          <w:color w:val="FFFF00"/>
        </w:rPr>
      </w:pPr>
      <w:r w:rsidRPr="00911F4F">
        <w:rPr>
          <w:b/>
          <w:bCs/>
          <w:color w:val="FFFF00"/>
        </w:rPr>
        <w:t>Conclusion</w:t>
      </w:r>
    </w:p>
    <w:p w14:paraId="04EED73B" w14:textId="1988F761" w:rsidR="00911F4F" w:rsidRPr="00911F4F" w:rsidRDefault="00911F4F" w:rsidP="00911F4F">
      <w:r w:rsidRPr="00911F4F">
        <w:t>This analysis underscores the importance of seasonality, targeted segmentation, and product focus. By continuing to invest in high-potential products and markets and leveraging end-of-period sales momentum, the organization can drive sustained profit growth.</w:t>
      </w:r>
      <w:r w:rsidR="00F11ED0">
        <w:t xml:space="preserve"> </w:t>
      </w:r>
    </w:p>
    <w:p w14:paraId="3100C1D7" w14:textId="59187172" w:rsidR="00CA4761" w:rsidRDefault="00CA4761" w:rsidP="00F05820"/>
    <w:sectPr w:rsidR="00CA4761" w:rsidSect="00911F4F">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C29E3"/>
    <w:multiLevelType w:val="multilevel"/>
    <w:tmpl w:val="5DAE6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74BF5"/>
    <w:multiLevelType w:val="multilevel"/>
    <w:tmpl w:val="761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67710"/>
    <w:multiLevelType w:val="multilevel"/>
    <w:tmpl w:val="E50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53CB1"/>
    <w:multiLevelType w:val="multilevel"/>
    <w:tmpl w:val="1194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E038F"/>
    <w:multiLevelType w:val="multilevel"/>
    <w:tmpl w:val="7F8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B5A0C"/>
    <w:multiLevelType w:val="multilevel"/>
    <w:tmpl w:val="9F062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A5C4A"/>
    <w:multiLevelType w:val="multilevel"/>
    <w:tmpl w:val="A08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40773">
    <w:abstractNumId w:val="3"/>
  </w:num>
  <w:num w:numId="2" w16cid:durableId="1476946565">
    <w:abstractNumId w:val="6"/>
  </w:num>
  <w:num w:numId="3" w16cid:durableId="34236945">
    <w:abstractNumId w:val="4"/>
  </w:num>
  <w:num w:numId="4" w16cid:durableId="292491721">
    <w:abstractNumId w:val="5"/>
  </w:num>
  <w:num w:numId="5" w16cid:durableId="1193688274">
    <w:abstractNumId w:val="1"/>
  </w:num>
  <w:num w:numId="6" w16cid:durableId="1209880863">
    <w:abstractNumId w:val="0"/>
  </w:num>
  <w:num w:numId="7" w16cid:durableId="774328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20"/>
    <w:rsid w:val="000E53DD"/>
    <w:rsid w:val="00147E6B"/>
    <w:rsid w:val="00344E4A"/>
    <w:rsid w:val="003F6083"/>
    <w:rsid w:val="00597AC2"/>
    <w:rsid w:val="007A589B"/>
    <w:rsid w:val="00911F4F"/>
    <w:rsid w:val="00BA7BD1"/>
    <w:rsid w:val="00CA4761"/>
    <w:rsid w:val="00CD4AC7"/>
    <w:rsid w:val="00F05820"/>
    <w:rsid w:val="00F11E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5B86"/>
  <w15:chartTrackingRefBased/>
  <w15:docId w15:val="{A963BD44-0759-40D2-BD13-936C4907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C2"/>
  </w:style>
  <w:style w:type="paragraph" w:styleId="Heading1">
    <w:name w:val="heading 1"/>
    <w:basedOn w:val="Normal"/>
    <w:next w:val="Normal"/>
    <w:link w:val="Heading1Char"/>
    <w:uiPriority w:val="9"/>
    <w:qFormat/>
    <w:rsid w:val="00F05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5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5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820"/>
    <w:rPr>
      <w:rFonts w:eastAsiaTheme="majorEastAsia" w:cstheme="majorBidi"/>
      <w:color w:val="272727" w:themeColor="text1" w:themeTint="D8"/>
    </w:rPr>
  </w:style>
  <w:style w:type="paragraph" w:styleId="Title">
    <w:name w:val="Title"/>
    <w:basedOn w:val="Normal"/>
    <w:next w:val="Normal"/>
    <w:link w:val="TitleChar"/>
    <w:uiPriority w:val="10"/>
    <w:qFormat/>
    <w:rsid w:val="00F05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820"/>
    <w:pPr>
      <w:spacing w:before="160"/>
      <w:jc w:val="center"/>
    </w:pPr>
    <w:rPr>
      <w:i/>
      <w:iCs/>
      <w:color w:val="404040" w:themeColor="text1" w:themeTint="BF"/>
    </w:rPr>
  </w:style>
  <w:style w:type="character" w:customStyle="1" w:styleId="QuoteChar">
    <w:name w:val="Quote Char"/>
    <w:basedOn w:val="DefaultParagraphFont"/>
    <w:link w:val="Quote"/>
    <w:uiPriority w:val="29"/>
    <w:rsid w:val="00F05820"/>
    <w:rPr>
      <w:i/>
      <w:iCs/>
      <w:color w:val="404040" w:themeColor="text1" w:themeTint="BF"/>
    </w:rPr>
  </w:style>
  <w:style w:type="paragraph" w:styleId="ListParagraph">
    <w:name w:val="List Paragraph"/>
    <w:basedOn w:val="Normal"/>
    <w:uiPriority w:val="34"/>
    <w:qFormat/>
    <w:rsid w:val="00F05820"/>
    <w:pPr>
      <w:ind w:left="720"/>
      <w:contextualSpacing/>
    </w:pPr>
  </w:style>
  <w:style w:type="character" w:styleId="IntenseEmphasis">
    <w:name w:val="Intense Emphasis"/>
    <w:basedOn w:val="DefaultParagraphFont"/>
    <w:uiPriority w:val="21"/>
    <w:qFormat/>
    <w:rsid w:val="00F05820"/>
    <w:rPr>
      <w:i/>
      <w:iCs/>
      <w:color w:val="0F4761" w:themeColor="accent1" w:themeShade="BF"/>
    </w:rPr>
  </w:style>
  <w:style w:type="paragraph" w:styleId="IntenseQuote">
    <w:name w:val="Intense Quote"/>
    <w:basedOn w:val="Normal"/>
    <w:next w:val="Normal"/>
    <w:link w:val="IntenseQuoteChar"/>
    <w:uiPriority w:val="30"/>
    <w:qFormat/>
    <w:rsid w:val="00F05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820"/>
    <w:rPr>
      <w:i/>
      <w:iCs/>
      <w:color w:val="0F4761" w:themeColor="accent1" w:themeShade="BF"/>
    </w:rPr>
  </w:style>
  <w:style w:type="character" w:styleId="IntenseReference">
    <w:name w:val="Intense Reference"/>
    <w:basedOn w:val="DefaultParagraphFont"/>
    <w:uiPriority w:val="32"/>
    <w:qFormat/>
    <w:rsid w:val="00F05820"/>
    <w:rPr>
      <w:b/>
      <w:bCs/>
      <w:smallCaps/>
      <w:color w:val="0F4761" w:themeColor="accent1" w:themeShade="BF"/>
      <w:spacing w:val="5"/>
    </w:rPr>
  </w:style>
  <w:style w:type="character" w:styleId="Hyperlink">
    <w:name w:val="Hyperlink"/>
    <w:basedOn w:val="DefaultParagraphFont"/>
    <w:uiPriority w:val="99"/>
    <w:unhideWhenUsed/>
    <w:rsid w:val="00F05820"/>
    <w:rPr>
      <w:color w:val="467886" w:themeColor="hyperlink"/>
      <w:u w:val="single"/>
    </w:rPr>
  </w:style>
  <w:style w:type="character" w:styleId="UnresolvedMention">
    <w:name w:val="Unresolved Mention"/>
    <w:basedOn w:val="DefaultParagraphFont"/>
    <w:uiPriority w:val="99"/>
    <w:semiHidden/>
    <w:unhideWhenUsed/>
    <w:rsid w:val="00F0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5179">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865951323">
      <w:bodyDiv w:val="1"/>
      <w:marLeft w:val="0"/>
      <w:marRight w:val="0"/>
      <w:marTop w:val="0"/>
      <w:marBottom w:val="0"/>
      <w:divBdr>
        <w:top w:val="none" w:sz="0" w:space="0" w:color="auto"/>
        <w:left w:val="none" w:sz="0" w:space="0" w:color="auto"/>
        <w:bottom w:val="none" w:sz="0" w:space="0" w:color="auto"/>
        <w:right w:val="none" w:sz="0" w:space="0" w:color="auto"/>
      </w:divBdr>
    </w:div>
    <w:div w:id="1278487562">
      <w:bodyDiv w:val="1"/>
      <w:marLeft w:val="0"/>
      <w:marRight w:val="0"/>
      <w:marTop w:val="0"/>
      <w:marBottom w:val="0"/>
      <w:divBdr>
        <w:top w:val="none" w:sz="0" w:space="0" w:color="auto"/>
        <w:left w:val="none" w:sz="0" w:space="0" w:color="auto"/>
        <w:bottom w:val="none" w:sz="0" w:space="0" w:color="auto"/>
        <w:right w:val="none" w:sz="0" w:space="0" w:color="auto"/>
      </w:divBdr>
      <w:divsChild>
        <w:div w:id="1821264319">
          <w:marLeft w:val="0"/>
          <w:marRight w:val="0"/>
          <w:marTop w:val="0"/>
          <w:marBottom w:val="0"/>
          <w:divBdr>
            <w:top w:val="none" w:sz="0" w:space="0" w:color="auto"/>
            <w:left w:val="none" w:sz="0" w:space="0" w:color="auto"/>
            <w:bottom w:val="none" w:sz="0" w:space="0" w:color="auto"/>
            <w:right w:val="none" w:sz="0" w:space="0" w:color="auto"/>
          </w:divBdr>
          <w:divsChild>
            <w:div w:id="276522905">
              <w:marLeft w:val="0"/>
              <w:marRight w:val="0"/>
              <w:marTop w:val="0"/>
              <w:marBottom w:val="0"/>
              <w:divBdr>
                <w:top w:val="none" w:sz="0" w:space="0" w:color="auto"/>
                <w:left w:val="none" w:sz="0" w:space="0" w:color="auto"/>
                <w:bottom w:val="none" w:sz="0" w:space="0" w:color="auto"/>
                <w:right w:val="none" w:sz="0" w:space="0" w:color="auto"/>
              </w:divBdr>
              <w:divsChild>
                <w:div w:id="12523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354">
          <w:marLeft w:val="0"/>
          <w:marRight w:val="0"/>
          <w:marTop w:val="0"/>
          <w:marBottom w:val="0"/>
          <w:divBdr>
            <w:top w:val="none" w:sz="0" w:space="0" w:color="auto"/>
            <w:left w:val="none" w:sz="0" w:space="0" w:color="auto"/>
            <w:bottom w:val="none" w:sz="0" w:space="0" w:color="auto"/>
            <w:right w:val="none" w:sz="0" w:space="0" w:color="auto"/>
          </w:divBdr>
          <w:divsChild>
            <w:div w:id="307832547">
              <w:marLeft w:val="0"/>
              <w:marRight w:val="0"/>
              <w:marTop w:val="0"/>
              <w:marBottom w:val="0"/>
              <w:divBdr>
                <w:top w:val="none" w:sz="0" w:space="0" w:color="auto"/>
                <w:left w:val="none" w:sz="0" w:space="0" w:color="auto"/>
                <w:bottom w:val="none" w:sz="0" w:space="0" w:color="auto"/>
                <w:right w:val="none" w:sz="0" w:space="0" w:color="auto"/>
              </w:divBdr>
              <w:divsChild>
                <w:div w:id="422144028">
                  <w:marLeft w:val="0"/>
                  <w:marRight w:val="0"/>
                  <w:marTop w:val="0"/>
                  <w:marBottom w:val="0"/>
                  <w:divBdr>
                    <w:top w:val="none" w:sz="0" w:space="0" w:color="auto"/>
                    <w:left w:val="none" w:sz="0" w:space="0" w:color="auto"/>
                    <w:bottom w:val="none" w:sz="0" w:space="0" w:color="auto"/>
                    <w:right w:val="none" w:sz="0" w:space="0" w:color="auto"/>
                  </w:divBdr>
                  <w:divsChild>
                    <w:div w:id="1754741361">
                      <w:marLeft w:val="0"/>
                      <w:marRight w:val="0"/>
                      <w:marTop w:val="0"/>
                      <w:marBottom w:val="0"/>
                      <w:divBdr>
                        <w:top w:val="none" w:sz="0" w:space="0" w:color="auto"/>
                        <w:left w:val="none" w:sz="0" w:space="0" w:color="auto"/>
                        <w:bottom w:val="none" w:sz="0" w:space="0" w:color="auto"/>
                        <w:right w:val="none" w:sz="0" w:space="0" w:color="auto"/>
                      </w:divBdr>
                      <w:divsChild>
                        <w:div w:id="213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21996">
      <w:bodyDiv w:val="1"/>
      <w:marLeft w:val="0"/>
      <w:marRight w:val="0"/>
      <w:marTop w:val="0"/>
      <w:marBottom w:val="0"/>
      <w:divBdr>
        <w:top w:val="none" w:sz="0" w:space="0" w:color="auto"/>
        <w:left w:val="none" w:sz="0" w:space="0" w:color="auto"/>
        <w:bottom w:val="none" w:sz="0" w:space="0" w:color="auto"/>
        <w:right w:val="none" w:sz="0" w:space="0" w:color="auto"/>
      </w:divBdr>
    </w:div>
    <w:div w:id="1555922584">
      <w:bodyDiv w:val="1"/>
      <w:marLeft w:val="0"/>
      <w:marRight w:val="0"/>
      <w:marTop w:val="0"/>
      <w:marBottom w:val="0"/>
      <w:divBdr>
        <w:top w:val="none" w:sz="0" w:space="0" w:color="auto"/>
        <w:left w:val="none" w:sz="0" w:space="0" w:color="auto"/>
        <w:bottom w:val="none" w:sz="0" w:space="0" w:color="auto"/>
        <w:right w:val="none" w:sz="0" w:space="0" w:color="auto"/>
      </w:divBdr>
      <w:divsChild>
        <w:div w:id="1524786441">
          <w:marLeft w:val="0"/>
          <w:marRight w:val="0"/>
          <w:marTop w:val="0"/>
          <w:marBottom w:val="0"/>
          <w:divBdr>
            <w:top w:val="none" w:sz="0" w:space="0" w:color="auto"/>
            <w:left w:val="none" w:sz="0" w:space="0" w:color="auto"/>
            <w:bottom w:val="none" w:sz="0" w:space="0" w:color="auto"/>
            <w:right w:val="none" w:sz="0" w:space="0" w:color="auto"/>
          </w:divBdr>
          <w:divsChild>
            <w:div w:id="1085765883">
              <w:marLeft w:val="0"/>
              <w:marRight w:val="0"/>
              <w:marTop w:val="0"/>
              <w:marBottom w:val="0"/>
              <w:divBdr>
                <w:top w:val="none" w:sz="0" w:space="0" w:color="auto"/>
                <w:left w:val="none" w:sz="0" w:space="0" w:color="auto"/>
                <w:bottom w:val="none" w:sz="0" w:space="0" w:color="auto"/>
                <w:right w:val="none" w:sz="0" w:space="0" w:color="auto"/>
              </w:divBdr>
              <w:divsChild>
                <w:div w:id="16717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101">
          <w:marLeft w:val="0"/>
          <w:marRight w:val="0"/>
          <w:marTop w:val="0"/>
          <w:marBottom w:val="0"/>
          <w:divBdr>
            <w:top w:val="none" w:sz="0" w:space="0" w:color="auto"/>
            <w:left w:val="none" w:sz="0" w:space="0" w:color="auto"/>
            <w:bottom w:val="none" w:sz="0" w:space="0" w:color="auto"/>
            <w:right w:val="none" w:sz="0" w:space="0" w:color="auto"/>
          </w:divBdr>
          <w:divsChild>
            <w:div w:id="1857384923">
              <w:marLeft w:val="0"/>
              <w:marRight w:val="0"/>
              <w:marTop w:val="0"/>
              <w:marBottom w:val="0"/>
              <w:divBdr>
                <w:top w:val="none" w:sz="0" w:space="0" w:color="auto"/>
                <w:left w:val="none" w:sz="0" w:space="0" w:color="auto"/>
                <w:bottom w:val="none" w:sz="0" w:space="0" w:color="auto"/>
                <w:right w:val="none" w:sz="0" w:space="0" w:color="auto"/>
              </w:divBdr>
              <w:divsChild>
                <w:div w:id="1474373674">
                  <w:marLeft w:val="0"/>
                  <w:marRight w:val="0"/>
                  <w:marTop w:val="0"/>
                  <w:marBottom w:val="0"/>
                  <w:divBdr>
                    <w:top w:val="none" w:sz="0" w:space="0" w:color="auto"/>
                    <w:left w:val="none" w:sz="0" w:space="0" w:color="auto"/>
                    <w:bottom w:val="none" w:sz="0" w:space="0" w:color="auto"/>
                    <w:right w:val="none" w:sz="0" w:space="0" w:color="auto"/>
                  </w:divBdr>
                  <w:divsChild>
                    <w:div w:id="368843303">
                      <w:marLeft w:val="0"/>
                      <w:marRight w:val="0"/>
                      <w:marTop w:val="0"/>
                      <w:marBottom w:val="0"/>
                      <w:divBdr>
                        <w:top w:val="none" w:sz="0" w:space="0" w:color="auto"/>
                        <w:left w:val="none" w:sz="0" w:space="0" w:color="auto"/>
                        <w:bottom w:val="none" w:sz="0" w:space="0" w:color="auto"/>
                        <w:right w:val="none" w:sz="0" w:space="0" w:color="auto"/>
                      </w:divBdr>
                      <w:divsChild>
                        <w:div w:id="19862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471971">
      <w:bodyDiv w:val="1"/>
      <w:marLeft w:val="0"/>
      <w:marRight w:val="0"/>
      <w:marTop w:val="0"/>
      <w:marBottom w:val="0"/>
      <w:divBdr>
        <w:top w:val="none" w:sz="0" w:space="0" w:color="auto"/>
        <w:left w:val="none" w:sz="0" w:space="0" w:color="auto"/>
        <w:bottom w:val="none" w:sz="0" w:space="0" w:color="auto"/>
        <w:right w:val="none" w:sz="0" w:space="0" w:color="auto"/>
      </w:divBdr>
      <w:divsChild>
        <w:div w:id="531770522">
          <w:marLeft w:val="0"/>
          <w:marRight w:val="0"/>
          <w:marTop w:val="0"/>
          <w:marBottom w:val="0"/>
          <w:divBdr>
            <w:top w:val="single" w:sz="2" w:space="0" w:color="E5E7EB"/>
            <w:left w:val="single" w:sz="2" w:space="0" w:color="E5E7EB"/>
            <w:bottom w:val="single" w:sz="2" w:space="0" w:color="E5E7EB"/>
            <w:right w:val="single" w:sz="2" w:space="0" w:color="E5E7EB"/>
          </w:divBdr>
          <w:divsChild>
            <w:div w:id="1758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150">
      <w:bodyDiv w:val="1"/>
      <w:marLeft w:val="0"/>
      <w:marRight w:val="0"/>
      <w:marTop w:val="0"/>
      <w:marBottom w:val="0"/>
      <w:divBdr>
        <w:top w:val="none" w:sz="0" w:space="0" w:color="auto"/>
        <w:left w:val="none" w:sz="0" w:space="0" w:color="auto"/>
        <w:bottom w:val="none" w:sz="0" w:space="0" w:color="auto"/>
        <w:right w:val="none" w:sz="0" w:space="0" w:color="auto"/>
      </w:divBdr>
      <w:divsChild>
        <w:div w:id="522474721">
          <w:marLeft w:val="0"/>
          <w:marRight w:val="0"/>
          <w:marTop w:val="0"/>
          <w:marBottom w:val="0"/>
          <w:divBdr>
            <w:top w:val="single" w:sz="2" w:space="0" w:color="E5E7EB"/>
            <w:left w:val="single" w:sz="2" w:space="0" w:color="E5E7EB"/>
            <w:bottom w:val="single" w:sz="2" w:space="0" w:color="E5E7EB"/>
            <w:right w:val="single" w:sz="2" w:space="0" w:color="E5E7EB"/>
          </w:divBdr>
          <w:divsChild>
            <w:div w:id="1356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Shende IIMP-PGDM 2021-23</dc:creator>
  <cp:keywords/>
  <dc:description/>
  <cp:lastModifiedBy>Sonali Shende IIMP-PGDM 2021-23</cp:lastModifiedBy>
  <cp:revision>4</cp:revision>
  <dcterms:created xsi:type="dcterms:W3CDTF">2025-07-22T14:03:00Z</dcterms:created>
  <dcterms:modified xsi:type="dcterms:W3CDTF">2025-07-22T17:33:00Z</dcterms:modified>
</cp:coreProperties>
</file>