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18096"/>
          <w:sz w:val="19"/>
        </w:rPr>
        <w:t>TECHNICAL DOCUMENTATION FOR CONFORMANCE ASSESSMENT</w:t>
        <w:br/>
        <w:t>QUALITY MANAGEMENT SYSTEM</w:t>
      </w:r>
    </w:p>
    <w:p/>
    <w:p/>
    <w:p/>
    <w:p/>
    <w:p/>
    <w:p>
      <w:pPr>
        <w:jc w:val="center"/>
      </w:pPr>
      <w:r>
        <w:rPr>
          <w:b/>
          <w:color w:val="1A365D"/>
          <w:sz w:val="52"/>
        </w:rPr>
        <w:t>BIOLOGICAL EVALUATION PLAN (BEP)</w:t>
      </w:r>
    </w:p>
    <w:p>
      <w:pPr>
        <w:jc w:val="center"/>
      </w:pPr>
      <w:r>
        <w:rPr>
          <w:color w:val="2B6CB0"/>
          <w:sz w:val="26"/>
        </w:rPr>
        <w:t>Systematic Strategy &amp; Program Matrix for Biocompatibility Evaluation</w:t>
        <w:br/>
        <w:t>According to ISO 10993-1:2018</w:t>
      </w:r>
    </w:p>
    <w:p/>
    <w:p/>
    <w:p/>
    <w:p/>
    <w:p/>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4514"/>
        <w:gridCol w:w="4514"/>
      </w:tblGrid>
      <w:tr>
        <w:tc>
          <w:tcPr>
            <w:tcW w:type="dxa" w:w="4514"/>
            <w:shd w:fill="F7FAFC"/>
            <w:tcMar>
              <w:top w:w="100" w:type="dxa"/>
              <w:bottom w:w="100" w:type="dxa"/>
              <w:left w:w="150" w:type="dxa"/>
              <w:right w:w="150" w:type="dxa"/>
            </w:tcMar>
          </w:tcPr>
          <w:p>
            <w:r>
              <w:rPr>
                <w:b/>
              </w:rPr>
              <w:t>Document Identifier</w:t>
            </w:r>
          </w:p>
        </w:tc>
        <w:tc>
          <w:tcPr>
            <w:tcW w:type="dxa" w:w="4514"/>
            <w:tcMar>
              <w:top w:w="100" w:type="dxa"/>
              <w:bottom w:w="100" w:type="dxa"/>
              <w:left w:w="150" w:type="dxa"/>
              <w:right w:w="150" w:type="dxa"/>
            </w:tcMar>
          </w:tcPr>
          <w:p>
            <w:r>
              <w:t>BEP-BIO-001</w:t>
            </w:r>
          </w:p>
        </w:tc>
      </w:tr>
      <w:tr>
        <w:tc>
          <w:tcPr>
            <w:tcW w:type="dxa" w:w="4514"/>
            <w:shd w:fill="F7FAFC"/>
            <w:tcMar>
              <w:top w:w="100" w:type="dxa"/>
              <w:bottom w:w="100" w:type="dxa"/>
              <w:left w:w="150" w:type="dxa"/>
              <w:right w:w="150" w:type="dxa"/>
            </w:tcMar>
          </w:tcPr>
          <w:p>
            <w:r>
              <w:rPr>
                <w:b/>
              </w:rPr>
              <w:t>Current Version / Revision</w:t>
            </w:r>
          </w:p>
        </w:tc>
        <w:tc>
          <w:tcPr>
            <w:tcW w:type="dxa" w:w="4514"/>
            <w:tcMar>
              <w:top w:w="100" w:type="dxa"/>
              <w:bottom w:w="100" w:type="dxa"/>
              <w:left w:w="150" w:type="dxa"/>
              <w:right w:w="150" w:type="dxa"/>
            </w:tcMar>
          </w:tcPr>
          <w:p>
            <w:r>
              <w:t>Rev. 00</w:t>
            </w:r>
          </w:p>
        </w:tc>
      </w:tr>
      <w:tr>
        <w:tc>
          <w:tcPr>
            <w:tcW w:type="dxa" w:w="4514"/>
            <w:shd w:fill="F7FAFC"/>
            <w:tcMar>
              <w:top w:w="100" w:type="dxa"/>
              <w:bottom w:w="100" w:type="dxa"/>
              <w:left w:w="150" w:type="dxa"/>
              <w:right w:w="150" w:type="dxa"/>
            </w:tcMar>
          </w:tcPr>
          <w:p>
            <w:r>
              <w:rPr>
                <w:b/>
              </w:rPr>
              <w:t>Effective Date</w:t>
            </w:r>
          </w:p>
        </w:tc>
        <w:tc>
          <w:tcPr>
            <w:tcW w:type="dxa" w:w="4514"/>
            <w:tcMar>
              <w:top w:w="100" w:type="dxa"/>
              <w:bottom w:w="100" w:type="dxa"/>
              <w:left w:w="150" w:type="dxa"/>
              <w:right w:w="150" w:type="dxa"/>
            </w:tcMar>
          </w:tcPr>
          <w:p>
            <w:r>
              <w:t>July 10, 2026</w:t>
            </w:r>
          </w:p>
        </w:tc>
      </w:tr>
      <w:tr>
        <w:tc>
          <w:tcPr>
            <w:tcW w:type="dxa" w:w="4514"/>
            <w:shd w:fill="F7FAFC"/>
            <w:tcMar>
              <w:top w:w="100" w:type="dxa"/>
              <w:bottom w:w="100" w:type="dxa"/>
              <w:left w:w="150" w:type="dxa"/>
              <w:right w:w="150" w:type="dxa"/>
            </w:tcMar>
          </w:tcPr>
          <w:p>
            <w:r>
              <w:rPr>
                <w:b/>
              </w:rPr>
              <w:t>Device Family Classification</w:t>
            </w:r>
          </w:p>
        </w:tc>
        <w:tc>
          <w:tcPr>
            <w:tcW w:type="dxa" w:w="4514"/>
            <w:tcMar>
              <w:top w:w="100" w:type="dxa"/>
              <w:bottom w:w="100" w:type="dxa"/>
              <w:left w:w="150" w:type="dxa"/>
              <w:right w:w="150" w:type="dxa"/>
            </w:tcMar>
          </w:tcPr>
          <w:p>
            <w:r>
              <w:t>Surgical Implants &amp; Long-Term Tissue Contact Subsystems</w:t>
            </w:r>
          </w:p>
        </w:tc>
      </w:tr>
      <w:tr>
        <w:tc>
          <w:tcPr>
            <w:tcW w:type="dxa" w:w="4514"/>
            <w:shd w:fill="F7FAFC"/>
            <w:tcMar>
              <w:top w:w="100" w:type="dxa"/>
              <w:bottom w:w="100" w:type="dxa"/>
              <w:left w:w="150" w:type="dxa"/>
              <w:right w:w="150" w:type="dxa"/>
            </w:tcMar>
          </w:tcPr>
          <w:p>
            <w:r>
              <w:rPr>
                <w:b/>
              </w:rPr>
              <w:t>Governing Regulatory Standards</w:t>
            </w:r>
          </w:p>
        </w:tc>
        <w:tc>
          <w:tcPr>
            <w:tcW w:type="dxa" w:w="4514"/>
            <w:tcMar>
              <w:top w:w="100" w:type="dxa"/>
              <w:bottom w:w="100" w:type="dxa"/>
              <w:left w:w="150" w:type="dxa"/>
              <w:right w:w="150" w:type="dxa"/>
            </w:tcMar>
          </w:tcPr>
          <w:p>
            <w:r>
              <w:t>ISO 10993-1:2018 | FDA ISO 10993 Guidance (2020) | EU MDR 2017/745 Annex I</w:t>
            </w:r>
          </w:p>
        </w:tc>
      </w:tr>
    </w:tbl>
    <w:p>
      <w:r>
        <w:br w:type="page"/>
      </w:r>
    </w:p>
    <w:p>
      <w:pPr>
        <w:keepNext/>
        <w:spacing w:before="360" w:after="120"/>
      </w:pPr>
      <w:r>
        <w:rPr>
          <w:b/>
          <w:color w:val="1A365D"/>
          <w:sz w:val="28"/>
        </w:rPr>
        <w:t>1.0 Purpose and Strategic Objective</w:t>
      </w:r>
    </w:p>
    <w:p>
      <w:r>
        <w:t>This Biological Evaluation Plan (BEP) defines the prospective, risk-based strategic framework mandated to evaluate and characterize the biological safety and biocompatibility profile of the specified medical device family. The principal objective of this plan is to establish a rigorous programmatic workflow that satisfies the General Safety and Performance Requirements (GSPR) outlined in Annex I of the European Medical Device Regulation (EU MDR 2017/745), United States Food and Drug Administration (FDA) guidelines, and ISO 13485 quality standard metrics.</w:t>
        <w:br/>
        <w:br/>
        <w:t>By executing this systematic safety plan, the organization establishes objective evidence verifying that all constituent raw materials, intentional formulations, and localized manufacturing surface residues do not elicit an unacceptable physiological or toxicological response when introduced into clinical settings. This plan prioritizes state-of-the-art chemical characterization, physical extraction models, and targeted in-vitro screenings to minimize redundant in-vivo biological testing in alignment with global regulatory mandates.</w:t>
      </w:r>
    </w:p>
    <w:p>
      <w:pPr>
        <w:keepNext/>
        <w:spacing w:before="360" w:after="120"/>
      </w:pPr>
      <w:r>
        <w:rPr>
          <w:b/>
          <w:color w:val="1A365D"/>
          <w:sz w:val="28"/>
        </w:rPr>
        <w:t>2.0 Scope of the Evaluation Lifecycle</w:t>
      </w:r>
    </w:p>
    <w:p>
      <w:r>
        <w:t>The boundary conditions governed by this evaluation matrix encompass all component sub-assemblies, direct or indirect patient-contacting surfaces, sterile packaging barrier configurations, and intermediate manufacturing processing lubricants used to fabricate the finished device configuration. The lifecycle evaluation strategy spans from initial design freezes and raw resin procurement through down-line mechanical scaling modifications, cleaning chemistry adjustments, terminal sterilization flushes, and shelf-life aging fields.</w:t>
        <w:br/>
        <w:br/>
        <w:t>Material changes executed post-market release by component suppliers or raw extraction variations occurring inside chemical cleanrooms shall automatically trigger an institutional impact review to determine if a secondary biological evaluation protocol must be compiled.</w:t>
      </w:r>
    </w:p>
    <w:p>
      <w:pPr>
        <w:keepNext/>
        <w:spacing w:before="360" w:after="120"/>
      </w:pPr>
      <w:r>
        <w:rPr>
          <w:b/>
          <w:color w:val="1A365D"/>
          <w:sz w:val="28"/>
        </w:rPr>
        <w:t>3.0 Device Characterization and Contact Classification</w:t>
      </w:r>
    </w:p>
    <w:p>
      <w:r>
        <w:t>In accordance with ISO 10993-1:2018 Clause 5, the medical device family must be rigorously categorized by its localized anatomical contact subsite and absolute duration threshold boundaries to map all mandatory down-line testing endpoints. The formal classification matrix for this medical device family is detailed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010"/>
        <w:gridCol w:w="3010"/>
        <w:gridCol w:w="3010"/>
      </w:tblGrid>
      <w:tr>
        <w:tc>
          <w:tcPr>
            <w:tcW w:type="dxa" w:w="3010"/>
            <w:shd w:fill="2B6CB0"/>
            <w:tcMar>
              <w:top w:w="100" w:type="dxa"/>
              <w:bottom w:w="100" w:type="dxa"/>
              <w:left w:w="150" w:type="dxa"/>
              <w:right w:w="150" w:type="dxa"/>
            </w:tcMar>
          </w:tcPr>
          <w:p>
            <w:r>
              <w:rPr>
                <w:b/>
                <w:color w:val="FFFFFF"/>
              </w:rPr>
              <w:t>Classification Variable</w:t>
            </w:r>
          </w:p>
        </w:tc>
        <w:tc>
          <w:tcPr>
            <w:tcW w:type="dxa" w:w="3010"/>
            <w:shd w:fill="2B6CB0"/>
            <w:tcMar>
              <w:top w:w="100" w:type="dxa"/>
              <w:bottom w:w="100" w:type="dxa"/>
              <w:left w:w="150" w:type="dxa"/>
              <w:right w:w="150" w:type="dxa"/>
            </w:tcMar>
          </w:tcPr>
          <w:p>
            <w:r>
              <w:rPr>
                <w:b/>
                <w:color w:val="FFFFFF"/>
              </w:rPr>
              <w:t>ISO 10993-1 Designation</w:t>
            </w:r>
          </w:p>
        </w:tc>
        <w:tc>
          <w:tcPr>
            <w:tcW w:type="dxa" w:w="3010"/>
            <w:shd w:fill="2B6CB0"/>
            <w:tcMar>
              <w:top w:w="100" w:type="dxa"/>
              <w:bottom w:w="100" w:type="dxa"/>
              <w:left w:w="150" w:type="dxa"/>
              <w:right w:w="150" w:type="dxa"/>
            </w:tcMar>
          </w:tcPr>
          <w:p>
            <w:r>
              <w:rPr>
                <w:b/>
                <w:color w:val="FFFFFF"/>
              </w:rPr>
              <w:t>Technical Rationale &amp; Operational Boundaries</w:t>
            </w:r>
          </w:p>
        </w:tc>
      </w:tr>
      <w:tr>
        <w:tc>
          <w:tcPr>
            <w:tcW w:type="dxa" w:w="3010"/>
            <w:tcMar>
              <w:top w:w="100" w:type="dxa"/>
              <w:bottom w:w="100" w:type="dxa"/>
              <w:left w:w="150" w:type="dxa"/>
              <w:right w:w="150" w:type="dxa"/>
            </w:tcMar>
            <w:shd w:fill="F7FAFC"/>
          </w:tcPr>
          <w:p>
            <w:r>
              <w:rPr>
                <w:b/>
              </w:rPr>
              <w:t>Contact Category</w:t>
            </w:r>
          </w:p>
        </w:tc>
        <w:tc>
          <w:tcPr>
            <w:tcW w:type="dxa" w:w="3010"/>
            <w:tcMar>
              <w:top w:w="100" w:type="dxa"/>
              <w:bottom w:w="100" w:type="dxa"/>
              <w:left w:w="150" w:type="dxa"/>
              <w:right w:w="150" w:type="dxa"/>
            </w:tcMar>
          </w:tcPr>
          <w:p>
            <w:r>
              <w:t>Implant Device</w:t>
            </w:r>
          </w:p>
        </w:tc>
        <w:tc>
          <w:tcPr>
            <w:tcW w:type="dxa" w:w="3010"/>
            <w:tcMar>
              <w:top w:w="100" w:type="dxa"/>
              <w:bottom w:w="100" w:type="dxa"/>
              <w:left w:w="150" w:type="dxa"/>
              <w:right w:w="150" w:type="dxa"/>
            </w:tcMar>
          </w:tcPr>
          <w:p>
            <w:r>
              <w:t>The subsystem is surgically introduced entirely into the patient's structural margins via open or minimally invasive clinical interventions, maintaining explicit contact fields.</w:t>
            </w:r>
          </w:p>
        </w:tc>
      </w:tr>
      <w:tr>
        <w:tc>
          <w:tcPr>
            <w:tcW w:type="dxa" w:w="3010"/>
            <w:tcMar>
              <w:top w:w="100" w:type="dxa"/>
              <w:bottom w:w="100" w:type="dxa"/>
              <w:left w:w="150" w:type="dxa"/>
              <w:right w:w="150" w:type="dxa"/>
            </w:tcMar>
            <w:shd w:fill="F7FAFC"/>
          </w:tcPr>
          <w:p>
            <w:r>
              <w:rPr>
                <w:b/>
              </w:rPr>
              <w:t>Anatomical Contact Subsite</w:t>
            </w:r>
          </w:p>
        </w:tc>
        <w:tc>
          <w:tcPr>
            <w:tcW w:type="dxa" w:w="3010"/>
            <w:tcMar>
              <w:top w:w="100" w:type="dxa"/>
              <w:bottom w:w="100" w:type="dxa"/>
              <w:left w:w="150" w:type="dxa"/>
              <w:right w:w="150" w:type="dxa"/>
            </w:tcMar>
          </w:tcPr>
          <w:p>
            <w:r>
              <w:t>Tissue / Bone Interface</w:t>
            </w:r>
          </w:p>
        </w:tc>
        <w:tc>
          <w:tcPr>
            <w:tcW w:type="dxa" w:w="3010"/>
            <w:tcMar>
              <w:top w:w="100" w:type="dxa"/>
              <w:bottom w:w="100" w:type="dxa"/>
              <w:left w:w="150" w:type="dxa"/>
              <w:right w:w="150" w:type="dxa"/>
            </w:tcMar>
          </w:tcPr>
          <w:p>
            <w:r>
              <w:t>Primary physical interfaces interact extensively with bone structures, bone marrow spaces, and dense localized musculoskeletal tissue matrices during active load-bearing operations.</w:t>
            </w:r>
          </w:p>
        </w:tc>
      </w:tr>
      <w:tr>
        <w:tc>
          <w:tcPr>
            <w:tcW w:type="dxa" w:w="3010"/>
            <w:tcMar>
              <w:top w:w="100" w:type="dxa"/>
              <w:bottom w:w="100" w:type="dxa"/>
              <w:left w:w="150" w:type="dxa"/>
              <w:right w:w="150" w:type="dxa"/>
            </w:tcMar>
            <w:shd w:fill="F7FAFC"/>
          </w:tcPr>
          <w:p>
            <w:r>
              <w:rPr>
                <w:b/>
              </w:rPr>
              <w:t>Contact Duration Profile</w:t>
            </w:r>
          </w:p>
        </w:tc>
        <w:tc>
          <w:tcPr>
            <w:tcW w:type="dxa" w:w="3010"/>
            <w:tcMar>
              <w:top w:w="100" w:type="dxa"/>
              <w:bottom w:w="100" w:type="dxa"/>
              <w:left w:w="150" w:type="dxa"/>
              <w:right w:w="150" w:type="dxa"/>
            </w:tcMar>
          </w:tcPr>
          <w:p>
            <w:r>
              <w:t>Long-Term / Permanent (&gt;30 Days)</w:t>
            </w:r>
          </w:p>
        </w:tc>
        <w:tc>
          <w:tcPr>
            <w:tcW w:type="dxa" w:w="3010"/>
            <w:tcMar>
              <w:top w:w="100" w:type="dxa"/>
              <w:bottom w:w="100" w:type="dxa"/>
              <w:left w:w="150" w:type="dxa"/>
              <w:right w:w="150" w:type="dxa"/>
            </w:tcMar>
          </w:tcPr>
          <w:p>
            <w:r>
              <w:t>The device components are engineered to provide life-long mechanical stabilization and localized alignment, remaining implanted for a duration exceeding 30 days up to multiple decades.</w:t>
            </w:r>
          </w:p>
        </w:tc>
      </w:tr>
    </w:tbl>
    <w:p>
      <w:r>
        <w:br w:type="page"/>
      </w:r>
    </w:p>
    <w:p>
      <w:pPr>
        <w:keepNext/>
        <w:spacing w:before="360" w:after="120"/>
      </w:pPr>
      <w:r>
        <w:rPr>
          <w:b/>
          <w:color w:val="1A365D"/>
          <w:sz w:val="28"/>
        </w:rPr>
        <w:t>4.0 Material Composition and Supply Chain Traceability</w:t>
      </w:r>
    </w:p>
    <w:p>
      <w:r>
        <w:t>A fundamental prerequisite of the biological evaluation lifecycle is the complete, transparent characterization of raw materials and intermediate processing aids. Supplier conformance declarations, chemical certificates of analysis, and molecular tracing profiles must be locked down to prevent down-line manufacturing variability. The master material matrix for the finished device is defined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257"/>
        <w:gridCol w:w="2257"/>
        <w:gridCol w:w="2257"/>
        <w:gridCol w:w="2257"/>
      </w:tblGrid>
      <w:tr>
        <w:tc>
          <w:tcPr>
            <w:tcW w:type="dxa" w:w="2257"/>
            <w:shd w:fill="2B6CB0"/>
            <w:tcMar>
              <w:top w:w="100" w:type="dxa"/>
              <w:bottom w:w="100" w:type="dxa"/>
              <w:left w:w="150" w:type="dxa"/>
              <w:right w:w="150" w:type="dxa"/>
            </w:tcMar>
          </w:tcPr>
          <w:p>
            <w:r>
              <w:rPr>
                <w:b/>
                <w:color w:val="FFFFFF"/>
              </w:rPr>
              <w:t>Component Identifier</w:t>
            </w:r>
          </w:p>
        </w:tc>
        <w:tc>
          <w:tcPr>
            <w:tcW w:type="dxa" w:w="2257"/>
            <w:shd w:fill="2B6CB0"/>
            <w:tcMar>
              <w:top w:w="100" w:type="dxa"/>
              <w:bottom w:w="100" w:type="dxa"/>
              <w:left w:w="150" w:type="dxa"/>
              <w:right w:w="150" w:type="dxa"/>
            </w:tcMar>
          </w:tcPr>
          <w:p>
            <w:r>
              <w:rPr>
                <w:b/>
                <w:color w:val="FFFFFF"/>
              </w:rPr>
              <w:t>Raw Material Base Formulation</w:t>
            </w:r>
          </w:p>
        </w:tc>
        <w:tc>
          <w:tcPr>
            <w:tcW w:type="dxa" w:w="2257"/>
            <w:shd w:fill="2B6CB0"/>
            <w:tcMar>
              <w:top w:w="100" w:type="dxa"/>
              <w:bottom w:w="100" w:type="dxa"/>
              <w:left w:w="150" w:type="dxa"/>
              <w:right w:w="150" w:type="dxa"/>
            </w:tcMar>
          </w:tcPr>
          <w:p>
            <w:r>
              <w:rPr>
                <w:b/>
                <w:color w:val="FFFFFF"/>
              </w:rPr>
              <w:t>Supplier Standard / Grade</w:t>
            </w:r>
          </w:p>
        </w:tc>
        <w:tc>
          <w:tcPr>
            <w:tcW w:type="dxa" w:w="2257"/>
            <w:shd w:fill="2B6CB0"/>
            <w:tcMar>
              <w:top w:w="100" w:type="dxa"/>
              <w:bottom w:w="100" w:type="dxa"/>
              <w:left w:w="150" w:type="dxa"/>
              <w:right w:w="150" w:type="dxa"/>
            </w:tcMar>
          </w:tcPr>
          <w:p>
            <w:r>
              <w:rPr>
                <w:b/>
                <w:color w:val="FFFFFF"/>
              </w:rPr>
              <w:t>Contact Type Profile</w:t>
            </w:r>
          </w:p>
        </w:tc>
      </w:tr>
      <w:tr>
        <w:tc>
          <w:tcPr>
            <w:tcW w:type="dxa" w:w="2257"/>
            <w:tcMar>
              <w:top w:w="100" w:type="dxa"/>
              <w:bottom w:w="100" w:type="dxa"/>
              <w:left w:w="150" w:type="dxa"/>
              <w:right w:w="150" w:type="dxa"/>
            </w:tcMar>
            <w:shd w:fill="F7FAFC"/>
          </w:tcPr>
          <w:p>
            <w:r>
              <w:rPr>
                <w:b/>
              </w:rPr>
              <w:t>Subsystem Structural Core</w:t>
            </w:r>
          </w:p>
        </w:tc>
        <w:tc>
          <w:tcPr>
            <w:tcW w:type="dxa" w:w="2257"/>
            <w:tcMar>
              <w:top w:w="100" w:type="dxa"/>
              <w:bottom w:w="100" w:type="dxa"/>
              <w:left w:w="150" w:type="dxa"/>
              <w:right w:w="150" w:type="dxa"/>
            </w:tcMar>
          </w:tcPr>
          <w:p>
            <w:r>
              <w:t>Medical Grade Titanium Alloy (Ti-6Al-4V ELI)</w:t>
            </w:r>
          </w:p>
        </w:tc>
        <w:tc>
          <w:tcPr>
            <w:tcW w:type="dxa" w:w="2257"/>
            <w:tcMar>
              <w:top w:w="100" w:type="dxa"/>
              <w:bottom w:w="100" w:type="dxa"/>
              <w:left w:w="150" w:type="dxa"/>
              <w:right w:w="150" w:type="dxa"/>
            </w:tcMar>
          </w:tcPr>
          <w:p>
            <w:r>
              <w:t>ASTM F136 / ISO 5832-3</w:t>
            </w:r>
          </w:p>
        </w:tc>
        <w:tc>
          <w:tcPr>
            <w:tcW w:type="dxa" w:w="2257"/>
            <w:tcMar>
              <w:top w:w="100" w:type="dxa"/>
              <w:bottom w:w="100" w:type="dxa"/>
              <w:left w:w="150" w:type="dxa"/>
              <w:right w:w="150" w:type="dxa"/>
            </w:tcMar>
          </w:tcPr>
          <w:p>
            <w:r>
              <w:t>Direct Permanent Patient Contact</w:t>
            </w:r>
          </w:p>
        </w:tc>
      </w:tr>
      <w:tr>
        <w:tc>
          <w:tcPr>
            <w:tcW w:type="dxa" w:w="2257"/>
            <w:tcMar>
              <w:top w:w="100" w:type="dxa"/>
              <w:bottom w:w="100" w:type="dxa"/>
              <w:left w:w="150" w:type="dxa"/>
              <w:right w:w="150" w:type="dxa"/>
            </w:tcMar>
            <w:shd w:fill="F7FAFC"/>
          </w:tcPr>
          <w:p>
            <w:r>
              <w:rPr>
                <w:b/>
              </w:rPr>
              <w:t>Outer Wear Interface Shell</w:t>
            </w:r>
          </w:p>
        </w:tc>
        <w:tc>
          <w:tcPr>
            <w:tcW w:type="dxa" w:w="2257"/>
            <w:tcMar>
              <w:top w:w="100" w:type="dxa"/>
              <w:bottom w:w="100" w:type="dxa"/>
              <w:left w:w="150" w:type="dxa"/>
              <w:right w:w="150" w:type="dxa"/>
            </w:tcMar>
          </w:tcPr>
          <w:p>
            <w:r>
              <w:t>Polyetheretherketone (PEEK)</w:t>
            </w:r>
          </w:p>
        </w:tc>
        <w:tc>
          <w:tcPr>
            <w:tcW w:type="dxa" w:w="2257"/>
            <w:tcMar>
              <w:top w:w="100" w:type="dxa"/>
              <w:bottom w:w="100" w:type="dxa"/>
              <w:left w:w="150" w:type="dxa"/>
              <w:right w:w="150" w:type="dxa"/>
            </w:tcMar>
          </w:tcPr>
          <w:p>
            <w:r>
              <w:t>ASTM F2026 Medical Grade</w:t>
            </w:r>
          </w:p>
        </w:tc>
        <w:tc>
          <w:tcPr>
            <w:tcW w:type="dxa" w:w="2257"/>
            <w:tcMar>
              <w:top w:w="100" w:type="dxa"/>
              <w:bottom w:w="100" w:type="dxa"/>
              <w:left w:w="150" w:type="dxa"/>
              <w:right w:w="150" w:type="dxa"/>
            </w:tcMar>
          </w:tcPr>
          <w:p>
            <w:r>
              <w:t>Direct Permanent Patient Contact</w:t>
            </w:r>
          </w:p>
        </w:tc>
      </w:tr>
      <w:tr>
        <w:tc>
          <w:tcPr>
            <w:tcW w:type="dxa" w:w="2257"/>
            <w:tcMar>
              <w:top w:w="100" w:type="dxa"/>
              <w:bottom w:w="100" w:type="dxa"/>
              <w:left w:w="150" w:type="dxa"/>
              <w:right w:w="150" w:type="dxa"/>
            </w:tcMar>
            <w:shd w:fill="F7FAFC"/>
          </w:tcPr>
          <w:p>
            <w:r>
              <w:rPr>
                <w:b/>
              </w:rPr>
              <w:t>Cleanroom Assembly Wash</w:t>
            </w:r>
          </w:p>
        </w:tc>
        <w:tc>
          <w:tcPr>
            <w:tcW w:type="dxa" w:w="2257"/>
            <w:tcMar>
              <w:top w:w="100" w:type="dxa"/>
              <w:bottom w:w="100" w:type="dxa"/>
              <w:left w:w="150" w:type="dxa"/>
              <w:right w:w="150" w:type="dxa"/>
            </w:tcMar>
          </w:tcPr>
          <w:p>
            <w:r>
              <w:t>Synthetic Ester Fluid Formulation</w:t>
            </w:r>
          </w:p>
        </w:tc>
        <w:tc>
          <w:tcPr>
            <w:tcW w:type="dxa" w:w="2257"/>
            <w:tcMar>
              <w:top w:w="100" w:type="dxa"/>
              <w:bottom w:w="100" w:type="dxa"/>
              <w:left w:w="150" w:type="dxa"/>
              <w:right w:w="150" w:type="dxa"/>
            </w:tcMar>
          </w:tcPr>
          <w:p>
            <w:r>
              <w:t>Commercial Processing Aid</w:t>
            </w:r>
          </w:p>
        </w:tc>
        <w:tc>
          <w:tcPr>
            <w:tcW w:type="dxa" w:w="2257"/>
            <w:tcMar>
              <w:top w:w="100" w:type="dxa"/>
              <w:bottom w:w="100" w:type="dxa"/>
              <w:left w:w="150" w:type="dxa"/>
              <w:right w:w="150" w:type="dxa"/>
            </w:tcMar>
          </w:tcPr>
          <w:p>
            <w:r>
              <w:t>Transient Residue Risk (Removed via Wash)</w:t>
            </w:r>
          </w:p>
        </w:tc>
      </w:tr>
    </w:tbl>
    <w:p>
      <w:pPr>
        <w:keepNext/>
        <w:spacing w:before="360" w:after="120"/>
      </w:pPr>
      <w:r>
        <w:rPr>
          <w:b/>
          <w:color w:val="1A365D"/>
          <w:sz w:val="28"/>
        </w:rPr>
        <w:t>5.0 Biocompatibility Endpoints for Evaluation Matrix</w:t>
      </w:r>
    </w:p>
    <w:p>
      <w:r>
        <w:t>Based on the structural classification of a permanent implant interacting directly with tissue and bone matrix networks, ISO 10993-1:2018 Annex A dictates evaluating a specific set of biological parameters. This master evaluation matrix defines the strategy to address each required endpoint through physical testing, chemical analytics, or toxicological historical literature profiles: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010"/>
        <w:gridCol w:w="3010"/>
        <w:gridCol w:w="3010"/>
      </w:tblGrid>
      <w:tr>
        <w:tc>
          <w:tcPr>
            <w:tcW w:type="dxa" w:w="3010"/>
            <w:shd w:fill="2B6CB0"/>
            <w:tcMar>
              <w:top w:w="100" w:type="dxa"/>
              <w:bottom w:w="100" w:type="dxa"/>
              <w:left w:w="150" w:type="dxa"/>
              <w:right w:w="150" w:type="dxa"/>
            </w:tcMar>
          </w:tcPr>
          <w:p>
            <w:r>
              <w:rPr>
                <w:b/>
                <w:color w:val="FFFFFF"/>
              </w:rPr>
              <w:t>Biological Endpoint</w:t>
            </w:r>
          </w:p>
        </w:tc>
        <w:tc>
          <w:tcPr>
            <w:tcW w:type="dxa" w:w="3010"/>
            <w:shd w:fill="2B6CB0"/>
            <w:tcMar>
              <w:top w:w="100" w:type="dxa"/>
              <w:bottom w:w="100" w:type="dxa"/>
              <w:left w:w="150" w:type="dxa"/>
              <w:right w:w="150" w:type="dxa"/>
            </w:tcMar>
          </w:tcPr>
          <w:p>
            <w:r>
              <w:rPr>
                <w:b/>
                <w:color w:val="FFFFFF"/>
              </w:rPr>
              <w:t>Governing Standard</w:t>
            </w:r>
          </w:p>
        </w:tc>
        <w:tc>
          <w:tcPr>
            <w:tcW w:type="dxa" w:w="3010"/>
            <w:shd w:fill="2B6CB0"/>
            <w:tcMar>
              <w:top w:w="100" w:type="dxa"/>
              <w:bottom w:w="100" w:type="dxa"/>
              <w:left w:w="150" w:type="dxa"/>
              <w:right w:w="150" w:type="dxa"/>
            </w:tcMar>
          </w:tcPr>
          <w:p>
            <w:r>
              <w:rPr>
                <w:b/>
                <w:color w:val="FFFFFF"/>
              </w:rPr>
              <w:t>Planned Evaluation Strategy &amp; Testing Parameters</w:t>
            </w:r>
          </w:p>
        </w:tc>
      </w:tr>
      <w:tr>
        <w:tc>
          <w:tcPr>
            <w:tcW w:type="dxa" w:w="3010"/>
            <w:tcMar>
              <w:top w:w="100" w:type="dxa"/>
              <w:bottom w:w="100" w:type="dxa"/>
              <w:left w:w="150" w:type="dxa"/>
              <w:right w:w="150" w:type="dxa"/>
            </w:tcMar>
            <w:shd w:fill="F7FAFC"/>
          </w:tcPr>
          <w:p>
            <w:r>
              <w:rPr>
                <w:b/>
              </w:rPr>
              <w:t>Cytotoxicity</w:t>
            </w:r>
          </w:p>
        </w:tc>
        <w:tc>
          <w:tcPr>
            <w:tcW w:type="dxa" w:w="3010"/>
            <w:tcMar>
              <w:top w:w="100" w:type="dxa"/>
              <w:bottom w:w="100" w:type="dxa"/>
              <w:left w:w="150" w:type="dxa"/>
              <w:right w:w="150" w:type="dxa"/>
            </w:tcMar>
          </w:tcPr>
          <w:p>
            <w:r>
              <w:t>ISO 10993-5</w:t>
            </w:r>
          </w:p>
        </w:tc>
        <w:tc>
          <w:tcPr>
            <w:tcW w:type="dxa" w:w="3010"/>
            <w:tcMar>
              <w:top w:w="100" w:type="dxa"/>
              <w:bottom w:w="100" w:type="dxa"/>
              <w:left w:w="150" w:type="dxa"/>
              <w:right w:w="150" w:type="dxa"/>
            </w:tcMar>
          </w:tcPr>
          <w:p>
            <w:r>
              <w:t>In-vitro MEM Elution test layout using L929 mouse fibroblast cell lines. Monitor cell lysis and growth inhibition parameters over a continuous 72-hour exposure loop. Passing limits strictly bound at Grade &lt;= 2.</w:t>
            </w:r>
          </w:p>
        </w:tc>
      </w:tr>
      <w:tr>
        <w:tc>
          <w:tcPr>
            <w:tcW w:type="dxa" w:w="3010"/>
            <w:tcMar>
              <w:top w:w="100" w:type="dxa"/>
              <w:bottom w:w="100" w:type="dxa"/>
              <w:left w:w="150" w:type="dxa"/>
              <w:right w:w="150" w:type="dxa"/>
            </w:tcMar>
            <w:shd w:fill="F7FAFC"/>
          </w:tcPr>
          <w:p>
            <w:r>
              <w:rPr>
                <w:b/>
              </w:rPr>
              <w:t>Sensitization</w:t>
            </w:r>
          </w:p>
        </w:tc>
        <w:tc>
          <w:tcPr>
            <w:tcW w:type="dxa" w:w="3010"/>
            <w:tcMar>
              <w:top w:w="100" w:type="dxa"/>
              <w:bottom w:w="100" w:type="dxa"/>
              <w:left w:w="150" w:type="dxa"/>
              <w:right w:w="150" w:type="dxa"/>
            </w:tcMar>
          </w:tcPr>
          <w:p>
            <w:r>
              <w:t>ISO 10993-10</w:t>
            </w:r>
          </w:p>
        </w:tc>
        <w:tc>
          <w:tcPr>
            <w:tcW w:type="dxa" w:w="3010"/>
            <w:tcMar>
              <w:top w:w="100" w:type="dxa"/>
              <w:bottom w:w="100" w:type="dxa"/>
              <w:left w:w="150" w:type="dxa"/>
              <w:right w:w="150" w:type="dxa"/>
            </w:tcMar>
          </w:tcPr>
          <w:p>
            <w:r>
              <w:t>Evaluation of dermal and systemic hypersensitivity potential via a Guinea Pig Maximization Test (GPMT). Expose animal models to multiple polar and non-polar fluid extractions to track potential immune events.</w:t>
            </w:r>
          </w:p>
        </w:tc>
      </w:tr>
      <w:tr>
        <w:tc>
          <w:tcPr>
            <w:tcW w:type="dxa" w:w="3010"/>
            <w:tcMar>
              <w:top w:w="100" w:type="dxa"/>
              <w:bottom w:w="100" w:type="dxa"/>
              <w:left w:w="150" w:type="dxa"/>
              <w:right w:w="150" w:type="dxa"/>
            </w:tcMar>
            <w:shd w:fill="F7FAFC"/>
          </w:tcPr>
          <w:p>
            <w:r>
              <w:rPr>
                <w:b/>
              </w:rPr>
              <w:t>Irritation</w:t>
            </w:r>
          </w:p>
        </w:tc>
        <w:tc>
          <w:tcPr>
            <w:tcW w:type="dxa" w:w="3010"/>
            <w:tcMar>
              <w:top w:w="100" w:type="dxa"/>
              <w:bottom w:w="100" w:type="dxa"/>
              <w:left w:w="150" w:type="dxa"/>
              <w:right w:w="150" w:type="dxa"/>
            </w:tcMar>
          </w:tcPr>
          <w:p>
            <w:r>
              <w:t>ISO 10993-23</w:t>
            </w:r>
          </w:p>
        </w:tc>
        <w:tc>
          <w:tcPr>
            <w:tcW w:type="dxa" w:w="3010"/>
            <w:tcMar>
              <w:top w:w="100" w:type="dxa"/>
              <w:bottom w:w="100" w:type="dxa"/>
              <w:left w:w="150" w:type="dxa"/>
              <w:right w:w="150" w:type="dxa"/>
            </w:tcMar>
          </w:tcPr>
          <w:p>
            <w:r>
              <w:t>Localized tissue reactivity check via an acute animal intracutaneous injection protocol. Examine local vascular and tissue response sites sequentially over a 72-hour monitoring duration.</w:t>
            </w:r>
          </w:p>
        </w:tc>
      </w:tr>
      <w:tr>
        <w:tc>
          <w:tcPr>
            <w:tcW w:type="dxa" w:w="3010"/>
            <w:tcMar>
              <w:top w:w="100" w:type="dxa"/>
              <w:bottom w:w="100" w:type="dxa"/>
              <w:left w:w="150" w:type="dxa"/>
              <w:right w:w="150" w:type="dxa"/>
            </w:tcMar>
            <w:shd w:fill="F7FAFC"/>
          </w:tcPr>
          <w:p>
            <w:r>
              <w:rPr>
                <w:b/>
              </w:rPr>
              <w:t>Material-Mediated Pyrogenicity</w:t>
            </w:r>
          </w:p>
        </w:tc>
        <w:tc>
          <w:tcPr>
            <w:tcW w:type="dxa" w:w="3010"/>
            <w:tcMar>
              <w:top w:w="100" w:type="dxa"/>
              <w:bottom w:w="100" w:type="dxa"/>
              <w:left w:w="150" w:type="dxa"/>
              <w:right w:w="150" w:type="dxa"/>
            </w:tcMar>
          </w:tcPr>
          <w:p>
            <w:r>
              <w:t>ISO 10993-11</w:t>
            </w:r>
          </w:p>
        </w:tc>
        <w:tc>
          <w:tcPr>
            <w:tcW w:type="dxa" w:w="3010"/>
            <w:tcMar>
              <w:top w:w="100" w:type="dxa"/>
              <w:bottom w:w="100" w:type="dxa"/>
              <w:left w:w="150" w:type="dxa"/>
              <w:right w:w="150" w:type="dxa"/>
            </w:tcMar>
          </w:tcPr>
          <w:p>
            <w:r>
              <w:t>Examine non-endotoxin pyrogen leaching profiles via a Rabbit Pyrogen Test model (USP &lt;151&gt;). Monitor core physiological temperature variations following systematic extract injection loops.</w:t>
            </w:r>
          </w:p>
        </w:tc>
      </w:tr>
      <w:tr>
        <w:tc>
          <w:tcPr>
            <w:tcW w:type="dxa" w:w="3010"/>
            <w:tcMar>
              <w:top w:w="100" w:type="dxa"/>
              <w:bottom w:w="100" w:type="dxa"/>
              <w:left w:w="150" w:type="dxa"/>
              <w:right w:w="150" w:type="dxa"/>
            </w:tcMar>
            <w:shd w:fill="F7FAFC"/>
          </w:tcPr>
          <w:p>
            <w:r>
              <w:rPr>
                <w:b/>
              </w:rPr>
              <w:t>Acute Systemic Toxicity</w:t>
            </w:r>
          </w:p>
        </w:tc>
        <w:tc>
          <w:tcPr>
            <w:tcW w:type="dxa" w:w="3010"/>
            <w:tcMar>
              <w:top w:w="100" w:type="dxa"/>
              <w:bottom w:w="100" w:type="dxa"/>
              <w:left w:w="150" w:type="dxa"/>
              <w:right w:w="150" w:type="dxa"/>
            </w:tcMar>
          </w:tcPr>
          <w:p>
            <w:r>
              <w:t>ISO 10993-11</w:t>
            </w:r>
          </w:p>
        </w:tc>
        <w:tc>
          <w:tcPr>
            <w:tcW w:type="dxa" w:w="3010"/>
            <w:tcMar>
              <w:top w:w="100" w:type="dxa"/>
              <w:bottom w:w="100" w:type="dxa"/>
              <w:left w:w="150" w:type="dxa"/>
              <w:right w:w="150" w:type="dxa"/>
            </w:tcMar>
          </w:tcPr>
          <w:p>
            <w:r>
              <w:t>Systemic physiological impact verification via single-dose acute extract injections inside rodent models. Track clinical indicators, weight modifications, and mortality charts over 72 hours.</w:t>
            </w:r>
          </w:p>
        </w:tc>
      </w:tr>
      <w:tr>
        <w:tc>
          <w:tcPr>
            <w:tcW w:type="dxa" w:w="3010"/>
            <w:tcMar>
              <w:top w:w="100" w:type="dxa"/>
              <w:bottom w:w="100" w:type="dxa"/>
              <w:left w:w="150" w:type="dxa"/>
              <w:right w:w="150" w:type="dxa"/>
            </w:tcMar>
            <w:shd w:fill="F7FAFC"/>
          </w:tcPr>
          <w:p>
            <w:r>
              <w:rPr>
                <w:b/>
              </w:rPr>
              <w:t>Subchronic Toxicity</w:t>
            </w:r>
          </w:p>
        </w:tc>
        <w:tc>
          <w:tcPr>
            <w:tcW w:type="dxa" w:w="3010"/>
            <w:tcMar>
              <w:top w:w="100" w:type="dxa"/>
              <w:bottom w:w="100" w:type="dxa"/>
              <w:left w:w="150" w:type="dxa"/>
              <w:right w:w="150" w:type="dxa"/>
            </w:tcMar>
          </w:tcPr>
          <w:p>
            <w:r>
              <w:t>ISO 10993-11</w:t>
            </w:r>
          </w:p>
        </w:tc>
        <w:tc>
          <w:tcPr>
            <w:tcW w:type="dxa" w:w="3010"/>
            <w:tcMar>
              <w:top w:w="100" w:type="dxa"/>
              <w:bottom w:w="100" w:type="dxa"/>
              <w:left w:w="150" w:type="dxa"/>
              <w:right w:w="150" w:type="dxa"/>
            </w:tcMar>
          </w:tcPr>
          <w:p>
            <w:r>
              <w:t>Evaluate cumulative systemic effects through a comprehensive review of historical material toxicity profiles, or execute an active 14 to 90-day animal assay if chemical outgassing anomalies occur.</w:t>
            </w:r>
          </w:p>
        </w:tc>
      </w:tr>
      <w:tr>
        <w:tc>
          <w:tcPr>
            <w:tcW w:type="dxa" w:w="3010"/>
            <w:tcMar>
              <w:top w:w="100" w:type="dxa"/>
              <w:bottom w:w="100" w:type="dxa"/>
              <w:left w:w="150" w:type="dxa"/>
              <w:right w:w="150" w:type="dxa"/>
            </w:tcMar>
            <w:shd w:fill="F7FAFC"/>
          </w:tcPr>
          <w:p>
            <w:r>
              <w:rPr>
                <w:b/>
              </w:rPr>
              <w:t>Genotoxicity</w:t>
            </w:r>
          </w:p>
        </w:tc>
        <w:tc>
          <w:tcPr>
            <w:tcW w:type="dxa" w:w="3010"/>
            <w:tcMar>
              <w:top w:w="100" w:type="dxa"/>
              <w:bottom w:w="100" w:type="dxa"/>
              <w:left w:w="150" w:type="dxa"/>
              <w:right w:w="150" w:type="dxa"/>
            </w:tcMar>
          </w:tcPr>
          <w:p>
            <w:r>
              <w:t>ISO 10993-3</w:t>
            </w:r>
          </w:p>
        </w:tc>
        <w:tc>
          <w:tcPr>
            <w:tcW w:type="dxa" w:w="3010"/>
            <w:tcMar>
              <w:top w:w="100" w:type="dxa"/>
              <w:bottom w:w="100" w:type="dxa"/>
              <w:left w:w="150" w:type="dxa"/>
              <w:right w:w="150" w:type="dxa"/>
            </w:tcMar>
          </w:tcPr>
          <w:p>
            <w:r>
              <w:t>An exhaustive three-tier testing battery: Ames Bacterial Reverse Mutation assay, In-Vitro Mouse Lymphoma forward mutation loop, and an In-Vivo Mammalian Bone Marrow Micronucleus induction protocol.</w:t>
            </w:r>
          </w:p>
        </w:tc>
      </w:tr>
      <w:tr>
        <w:tc>
          <w:tcPr>
            <w:tcW w:type="dxa" w:w="3010"/>
            <w:tcMar>
              <w:top w:w="100" w:type="dxa"/>
              <w:bottom w:w="100" w:type="dxa"/>
              <w:left w:w="150" w:type="dxa"/>
              <w:right w:w="150" w:type="dxa"/>
            </w:tcMar>
            <w:shd w:fill="F7FAFC"/>
          </w:tcPr>
          <w:p>
            <w:r>
              <w:rPr>
                <w:b/>
              </w:rPr>
              <w:t>Implantation Effects</w:t>
            </w:r>
          </w:p>
        </w:tc>
        <w:tc>
          <w:tcPr>
            <w:tcW w:type="dxa" w:w="3010"/>
            <w:tcMar>
              <w:top w:w="100" w:type="dxa"/>
              <w:bottom w:w="100" w:type="dxa"/>
              <w:left w:w="150" w:type="dxa"/>
              <w:right w:w="150" w:type="dxa"/>
            </w:tcMar>
          </w:tcPr>
          <w:p>
            <w:r>
              <w:t>ISO 10993-6</w:t>
            </w:r>
          </w:p>
        </w:tc>
        <w:tc>
          <w:tcPr>
            <w:tcW w:type="dxa" w:w="3010"/>
            <w:tcMar>
              <w:top w:w="100" w:type="dxa"/>
              <w:bottom w:w="100" w:type="dxa"/>
              <w:left w:w="150" w:type="dxa"/>
              <w:right w:w="150" w:type="dxa"/>
            </w:tcMar>
          </w:tcPr>
          <w:p>
            <w:r>
              <w:t>Local tissue tolerability and physical interaction evaluation via bone-site structural implantation in rabbit models across critical time horizons (4, 12, and 26 weeks) with histopathological analysis.</w:t>
            </w:r>
          </w:p>
        </w:tc>
      </w:tr>
    </w:tbl>
    <w:p>
      <w:r>
        <w:br w:type="page"/>
      </w:r>
    </w:p>
    <w:p>
      <w:pPr>
        <w:keepNext/>
        <w:spacing w:before="360" w:after="120"/>
      </w:pPr>
      <w:r>
        <w:rPr>
          <w:b/>
          <w:color w:val="1A365D"/>
          <w:sz w:val="28"/>
        </w:rPr>
        <w:t>6.0 Chemical Characterization &amp; Extractable/Leachable (E&amp;L) Testing</w:t>
      </w:r>
    </w:p>
    <w:p>
      <w:r>
        <w:t>To support modern regulatory submission pathways and satisfy animal welfare reduction initiatives, this plan prioritizes extensive chemical characterization before conducting complex in-vivo assays. Exhaustive extractable and leachable (E&amp;L) analytical sequences will be conducted in accordance with ISO 10993-18 guidelines, exposing worst-case product surface footprints to a series of polar, semi-polar, and non-polar solvent configurations (e.g., Purified Water, Isopropyl Alcohol, and Hexane):</w:t>
        <w:br/>
        <w:br/>
        <w:t>1. Volatile Organic Compounds (VOCs): Headspace Gas Chromatography-Mass Spectrometry (GC-MS) screening matrix.</w:t>
        <w:br/>
        <w:t>2. Semi-Volatile Organic Compounds (SVOCs): Direct injection GC-MS characterization following solvent evaporation steps.</w:t>
        <w:br/>
        <w:t>3. Non-Volatile Organic Compounds (NVOCs): High-Performance Liquid Chromatography-Mass Spectrometry (LC-MS) screening loops.</w:t>
        <w:br/>
        <w:t>4. Elemental Impurities / Heavy Metals: Inductively Coupled Plasma Mass Spectrometry (ICP-MS) to achieve parts-per-billion (ppb) absolute boundary quantification.</w:t>
        <w:br/>
        <w:br/>
        <w:t>All detected chemical peaks exceeding the analytical evaluation threshold (AET) must be formally evaluated by a board-certified toxicologist to calculate formal Margin of Safety (MoS) values against established Tolerable Intake (TI) thresholds.</w:t>
      </w:r>
    </w:p>
    <w:p>
      <w:pPr>
        <w:keepNext/>
        <w:spacing w:before="360" w:after="120"/>
      </w:pPr>
      <w:r>
        <w:rPr>
          <w:b/>
          <w:color w:val="1A365D"/>
          <w:sz w:val="28"/>
        </w:rPr>
        <w:t>7.0 Biocompatibility Testing Execution Framework</w:t>
      </w:r>
    </w:p>
    <w:p>
      <w:r>
        <w:t>The operational timeline to execute this biocompatibility compliance program is divided into three distinct, phase-gated milestones. Advancing across an individual phase gate requires formal review and authorization by the Validation Review Board:</w:t>
        <w:br/>
        <w:br/>
        <w:t>Phase 1: Chemical Characterization &amp; Toxicological Assessment</w:t>
        <w:br/>
        <w:t>Manufacture representative worst-case device units, execute ISO 10993-18 E&amp;L studies, and perform an expert toxicological risk assessment on all isolated volatile, semi-volatile, and heavy metal chemical constituents.</w:t>
        <w:br/>
        <w:br/>
        <w:t>Phase 2: In-Vitro Biological Screening Gates</w:t>
        <w:br/>
        <w:t>Conduct ISO 10993-5 MEM elution cytotoxicity testing. If the device achieves a pass score (Grade &lt;= 2 reactivity), clearance is granted to activate downstream in-vivo testing frameworks.</w:t>
        <w:br/>
        <w:br/>
        <w:t>Phase 3: In-Vivo Verification and Local Tissue Tolerability</w:t>
        <w:br/>
        <w:t>Initiate required animal protocols (implantation, sensitization, and genotoxicity sequences) at an ISO 17025 accredited, GLP-compliant contract research center. Compile certified laboratory records into the technical documentation folder.</w:t>
      </w:r>
    </w:p>
    <w:p>
      <w:pPr>
        <w:keepNext/>
        <w:spacing w:before="360" w:after="120"/>
      </w:pPr>
      <w:r>
        <w:rPr>
          <w:b/>
          <w:color w:val="1A365D"/>
          <w:sz w:val="28"/>
        </w:rPr>
        <w:t>8.0 Associated References and Standards</w:t>
      </w:r>
    </w:p>
    <w:p>
      <w:r>
        <w:t>- ISO 10993-1:2018: Biological evaluation of medical devices - Part 1: Evaluation and testing within a risk management process</w:t>
        <w:br/>
        <w:t>- ISO 10993-5:2009: Biological evaluation of medical devices - Part 5: Tests for in vitro cytotoxicity</w:t>
        <w:br/>
        <w:t>- ISO 10993-18:2020: Biological evaluation of medical devices - Part 18: Chemical characterization of medical device materials within a risk management process</w:t>
        <w:br/>
        <w:t>- FDA Guidance for Industry: Use of International Standard ISO 10993-1 (September 2020)</w:t>
        <w:br/>
        <w:t>- SOP-RD-005: Design Controls and Technical File Architecture</w:t>
        <w:br/>
        <w:t>- SOP-QA-012: Process and Equipment Validation Framework</w:t>
      </w:r>
    </w:p>
    <w:p>
      <w:pPr>
        <w:keepNext/>
        <w:spacing w:before="360" w:after="120"/>
      </w:pPr>
      <w:r>
        <w:rPr>
          <w:b/>
          <w:color w:val="1A365D"/>
          <w:sz w:val="28"/>
        </w:rPr>
        <w:t>9.0 Revision History Log</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257"/>
        <w:gridCol w:w="2257"/>
        <w:gridCol w:w="2257"/>
        <w:gridCol w:w="2257"/>
      </w:tblGrid>
      <w:tr>
        <w:tc>
          <w:tcPr>
            <w:tcW w:type="dxa" w:w="2257"/>
            <w:shd w:fill="2B6CB0"/>
            <w:tcMar>
              <w:top w:w="100" w:type="dxa"/>
              <w:bottom w:w="100" w:type="dxa"/>
              <w:left w:w="150" w:type="dxa"/>
              <w:right w:w="150" w:type="dxa"/>
            </w:tcMar>
          </w:tcPr>
          <w:p>
            <w:r>
              <w:rPr>
                <w:b/>
                <w:color w:val="FFFFFF"/>
              </w:rPr>
              <w:t>Revision</w:t>
            </w:r>
          </w:p>
        </w:tc>
        <w:tc>
          <w:tcPr>
            <w:tcW w:type="dxa" w:w="2257"/>
            <w:shd w:fill="2B6CB0"/>
            <w:tcMar>
              <w:top w:w="100" w:type="dxa"/>
              <w:bottom w:w="100" w:type="dxa"/>
              <w:left w:w="150" w:type="dxa"/>
              <w:right w:w="150" w:type="dxa"/>
            </w:tcMar>
          </w:tcPr>
          <w:p>
            <w:r>
              <w:rPr>
                <w:b/>
                <w:color w:val="FFFFFF"/>
              </w:rPr>
              <w:t>Effective Date</w:t>
            </w:r>
          </w:p>
        </w:tc>
        <w:tc>
          <w:tcPr>
            <w:tcW w:type="dxa" w:w="2257"/>
            <w:shd w:fill="2B6CB0"/>
            <w:tcMar>
              <w:top w:w="100" w:type="dxa"/>
              <w:bottom w:w="100" w:type="dxa"/>
              <w:left w:w="150" w:type="dxa"/>
              <w:right w:w="150" w:type="dxa"/>
            </w:tcMar>
          </w:tcPr>
          <w:p>
            <w:r>
              <w:rPr>
                <w:b/>
                <w:color w:val="FFFFFF"/>
              </w:rPr>
              <w:t>Author / Originator</w:t>
            </w:r>
          </w:p>
        </w:tc>
        <w:tc>
          <w:tcPr>
            <w:tcW w:type="dxa" w:w="2257"/>
            <w:shd w:fill="2B6CB0"/>
            <w:tcMar>
              <w:top w:w="100" w:type="dxa"/>
              <w:bottom w:w="100" w:type="dxa"/>
              <w:left w:w="150" w:type="dxa"/>
              <w:right w:w="150" w:type="dxa"/>
            </w:tcMar>
          </w:tcPr>
          <w:p>
            <w:r>
              <w:rPr>
                <w:b/>
                <w:color w:val="FFFFFF"/>
              </w:rPr>
              <w:t>Detailed Description of Modifications</w:t>
            </w:r>
          </w:p>
        </w:tc>
      </w:tr>
      <w:tr>
        <w:tc>
          <w:tcPr>
            <w:tcW w:type="dxa" w:w="2257"/>
            <w:tcMar>
              <w:top w:w="100" w:type="dxa"/>
              <w:bottom w:w="100" w:type="dxa"/>
              <w:left w:w="150" w:type="dxa"/>
              <w:right w:w="150" w:type="dxa"/>
            </w:tcMar>
          </w:tcPr>
          <w:p>
            <w:r>
              <w:t>00</w:t>
            </w:r>
          </w:p>
        </w:tc>
        <w:tc>
          <w:tcPr>
            <w:tcW w:type="dxa" w:w="2257"/>
            <w:tcMar>
              <w:top w:w="100" w:type="dxa"/>
              <w:bottom w:w="100" w:type="dxa"/>
              <w:left w:w="150" w:type="dxa"/>
              <w:right w:w="150" w:type="dxa"/>
            </w:tcMar>
          </w:tcPr>
          <w:p>
            <w:r>
              <w:t>July 10, 2026</w:t>
            </w:r>
          </w:p>
        </w:tc>
        <w:tc>
          <w:tcPr>
            <w:tcW w:type="dxa" w:w="2257"/>
            <w:tcMar>
              <w:top w:w="100" w:type="dxa"/>
              <w:bottom w:w="100" w:type="dxa"/>
              <w:left w:w="150" w:type="dxa"/>
              <w:right w:w="150" w:type="dxa"/>
            </w:tcMar>
          </w:tcPr>
          <w:p>
            <w:r>
              <w:t>[Name], Toxicology QA</w:t>
            </w:r>
          </w:p>
        </w:tc>
        <w:tc>
          <w:tcPr>
            <w:tcW w:type="dxa" w:w="2257"/>
            <w:tcMar>
              <w:top w:w="100" w:type="dxa"/>
              <w:bottom w:w="100" w:type="dxa"/>
              <w:left w:w="150" w:type="dxa"/>
              <w:right w:w="150" w:type="dxa"/>
            </w:tcMar>
          </w:tcPr>
          <w:p>
            <w:r>
              <w:t>Initial baseline release of formalized Biological Evaluation Plan for regulatory technical documentation framework submission.</w:t>
            </w:r>
          </w:p>
        </w:tc>
      </w:tr>
    </w:tbl>
    <w:p>
      <w:r>
        <w:br w:type="page"/>
      </w:r>
    </w:p>
    <w:p>
      <w:pPr>
        <w:keepNext/>
        <w:spacing w:before="360" w:after="120"/>
      </w:pPr>
      <w:r>
        <w:rPr>
          <w:b/>
          <w:color w:val="1A365D"/>
          <w:sz w:val="28"/>
        </w:rPr>
        <w:t>10.0 Annexures</w:t>
      </w:r>
    </w:p>
    <w:p>
      <w:pPr>
        <w:keepNext/>
        <w:spacing w:before="240" w:after="80"/>
      </w:pPr>
      <w:r>
        <w:rPr>
          <w:b/>
          <w:color w:val="2B6CB0"/>
          <w:sz w:val="23"/>
        </w:rPr>
        <w:t>Annex A: Exaggerated Solvent Extraction Parameters Matrix</w:t>
      </w:r>
    </w:p>
    <w:p>
      <w:r>
        <w:t>To achieve a rigorous extractable profile that mimics extreme clinical wear conditions, the physical surface area parameters must be mapped to standardized fluid volumes in compliance with ISO 10993-12 guidelines. The physical extraction conditions are configured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257"/>
        <w:gridCol w:w="2257"/>
        <w:gridCol w:w="2257"/>
        <w:gridCol w:w="2257"/>
      </w:tblGrid>
      <w:tr>
        <w:tc>
          <w:tcPr>
            <w:tcW w:type="dxa" w:w="2257"/>
            <w:shd w:fill="2B6CB0"/>
            <w:tcMar>
              <w:top w:w="100" w:type="dxa"/>
              <w:bottom w:w="100" w:type="dxa"/>
              <w:left w:w="150" w:type="dxa"/>
              <w:right w:w="150" w:type="dxa"/>
            </w:tcMar>
          </w:tcPr>
          <w:p>
            <w:r>
              <w:rPr>
                <w:b/>
                <w:color w:val="FFFFFF"/>
              </w:rPr>
              <w:t>Solvent Extraction Vehicle</w:t>
            </w:r>
          </w:p>
        </w:tc>
        <w:tc>
          <w:tcPr>
            <w:tcW w:type="dxa" w:w="2257"/>
            <w:shd w:fill="2B6CB0"/>
            <w:tcMar>
              <w:top w:w="100" w:type="dxa"/>
              <w:bottom w:w="100" w:type="dxa"/>
              <w:left w:w="150" w:type="dxa"/>
              <w:right w:w="150" w:type="dxa"/>
            </w:tcMar>
          </w:tcPr>
          <w:p>
            <w:r>
              <w:rPr>
                <w:b/>
                <w:color w:val="FFFFFF"/>
              </w:rPr>
              <w:t>Chemical Polarity Classification</w:t>
            </w:r>
          </w:p>
        </w:tc>
        <w:tc>
          <w:tcPr>
            <w:tcW w:type="dxa" w:w="2257"/>
            <w:shd w:fill="2B6CB0"/>
            <w:tcMar>
              <w:top w:w="100" w:type="dxa"/>
              <w:bottom w:w="100" w:type="dxa"/>
              <w:left w:w="150" w:type="dxa"/>
              <w:right w:w="150" w:type="dxa"/>
            </w:tcMar>
          </w:tcPr>
          <w:p>
            <w:r>
              <w:rPr>
                <w:b/>
                <w:color w:val="FFFFFF"/>
              </w:rPr>
              <w:t>Dwell Temperature Threshold</w:t>
            </w:r>
          </w:p>
        </w:tc>
        <w:tc>
          <w:tcPr>
            <w:tcW w:type="dxa" w:w="2257"/>
            <w:shd w:fill="2B6CB0"/>
            <w:tcMar>
              <w:top w:w="100" w:type="dxa"/>
              <w:bottom w:w="100" w:type="dxa"/>
              <w:left w:w="150" w:type="dxa"/>
              <w:right w:w="150" w:type="dxa"/>
            </w:tcMar>
          </w:tcPr>
          <w:p>
            <w:r>
              <w:rPr>
                <w:b/>
                <w:color w:val="FFFFFF"/>
              </w:rPr>
              <w:t>Agitation Exposure Duration</w:t>
            </w:r>
          </w:p>
        </w:tc>
      </w:tr>
      <w:tr>
        <w:tc>
          <w:tcPr>
            <w:tcW w:type="dxa" w:w="2257"/>
            <w:tcMar>
              <w:top w:w="100" w:type="dxa"/>
              <w:bottom w:w="100" w:type="dxa"/>
              <w:left w:w="150" w:type="dxa"/>
              <w:right w:w="150" w:type="dxa"/>
            </w:tcMar>
            <w:shd w:fill="F7FAFC"/>
          </w:tcPr>
          <w:p>
            <w:r>
              <w:rPr>
                <w:b/>
              </w:rPr>
              <w:t>Purified Water (PW)</w:t>
            </w:r>
          </w:p>
        </w:tc>
        <w:tc>
          <w:tcPr>
            <w:tcW w:type="dxa" w:w="2257"/>
            <w:tcMar>
              <w:top w:w="100" w:type="dxa"/>
              <w:bottom w:w="100" w:type="dxa"/>
              <w:left w:w="150" w:type="dxa"/>
              <w:right w:w="150" w:type="dxa"/>
            </w:tcMar>
          </w:tcPr>
          <w:p>
            <w:r>
              <w:t>Polar Matrix</w:t>
            </w:r>
          </w:p>
        </w:tc>
        <w:tc>
          <w:tcPr>
            <w:tcW w:type="dxa" w:w="2257"/>
            <w:tcMar>
              <w:top w:w="100" w:type="dxa"/>
              <w:bottom w:w="100" w:type="dxa"/>
              <w:left w:w="150" w:type="dxa"/>
              <w:right w:w="150" w:type="dxa"/>
            </w:tcMar>
          </w:tcPr>
          <w:p>
            <w:r>
              <w:t>50 deg C</w:t>
            </w:r>
          </w:p>
        </w:tc>
        <w:tc>
          <w:tcPr>
            <w:tcW w:type="dxa" w:w="2257"/>
            <w:tcMar>
              <w:top w:w="100" w:type="dxa"/>
              <w:bottom w:w="100" w:type="dxa"/>
              <w:left w:w="150" w:type="dxa"/>
              <w:right w:w="150" w:type="dxa"/>
            </w:tcMar>
          </w:tcPr>
          <w:p>
            <w:r>
              <w:t>72 Continuous Hours</w:t>
            </w:r>
          </w:p>
        </w:tc>
      </w:tr>
      <w:tr>
        <w:tc>
          <w:tcPr>
            <w:tcW w:type="dxa" w:w="2257"/>
            <w:tcMar>
              <w:top w:w="100" w:type="dxa"/>
              <w:bottom w:w="100" w:type="dxa"/>
              <w:left w:w="150" w:type="dxa"/>
              <w:right w:w="150" w:type="dxa"/>
            </w:tcMar>
            <w:shd w:fill="F7FAFC"/>
          </w:tcPr>
          <w:p>
            <w:r>
              <w:rPr>
                <w:b/>
              </w:rPr>
              <w:t>Isopropyl Alcohol (IPA)</w:t>
            </w:r>
          </w:p>
        </w:tc>
        <w:tc>
          <w:tcPr>
            <w:tcW w:type="dxa" w:w="2257"/>
            <w:tcMar>
              <w:top w:w="100" w:type="dxa"/>
              <w:bottom w:w="100" w:type="dxa"/>
              <w:left w:w="150" w:type="dxa"/>
              <w:right w:w="150" w:type="dxa"/>
            </w:tcMar>
          </w:tcPr>
          <w:p>
            <w:r>
              <w:t>Semi-Polar Matrix</w:t>
            </w:r>
          </w:p>
        </w:tc>
        <w:tc>
          <w:tcPr>
            <w:tcW w:type="dxa" w:w="2257"/>
            <w:tcMar>
              <w:top w:w="100" w:type="dxa"/>
              <w:bottom w:w="100" w:type="dxa"/>
              <w:left w:w="150" w:type="dxa"/>
              <w:right w:w="150" w:type="dxa"/>
            </w:tcMar>
          </w:tcPr>
          <w:p>
            <w:r>
              <w:t>37 deg C</w:t>
            </w:r>
          </w:p>
        </w:tc>
        <w:tc>
          <w:tcPr>
            <w:tcW w:type="dxa" w:w="2257"/>
            <w:tcMar>
              <w:top w:w="100" w:type="dxa"/>
              <w:bottom w:w="100" w:type="dxa"/>
              <w:left w:w="150" w:type="dxa"/>
              <w:right w:w="150" w:type="dxa"/>
            </w:tcMar>
          </w:tcPr>
          <w:p>
            <w:r>
              <w:t>72 Continuous Hours</w:t>
            </w:r>
          </w:p>
        </w:tc>
      </w:tr>
      <w:tr>
        <w:tc>
          <w:tcPr>
            <w:tcW w:type="dxa" w:w="2257"/>
            <w:tcMar>
              <w:top w:w="100" w:type="dxa"/>
              <w:bottom w:w="100" w:type="dxa"/>
              <w:left w:w="150" w:type="dxa"/>
              <w:right w:w="150" w:type="dxa"/>
            </w:tcMar>
            <w:shd w:fill="F7FAFC"/>
          </w:tcPr>
          <w:p>
            <w:r>
              <w:rPr>
                <w:b/>
              </w:rPr>
              <w:t>n-Hexane Solvent</w:t>
            </w:r>
          </w:p>
        </w:tc>
        <w:tc>
          <w:tcPr>
            <w:tcW w:type="dxa" w:w="2257"/>
            <w:tcMar>
              <w:top w:w="100" w:type="dxa"/>
              <w:bottom w:w="100" w:type="dxa"/>
              <w:left w:w="150" w:type="dxa"/>
              <w:right w:w="150" w:type="dxa"/>
            </w:tcMar>
          </w:tcPr>
          <w:p>
            <w:r>
              <w:t>Non-Polar Matrix</w:t>
            </w:r>
          </w:p>
        </w:tc>
        <w:tc>
          <w:tcPr>
            <w:tcW w:type="dxa" w:w="2257"/>
            <w:tcMar>
              <w:top w:w="100" w:type="dxa"/>
              <w:bottom w:w="100" w:type="dxa"/>
              <w:left w:w="150" w:type="dxa"/>
              <w:right w:w="150" w:type="dxa"/>
            </w:tcMar>
          </w:tcPr>
          <w:p>
            <w:r>
              <w:t>37 deg C</w:t>
            </w:r>
          </w:p>
        </w:tc>
        <w:tc>
          <w:tcPr>
            <w:tcW w:type="dxa" w:w="2257"/>
            <w:tcMar>
              <w:top w:w="100" w:type="dxa"/>
              <w:bottom w:w="100" w:type="dxa"/>
              <w:left w:w="150" w:type="dxa"/>
              <w:right w:w="150" w:type="dxa"/>
            </w:tcMar>
          </w:tcPr>
          <w:p>
            <w:r>
              <w:t>72 Continuous Hours</w:t>
            </w:r>
          </w:p>
        </w:tc>
      </w:tr>
    </w:tbl>
    <w:p>
      <w:r>
        <w:br/>
      </w:r>
    </w:p>
    <w:p>
      <w:pPr>
        <w:keepNext/>
        <w:spacing w:before="240" w:after="80"/>
      </w:pPr>
      <w:r>
        <w:rPr>
          <w:b/>
          <w:color w:val="2B6CB0"/>
          <w:sz w:val="23"/>
        </w:rPr>
        <w:t>Annex B: Toxicological Risk Evaluation &amp; Threshold boundaries</w:t>
      </w:r>
    </w:p>
    <w:p>
      <w:r>
        <w:t>For all unknown extractable chemical compounds isolated during down-line GC-MS or LC-MS multi-solvent searches, a standardized toxicological screening mechanism must be enforced. If the cumulative absolute exposure remains below the designated threshold values defined by the Threshold of Regulation (TTC) model, full in-vivo system characterization may be bypassed based on formal risk justifications:</w:t>
        <w:br/>
        <w:br/>
        <w:t>1. Cramer Class I Chemical Entities (Low Toxicity Potential): Threshold limit fixed at 1800 micrograms per patient per day.</w:t>
        <w:br/>
        <w:t>2. Cramer Class II Chemical Entities (Moderate Toxicity Potential): Threshold limit fixed at 540 micrograms per patient per day.</w:t>
        <w:br/>
        <w:t>3. Cramer Class III Chemical Entities (High Toxicity Potential): Threshold limit fixed at 90 micrograms per patient per day.</w:t>
        <w:br/>
        <w:t>4. Special Cohort of Concern (Genotoxic / Carcinogenic Risks): Threshold limit strictly cap-managed at 1.5 micrograms per patient per day.</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6"/>
      </w:rPr>
      <w:t>CONFIDENTIAL &amp; PROPRIETARY | MEDICAL DEVICE QUALITY MANAGEMENT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rPr>
      <w:t>Doc ID: BEP-BIO-001 | Rev. 00 | ISO 10993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