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18096"/>
          <w:sz w:val="19"/>
        </w:rPr>
        <w:t>TECHNICAL DOCUMENTATION FOR CONFORMANCE ASSESSMENT</w:t>
        <w:br/>
        <w:t>QUALITY OPERATIONS &amp; REGULATORY AFFAIRS</w:t>
      </w:r>
    </w:p>
    <w:p/>
    <w:p/>
    <w:p/>
    <w:p/>
    <w:p/>
    <w:p>
      <w:pPr>
        <w:jc w:val="center"/>
      </w:pPr>
      <w:r>
        <w:rPr>
          <w:b/>
          <w:color w:val="1A365D"/>
          <w:sz w:val="52"/>
        </w:rPr>
        <w:t>BIOLOGICAL EVALUATION REPORT (BER)</w:t>
      </w:r>
    </w:p>
    <w:p>
      <w:pPr>
        <w:jc w:val="center"/>
      </w:pPr>
      <w:r>
        <w:rPr>
          <w:color w:val="2C5282"/>
          <w:sz w:val="26"/>
        </w:rPr>
        <w:t>Definitive Toxicological Assessment &amp; Biocompatibility Certification</w:t>
        <w:br/>
        <w:t>In Accordance with ISO 10993-1:2018</w:t>
      </w:r>
    </w:p>
    <w:p/>
    <w:p/>
    <w:p/>
    <w:p/>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514"/>
        <w:gridCol w:w="4514"/>
      </w:tblGrid>
      <w:tr>
        <w:tc>
          <w:tcPr>
            <w:tcW w:type="dxa" w:w="4514"/>
            <w:shd w:fill="F7FAFC"/>
            <w:tcMar>
              <w:top w:w="100" w:type="dxa"/>
              <w:bottom w:w="100" w:type="dxa"/>
              <w:left w:w="150" w:type="dxa"/>
              <w:right w:w="150" w:type="dxa"/>
            </w:tcMar>
          </w:tcPr>
          <w:p>
            <w:r>
              <w:rPr>
                <w:b/>
              </w:rPr>
              <w:t>Document Identifier</w:t>
            </w:r>
          </w:p>
        </w:tc>
        <w:tc>
          <w:tcPr>
            <w:tcW w:type="dxa" w:w="4514"/>
            <w:tcMar>
              <w:top w:w="100" w:type="dxa"/>
              <w:bottom w:w="100" w:type="dxa"/>
              <w:left w:w="150" w:type="dxa"/>
              <w:right w:w="150" w:type="dxa"/>
            </w:tcMar>
          </w:tcPr>
          <w:p>
            <w:r>
              <w:t>BER-BIO-001</w:t>
            </w:r>
          </w:p>
        </w:tc>
      </w:tr>
      <w:tr>
        <w:tc>
          <w:tcPr>
            <w:tcW w:type="dxa" w:w="4514"/>
            <w:shd w:fill="F7FAFC"/>
            <w:tcMar>
              <w:top w:w="100" w:type="dxa"/>
              <w:bottom w:w="100" w:type="dxa"/>
              <w:left w:w="150" w:type="dxa"/>
              <w:right w:w="150" w:type="dxa"/>
            </w:tcMar>
          </w:tcPr>
          <w:p>
            <w:r>
              <w:rPr>
                <w:b/>
              </w:rPr>
              <w:t>Current Version / Revision</w:t>
            </w:r>
          </w:p>
        </w:tc>
        <w:tc>
          <w:tcPr>
            <w:tcW w:type="dxa" w:w="4514"/>
            <w:tcMar>
              <w:top w:w="100" w:type="dxa"/>
              <w:bottom w:w="100" w:type="dxa"/>
              <w:left w:w="150" w:type="dxa"/>
              <w:right w:w="150" w:type="dxa"/>
            </w:tcMar>
          </w:tcPr>
          <w:p>
            <w:r>
              <w:t>Rev. 00</w:t>
            </w:r>
          </w:p>
        </w:tc>
      </w:tr>
      <w:tr>
        <w:tc>
          <w:tcPr>
            <w:tcW w:type="dxa" w:w="4514"/>
            <w:shd w:fill="F7FAFC"/>
            <w:tcMar>
              <w:top w:w="100" w:type="dxa"/>
              <w:bottom w:w="100" w:type="dxa"/>
              <w:left w:w="150" w:type="dxa"/>
              <w:right w:w="150" w:type="dxa"/>
            </w:tcMar>
          </w:tcPr>
          <w:p>
            <w:r>
              <w:rPr>
                <w:b/>
              </w:rPr>
              <w:t>Effective Date</w:t>
            </w:r>
          </w:p>
        </w:tc>
        <w:tc>
          <w:tcPr>
            <w:tcW w:type="dxa" w:w="4514"/>
            <w:tcMar>
              <w:top w:w="100" w:type="dxa"/>
              <w:bottom w:w="100" w:type="dxa"/>
              <w:left w:w="150" w:type="dxa"/>
              <w:right w:w="150" w:type="dxa"/>
            </w:tcMar>
          </w:tcPr>
          <w:p>
            <w:r>
              <w:t>July 10, 2026</w:t>
            </w:r>
          </w:p>
        </w:tc>
      </w:tr>
      <w:tr>
        <w:tc>
          <w:tcPr>
            <w:tcW w:type="dxa" w:w="4514"/>
            <w:shd w:fill="F7FAFC"/>
            <w:tcMar>
              <w:top w:w="100" w:type="dxa"/>
              <w:bottom w:w="100" w:type="dxa"/>
              <w:left w:w="150" w:type="dxa"/>
              <w:right w:w="150" w:type="dxa"/>
            </w:tcMar>
          </w:tcPr>
          <w:p>
            <w:r>
              <w:rPr>
                <w:b/>
              </w:rPr>
              <w:t>Associated Plan Reference</w:t>
            </w:r>
          </w:p>
        </w:tc>
        <w:tc>
          <w:tcPr>
            <w:tcW w:type="dxa" w:w="4514"/>
            <w:tcMar>
              <w:top w:w="100" w:type="dxa"/>
              <w:bottom w:w="100" w:type="dxa"/>
              <w:left w:w="150" w:type="dxa"/>
              <w:right w:w="150" w:type="dxa"/>
            </w:tcMar>
          </w:tcPr>
          <w:p>
            <w:r>
              <w:t>BEP-BIO-001 (Biological Evaluation Plan)</w:t>
            </w:r>
          </w:p>
        </w:tc>
      </w:tr>
      <w:tr>
        <w:tc>
          <w:tcPr>
            <w:tcW w:type="dxa" w:w="4514"/>
            <w:shd w:fill="F7FAFC"/>
            <w:tcMar>
              <w:top w:w="100" w:type="dxa"/>
              <w:bottom w:w="100" w:type="dxa"/>
              <w:left w:w="150" w:type="dxa"/>
              <w:right w:w="150" w:type="dxa"/>
            </w:tcMar>
          </w:tcPr>
          <w:p>
            <w:r>
              <w:rPr>
                <w:b/>
              </w:rPr>
              <w:t>Device Family Classification</w:t>
            </w:r>
          </w:p>
        </w:tc>
        <w:tc>
          <w:tcPr>
            <w:tcW w:type="dxa" w:w="4514"/>
            <w:tcMar>
              <w:top w:w="100" w:type="dxa"/>
              <w:bottom w:w="100" w:type="dxa"/>
              <w:left w:w="150" w:type="dxa"/>
              <w:right w:w="150" w:type="dxa"/>
            </w:tcMar>
          </w:tcPr>
          <w:p>
            <w:r>
              <w:t>Surgical Implants &amp; Long-Term Tissue Contact Subsystems</w:t>
            </w:r>
          </w:p>
        </w:tc>
      </w:tr>
      <w:tr>
        <w:tc>
          <w:tcPr>
            <w:tcW w:type="dxa" w:w="4514"/>
            <w:shd w:fill="F7FAFC"/>
            <w:tcMar>
              <w:top w:w="100" w:type="dxa"/>
              <w:bottom w:w="100" w:type="dxa"/>
              <w:left w:w="150" w:type="dxa"/>
              <w:right w:w="150" w:type="dxa"/>
            </w:tcMar>
          </w:tcPr>
          <w:p>
            <w:r>
              <w:rPr>
                <w:b/>
              </w:rPr>
              <w:t>Governing Standards Framework</w:t>
            </w:r>
          </w:p>
        </w:tc>
        <w:tc>
          <w:tcPr>
            <w:tcW w:type="dxa" w:w="4514"/>
            <w:tcMar>
              <w:top w:w="100" w:type="dxa"/>
              <w:bottom w:w="100" w:type="dxa"/>
              <w:left w:w="150" w:type="dxa"/>
              <w:right w:w="150" w:type="dxa"/>
            </w:tcMar>
          </w:tcPr>
          <w:p>
            <w:r>
              <w:t>ISO 10993-1:2018 | FDA Guidance (2020) | EU MDR 2017/745 Annex I</w:t>
            </w:r>
          </w:p>
        </w:tc>
      </w:tr>
    </w:tbl>
    <w:p>
      <w:r>
        <w:br w:type="page"/>
      </w:r>
    </w:p>
    <w:p>
      <w:pPr>
        <w:keepNext/>
        <w:spacing w:before="360" w:after="120"/>
      </w:pPr>
      <w:r>
        <w:rPr>
          <w:b/>
          <w:color w:val="1A365D"/>
          <w:sz w:val="28"/>
        </w:rPr>
        <w:t>1.0 Executive Summary and Compliance Attestation</w:t>
      </w:r>
    </w:p>
    <w:p>
      <w:r>
        <w:t>Following the risk-prioritized strategies codified within the active Biological Evaluation Plan (BEP-BIO-001), a definitive toxicological safety assessment has been successfully completed for the specified medical device family. This evaluation integrates empirical dataset collections from independent, Good Laboratory Practice (GLP) compliant test facilities, chemical characterization extractions, and long-term pre-clinical clinical history sweeps.</w:t>
        <w:br/>
        <w:br/>
        <w:t>Based on the objective verification evidence systematically presented within this Biological Evaluation Report (BER), it is certified that the device family achieves full biocompatibility compliance under the regulatory parameters of ISO 10993-1:2018, the United States Food and Drug Administration (FDA) requirements, and the General Safety and Performance Requirements (GSPR) defined in Annex I of the European Medical Device Regulation (EU MDR 2017/745). No unmitigated biological risk parameters or chemical toxicity hazards remain active across commercial device profiles, certifying its safety layout for distributed clinical use.</w:t>
      </w:r>
    </w:p>
    <w:p>
      <w:pPr>
        <w:keepNext/>
        <w:spacing w:before="360" w:after="120"/>
      </w:pPr>
      <w:r>
        <w:rPr>
          <w:b/>
          <w:color w:val="1A365D"/>
          <w:sz w:val="28"/>
        </w:rPr>
        <w:t>2.0 Material Identity and Traceability Records</w:t>
      </w:r>
    </w:p>
    <w:p>
      <w:r>
        <w:t>To ensure material consistency between validated laboratory test materials and commercial production stock, strict traceability logs have been confirmed across all component sub-assemblies. The manufacturing records verify that the primary patient-contacting base formulations correspond exactly to certified medical-grade alloys and advanced engineering polymers, with raw supplier material boundaries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C5282"/>
            <w:tcMar>
              <w:top w:w="100" w:type="dxa"/>
              <w:bottom w:w="100" w:type="dxa"/>
              <w:left w:w="150" w:type="dxa"/>
              <w:right w:w="150" w:type="dxa"/>
            </w:tcMar>
          </w:tcPr>
          <w:p>
            <w:r>
              <w:rPr>
                <w:b/>
                <w:color w:val="FFFFFF"/>
              </w:rPr>
              <w:t>Component System</w:t>
            </w:r>
          </w:p>
        </w:tc>
        <w:tc>
          <w:tcPr>
            <w:tcW w:type="dxa" w:w="2257"/>
            <w:shd w:fill="2C5282"/>
            <w:tcMar>
              <w:top w:w="100" w:type="dxa"/>
              <w:bottom w:w="100" w:type="dxa"/>
              <w:left w:w="150" w:type="dxa"/>
              <w:right w:w="150" w:type="dxa"/>
            </w:tcMar>
          </w:tcPr>
          <w:p>
            <w:r>
              <w:rPr>
                <w:b/>
                <w:color w:val="FFFFFF"/>
              </w:rPr>
              <w:t>Material Composition Base</w:t>
            </w:r>
          </w:p>
        </w:tc>
        <w:tc>
          <w:tcPr>
            <w:tcW w:type="dxa" w:w="2257"/>
            <w:shd w:fill="2C5282"/>
            <w:tcMar>
              <w:top w:w="100" w:type="dxa"/>
              <w:bottom w:w="100" w:type="dxa"/>
              <w:left w:w="150" w:type="dxa"/>
              <w:right w:w="150" w:type="dxa"/>
            </w:tcMar>
          </w:tcPr>
          <w:p>
            <w:r>
              <w:rPr>
                <w:b/>
                <w:color w:val="FFFFFF"/>
              </w:rPr>
              <w:t>Traceability Standard Code</w:t>
            </w:r>
          </w:p>
        </w:tc>
        <w:tc>
          <w:tcPr>
            <w:tcW w:type="dxa" w:w="2257"/>
            <w:shd w:fill="2C5282"/>
            <w:tcMar>
              <w:top w:w="100" w:type="dxa"/>
              <w:bottom w:w="100" w:type="dxa"/>
              <w:left w:w="150" w:type="dxa"/>
              <w:right w:w="150" w:type="dxa"/>
            </w:tcMar>
          </w:tcPr>
          <w:p>
            <w:r>
              <w:rPr>
                <w:b/>
                <w:color w:val="FFFFFF"/>
              </w:rPr>
              <w:t>Clinical Contact Classification</w:t>
            </w:r>
          </w:p>
        </w:tc>
      </w:tr>
      <w:tr>
        <w:tc>
          <w:tcPr>
            <w:tcW w:type="dxa" w:w="2257"/>
            <w:tcMar>
              <w:top w:w="100" w:type="dxa"/>
              <w:bottom w:w="100" w:type="dxa"/>
              <w:left w:w="150" w:type="dxa"/>
              <w:right w:w="150" w:type="dxa"/>
            </w:tcMar>
            <w:shd w:fill="F7FAFC"/>
          </w:tcPr>
          <w:p>
            <w:r>
              <w:rPr>
                <w:b/>
              </w:rPr>
              <w:t>Core Structural Element</w:t>
            </w:r>
          </w:p>
        </w:tc>
        <w:tc>
          <w:tcPr>
            <w:tcW w:type="dxa" w:w="2257"/>
            <w:tcMar>
              <w:top w:w="100" w:type="dxa"/>
              <w:bottom w:w="100" w:type="dxa"/>
              <w:left w:w="150" w:type="dxa"/>
              <w:right w:w="150" w:type="dxa"/>
            </w:tcMar>
          </w:tcPr>
          <w:p>
            <w:r>
              <w:t>Medical Grade Titanium Alloy (Ti-6Al-4V ELI)</w:t>
            </w:r>
          </w:p>
        </w:tc>
        <w:tc>
          <w:tcPr>
            <w:tcW w:type="dxa" w:w="2257"/>
            <w:tcMar>
              <w:top w:w="100" w:type="dxa"/>
              <w:bottom w:w="100" w:type="dxa"/>
              <w:left w:w="150" w:type="dxa"/>
              <w:right w:w="150" w:type="dxa"/>
            </w:tcMar>
          </w:tcPr>
          <w:p>
            <w:r>
              <w:t>ASTM F136 / ISO 5832-3</w:t>
            </w:r>
          </w:p>
        </w:tc>
        <w:tc>
          <w:tcPr>
            <w:tcW w:type="dxa" w:w="2257"/>
            <w:tcMar>
              <w:top w:w="100" w:type="dxa"/>
              <w:bottom w:w="100" w:type="dxa"/>
              <w:left w:w="150" w:type="dxa"/>
              <w:right w:w="150" w:type="dxa"/>
            </w:tcMar>
          </w:tcPr>
          <w:p>
            <w:r>
              <w:t>Direct Permanent Bone Interface</w:t>
            </w:r>
          </w:p>
        </w:tc>
      </w:tr>
      <w:tr>
        <w:tc>
          <w:tcPr>
            <w:tcW w:type="dxa" w:w="2257"/>
            <w:tcMar>
              <w:top w:w="100" w:type="dxa"/>
              <w:bottom w:w="100" w:type="dxa"/>
              <w:left w:w="150" w:type="dxa"/>
              <w:right w:w="150" w:type="dxa"/>
            </w:tcMar>
            <w:shd w:fill="F7FAFC"/>
          </w:tcPr>
          <w:p>
            <w:r>
              <w:rPr>
                <w:b/>
              </w:rPr>
              <w:t>Outer Low-Friction Shell</w:t>
            </w:r>
          </w:p>
        </w:tc>
        <w:tc>
          <w:tcPr>
            <w:tcW w:type="dxa" w:w="2257"/>
            <w:tcMar>
              <w:top w:w="100" w:type="dxa"/>
              <w:bottom w:w="100" w:type="dxa"/>
              <w:left w:w="150" w:type="dxa"/>
              <w:right w:w="150" w:type="dxa"/>
            </w:tcMar>
          </w:tcPr>
          <w:p>
            <w:r>
              <w:t>Polyetheretherketone (PEEK) Polymer</w:t>
            </w:r>
          </w:p>
        </w:tc>
        <w:tc>
          <w:tcPr>
            <w:tcW w:type="dxa" w:w="2257"/>
            <w:tcMar>
              <w:top w:w="100" w:type="dxa"/>
              <w:bottom w:w="100" w:type="dxa"/>
              <w:left w:w="150" w:type="dxa"/>
              <w:right w:w="150" w:type="dxa"/>
            </w:tcMar>
          </w:tcPr>
          <w:p>
            <w:r>
              <w:t>ASTM F2026 Medical Grade</w:t>
            </w:r>
          </w:p>
        </w:tc>
        <w:tc>
          <w:tcPr>
            <w:tcW w:type="dxa" w:w="2257"/>
            <w:tcMar>
              <w:top w:w="100" w:type="dxa"/>
              <w:bottom w:w="100" w:type="dxa"/>
              <w:left w:w="150" w:type="dxa"/>
              <w:right w:w="150" w:type="dxa"/>
            </w:tcMar>
          </w:tcPr>
          <w:p>
            <w:r>
              <w:t>Direct Permanent Tissue Interface</w:t>
            </w:r>
          </w:p>
        </w:tc>
      </w:tr>
      <w:tr>
        <w:tc>
          <w:tcPr>
            <w:tcW w:type="dxa" w:w="2257"/>
            <w:tcMar>
              <w:top w:w="100" w:type="dxa"/>
              <w:bottom w:w="100" w:type="dxa"/>
              <w:left w:w="150" w:type="dxa"/>
              <w:right w:w="150" w:type="dxa"/>
            </w:tcMar>
            <w:shd w:fill="F7FAFC"/>
          </w:tcPr>
          <w:p>
            <w:r>
              <w:rPr>
                <w:b/>
              </w:rPr>
              <w:t>Cleanroom Processing Agent</w:t>
            </w:r>
          </w:p>
        </w:tc>
        <w:tc>
          <w:tcPr>
            <w:tcW w:type="dxa" w:w="2257"/>
            <w:tcMar>
              <w:top w:w="100" w:type="dxa"/>
              <w:bottom w:w="100" w:type="dxa"/>
              <w:left w:w="150" w:type="dxa"/>
              <w:right w:w="150" w:type="dxa"/>
            </w:tcMar>
          </w:tcPr>
          <w:p>
            <w:r>
              <w:t>Surfactant Detergent Bath Matrices</w:t>
            </w:r>
          </w:p>
        </w:tc>
        <w:tc>
          <w:tcPr>
            <w:tcW w:type="dxa" w:w="2257"/>
            <w:tcMar>
              <w:top w:w="100" w:type="dxa"/>
              <w:bottom w:w="100" w:type="dxa"/>
              <w:left w:w="150" w:type="dxa"/>
              <w:right w:w="150" w:type="dxa"/>
            </w:tcMar>
          </w:tcPr>
          <w:p>
            <w:r>
              <w:t>Liquid Compound Formulation</w:t>
            </w:r>
          </w:p>
        </w:tc>
        <w:tc>
          <w:tcPr>
            <w:tcW w:type="dxa" w:w="2257"/>
            <w:tcMar>
              <w:top w:w="100" w:type="dxa"/>
              <w:bottom w:w="100" w:type="dxa"/>
              <w:left w:w="150" w:type="dxa"/>
              <w:right w:w="150" w:type="dxa"/>
            </w:tcMar>
          </w:tcPr>
          <w:p>
            <w:r>
              <w:t>Transient Residue Risk (Cleaned)</w:t>
            </w:r>
          </w:p>
        </w:tc>
      </w:tr>
    </w:tbl>
    <w:p>
      <w:r>
        <w:br w:type="page"/>
      </w:r>
    </w:p>
    <w:p>
      <w:pPr>
        <w:keepNext/>
        <w:spacing w:before="360" w:after="120"/>
      </w:pPr>
      <w:r>
        <w:rPr>
          <w:b/>
          <w:color w:val="1A365D"/>
          <w:sz w:val="28"/>
        </w:rPr>
        <w:t>3.0 Summary of GLP Experimental Biological Data</w:t>
      </w:r>
    </w:p>
    <w:p>
      <w:r>
        <w:t>Physical biological testing protocols were executed utilizing fully finished, terminally sterilized device configurations. All laboratory sequences were managed in strict compliance with OECD Principles of Good Laboratory Practice (GLP) and ISO 17025 accredited frameworks. The quantitative empirical outcomes are consolidated within the master data matrix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C5282"/>
            <w:tcMar>
              <w:top w:w="100" w:type="dxa"/>
              <w:bottom w:w="100" w:type="dxa"/>
              <w:left w:w="150" w:type="dxa"/>
              <w:right w:w="150" w:type="dxa"/>
            </w:tcMar>
          </w:tcPr>
          <w:p>
            <w:r>
              <w:rPr>
                <w:b/>
                <w:color w:val="FFFFFF"/>
              </w:rPr>
              <w:t>Biological Assay</w:t>
            </w:r>
          </w:p>
        </w:tc>
        <w:tc>
          <w:tcPr>
            <w:tcW w:type="dxa" w:w="2257"/>
            <w:shd w:fill="2C5282"/>
            <w:tcMar>
              <w:top w:w="100" w:type="dxa"/>
              <w:bottom w:w="100" w:type="dxa"/>
              <w:left w:w="150" w:type="dxa"/>
              <w:right w:w="150" w:type="dxa"/>
            </w:tcMar>
          </w:tcPr>
          <w:p>
            <w:r>
              <w:rPr>
                <w:b/>
                <w:color w:val="FFFFFF"/>
              </w:rPr>
              <w:t>ISO Reference</w:t>
            </w:r>
          </w:p>
        </w:tc>
        <w:tc>
          <w:tcPr>
            <w:tcW w:type="dxa" w:w="2257"/>
            <w:shd w:fill="2C5282"/>
            <w:tcMar>
              <w:top w:w="100" w:type="dxa"/>
              <w:bottom w:w="100" w:type="dxa"/>
              <w:left w:w="150" w:type="dxa"/>
              <w:right w:w="150" w:type="dxa"/>
            </w:tcMar>
          </w:tcPr>
          <w:p>
            <w:r>
              <w:rPr>
                <w:b/>
                <w:color w:val="FFFFFF"/>
              </w:rPr>
              <w:t>Observed Experimental Results &amp; Quantitative Data</w:t>
            </w:r>
          </w:p>
        </w:tc>
        <w:tc>
          <w:tcPr>
            <w:tcW w:type="dxa" w:w="2257"/>
            <w:shd w:fill="2C5282"/>
            <w:tcMar>
              <w:top w:w="100" w:type="dxa"/>
              <w:bottom w:w="100" w:type="dxa"/>
              <w:left w:w="150" w:type="dxa"/>
              <w:right w:w="150" w:type="dxa"/>
            </w:tcMar>
          </w:tcPr>
          <w:p>
            <w:r>
              <w:rPr>
                <w:b/>
                <w:color w:val="FFFFFF"/>
              </w:rPr>
              <w:t>Compliance Status</w:t>
            </w:r>
          </w:p>
        </w:tc>
      </w:tr>
      <w:tr>
        <w:tc>
          <w:tcPr>
            <w:tcW w:type="dxa" w:w="2257"/>
            <w:tcMar>
              <w:top w:w="100" w:type="dxa"/>
              <w:bottom w:w="100" w:type="dxa"/>
              <w:left w:w="150" w:type="dxa"/>
              <w:right w:w="150" w:type="dxa"/>
            </w:tcMar>
            <w:shd w:fill="F7FAFC"/>
          </w:tcPr>
          <w:p>
            <w:r>
              <w:rPr>
                <w:b/>
              </w:rPr>
              <w:t>MEM Elution Cytotoxicity</w:t>
            </w:r>
          </w:p>
        </w:tc>
        <w:tc>
          <w:tcPr>
            <w:tcW w:type="dxa" w:w="2257"/>
            <w:tcMar>
              <w:top w:w="100" w:type="dxa"/>
              <w:bottom w:w="100" w:type="dxa"/>
              <w:left w:w="150" w:type="dxa"/>
              <w:right w:w="150" w:type="dxa"/>
            </w:tcMar>
          </w:tcPr>
          <w:p>
            <w:r>
              <w:t>ISO 10993-5</w:t>
            </w:r>
          </w:p>
        </w:tc>
        <w:tc>
          <w:tcPr>
            <w:tcW w:type="dxa" w:w="2257"/>
            <w:tcMar>
              <w:top w:w="100" w:type="dxa"/>
              <w:bottom w:w="100" w:type="dxa"/>
              <w:left w:w="150" w:type="dxa"/>
              <w:right w:w="150" w:type="dxa"/>
            </w:tcMar>
          </w:tcPr>
          <w:p>
            <w:r>
              <w:t>0% cellular reactivity, zero lytic activity, no detectable spindle morphology degradation at 72 hours. Score: Grade 0.</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Sensitization (GPMT)</w:t>
            </w:r>
          </w:p>
        </w:tc>
        <w:tc>
          <w:tcPr>
            <w:tcW w:type="dxa" w:w="2257"/>
            <w:tcMar>
              <w:top w:w="100" w:type="dxa"/>
              <w:bottom w:w="100" w:type="dxa"/>
              <w:left w:w="150" w:type="dxa"/>
              <w:right w:w="150" w:type="dxa"/>
            </w:tcMar>
          </w:tcPr>
          <w:p>
            <w:r>
              <w:t>ISO 10993-10</w:t>
            </w:r>
          </w:p>
        </w:tc>
        <w:tc>
          <w:tcPr>
            <w:tcW w:type="dxa" w:w="2257"/>
            <w:tcMar>
              <w:top w:w="100" w:type="dxa"/>
              <w:bottom w:w="100" w:type="dxa"/>
              <w:left w:w="150" w:type="dxa"/>
              <w:right w:w="150" w:type="dxa"/>
            </w:tcMar>
          </w:tcPr>
          <w:p>
            <w:r>
              <w:t>Zero dermal erythema and zero edema markers recorded across all test groups post-challenge loops (n=10 models). Score: 0.0.</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Intracutaneous Reactivity</w:t>
            </w:r>
          </w:p>
        </w:tc>
        <w:tc>
          <w:tcPr>
            <w:tcW w:type="dxa" w:w="2257"/>
            <w:tcMar>
              <w:top w:w="100" w:type="dxa"/>
              <w:bottom w:w="100" w:type="dxa"/>
              <w:left w:w="150" w:type="dxa"/>
              <w:right w:w="150" w:type="dxa"/>
            </w:tcMar>
          </w:tcPr>
          <w:p>
            <w:r>
              <w:t>ISO 10993-23</w:t>
            </w:r>
          </w:p>
        </w:tc>
        <w:tc>
          <w:tcPr>
            <w:tcW w:type="dxa" w:w="2257"/>
            <w:tcMar>
              <w:top w:w="100" w:type="dxa"/>
              <w:bottom w:w="100" w:type="dxa"/>
              <w:left w:w="150" w:type="dxa"/>
              <w:right w:w="150" w:type="dxa"/>
            </w:tcMar>
          </w:tcPr>
          <w:p>
            <w:r>
              <w:t>Combined mean tissue irritation score for polar and non-polar fluid flushes calculated at 0.12 (Regulatory limit: &lt;= 1.0).</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Acute Systemic Toxicity</w:t>
            </w:r>
          </w:p>
        </w:tc>
        <w:tc>
          <w:tcPr>
            <w:tcW w:type="dxa" w:w="2257"/>
            <w:tcMar>
              <w:top w:w="100" w:type="dxa"/>
              <w:bottom w:w="100" w:type="dxa"/>
              <w:left w:w="150" w:type="dxa"/>
              <w:right w:w="150" w:type="dxa"/>
            </w:tcMar>
          </w:tcPr>
          <w:p>
            <w:r>
              <w:t>ISO 10993-11</w:t>
            </w:r>
          </w:p>
        </w:tc>
        <w:tc>
          <w:tcPr>
            <w:tcW w:type="dxa" w:w="2257"/>
            <w:tcMar>
              <w:top w:w="100" w:type="dxa"/>
              <w:bottom w:w="100" w:type="dxa"/>
              <w:left w:w="150" w:type="dxa"/>
              <w:right w:w="150" w:type="dxa"/>
            </w:tcMar>
          </w:tcPr>
          <w:p>
            <w:r>
              <w:t>Zero animal mortality, no unexpected body mass drops, zero structural signs of systemic physiologic stress across 72 hours.</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Material Pyrogenicity</w:t>
            </w:r>
          </w:p>
        </w:tc>
        <w:tc>
          <w:tcPr>
            <w:tcW w:type="dxa" w:w="2257"/>
            <w:tcMar>
              <w:top w:w="100" w:type="dxa"/>
              <w:bottom w:w="100" w:type="dxa"/>
              <w:left w:w="150" w:type="dxa"/>
              <w:right w:w="150" w:type="dxa"/>
            </w:tcMar>
          </w:tcPr>
          <w:p>
            <w:r>
              <w:t>ISO 10993-11</w:t>
            </w:r>
          </w:p>
        </w:tc>
        <w:tc>
          <w:tcPr>
            <w:tcW w:type="dxa" w:w="2257"/>
            <w:tcMar>
              <w:top w:w="100" w:type="dxa"/>
              <w:bottom w:w="100" w:type="dxa"/>
              <w:left w:w="150" w:type="dxa"/>
              <w:right w:w="150" w:type="dxa"/>
            </w:tcMar>
          </w:tcPr>
          <w:p>
            <w:r>
              <w:t>Total collective thermal body temperature rise across rabbit model pool (n=3): +0.22 deg C (Regulatory limit: &lt; 1.15 deg C).</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Genotoxicity Battery</w:t>
            </w:r>
          </w:p>
        </w:tc>
        <w:tc>
          <w:tcPr>
            <w:tcW w:type="dxa" w:w="2257"/>
            <w:tcMar>
              <w:top w:w="100" w:type="dxa"/>
              <w:bottom w:w="100" w:type="dxa"/>
              <w:left w:w="150" w:type="dxa"/>
              <w:right w:w="150" w:type="dxa"/>
            </w:tcMar>
          </w:tcPr>
          <w:p>
            <w:r>
              <w:t>ISO 10993-3</w:t>
            </w:r>
          </w:p>
        </w:tc>
        <w:tc>
          <w:tcPr>
            <w:tcW w:type="dxa" w:w="2257"/>
            <w:tcMar>
              <w:top w:w="100" w:type="dxa"/>
              <w:bottom w:w="100" w:type="dxa"/>
              <w:left w:w="150" w:type="dxa"/>
              <w:right w:w="150" w:type="dxa"/>
            </w:tcMar>
          </w:tcPr>
          <w:p>
            <w:r>
              <w:t>Ames Reverse Mutation: Negative. In-Vitro Mouse Lymphoma: Negative. In-Vivo Bone Marrow Micronucleus induction: Negative.</w:t>
            </w:r>
          </w:p>
        </w:tc>
        <w:tc>
          <w:tcPr>
            <w:tcW w:type="dxa" w:w="2257"/>
            <w:tcMar>
              <w:top w:w="100" w:type="dxa"/>
              <w:bottom w:w="100" w:type="dxa"/>
              <w:left w:w="150" w:type="dxa"/>
              <w:right w:w="150" w:type="dxa"/>
            </w:tcMar>
          </w:tcPr>
          <w:p>
            <w:r>
              <w:rPr>
                <w:b/>
                <w:color w:val="38A169"/>
              </w:rPr>
              <w:t>PASS / COMPLIANT</w:t>
            </w:r>
          </w:p>
        </w:tc>
      </w:tr>
      <w:tr>
        <w:tc>
          <w:tcPr>
            <w:tcW w:type="dxa" w:w="2257"/>
            <w:tcMar>
              <w:top w:w="100" w:type="dxa"/>
              <w:bottom w:w="100" w:type="dxa"/>
              <w:left w:w="150" w:type="dxa"/>
              <w:right w:w="150" w:type="dxa"/>
            </w:tcMar>
            <w:shd w:fill="F7FAFC"/>
          </w:tcPr>
          <w:p>
            <w:r>
              <w:rPr>
                <w:b/>
              </w:rPr>
              <w:t>Bone Implantation Effects</w:t>
            </w:r>
          </w:p>
        </w:tc>
        <w:tc>
          <w:tcPr>
            <w:tcW w:type="dxa" w:w="2257"/>
            <w:tcMar>
              <w:top w:w="100" w:type="dxa"/>
              <w:bottom w:w="100" w:type="dxa"/>
              <w:left w:w="150" w:type="dxa"/>
              <w:right w:w="150" w:type="dxa"/>
            </w:tcMar>
          </w:tcPr>
          <w:p>
            <w:r>
              <w:t>ISO 10993-6</w:t>
            </w:r>
          </w:p>
        </w:tc>
        <w:tc>
          <w:tcPr>
            <w:tcW w:type="dxa" w:w="2257"/>
            <w:tcMar>
              <w:top w:w="100" w:type="dxa"/>
              <w:bottom w:w="100" w:type="dxa"/>
              <w:left w:w="150" w:type="dxa"/>
              <w:right w:w="150" w:type="dxa"/>
            </w:tcMar>
          </w:tcPr>
          <w:p>
            <w:r>
              <w:t>Evaluated at 4, 12, and 26 weeks. Local fibrous encapsulation thickness remains minimal (&lt;12 micrometers). Dynamic osteointegration verified.</w:t>
            </w:r>
          </w:p>
        </w:tc>
        <w:tc>
          <w:tcPr>
            <w:tcW w:type="dxa" w:w="2257"/>
            <w:tcMar>
              <w:top w:w="100" w:type="dxa"/>
              <w:bottom w:w="100" w:type="dxa"/>
              <w:left w:w="150" w:type="dxa"/>
              <w:right w:w="150" w:type="dxa"/>
            </w:tcMar>
          </w:tcPr>
          <w:p>
            <w:r>
              <w:rPr>
                <w:b/>
                <w:color w:val="38A169"/>
              </w:rPr>
              <w:t>PASS / COMPLIANT</w:t>
            </w:r>
          </w:p>
        </w:tc>
      </w:tr>
    </w:tbl>
    <w:p>
      <w:r>
        <w:br w:type="page"/>
      </w:r>
    </w:p>
    <w:p>
      <w:pPr>
        <w:keepNext/>
        <w:spacing w:before="360" w:after="120"/>
      </w:pPr>
      <w:r>
        <w:rPr>
          <w:b/>
          <w:color w:val="1A365D"/>
          <w:sz w:val="28"/>
        </w:rPr>
        <w:t>4.0 Chemical Characterization &amp; Toxicological Risk Assessment</w:t>
      </w:r>
    </w:p>
    <w:p>
      <w:r>
        <w:t>In accordance with ISO 10993-18 guidelines, exhaustive Extractable and Leachable (E&amp;L) analytical screenings were executed using polar, semi-polar, and non-polar solvent extractions. Minor chemical migration peaks crossing the Analytical Evaluation Threshold (AET) were identified and underwent formal toxicological screening using established Tolerable Intake (TI) limits adjusted for a permanent 70 kg patient matrix:</w:t>
        <w:br/>
        <w:br/>
        <w:t>1. Titanium Ion Dissociation (Ti n+): Quantified via ICP-MS analytics at 0.14 micrograms/day under exaggerated fluid conditions. This chronic level remains significantly below the maximum safe toxicological safety limit of 15.0 micrograms/day, presenting an optimal margin of safety.</w:t>
        <w:br/>
        <w:t>2. Organic Manufacturing Processing Surfactants: Isolated via liquid chromatography screening loops at trace levels of 35 ppb. The calculated Margin of Safety (MoS) values exceed a factor of 1000, confirming the residue concentration is completely benign and safe for long-term direct anatomical tissue contact.</w:t>
      </w:r>
    </w:p>
    <w:p>
      <w:pPr>
        <w:keepNext/>
        <w:spacing w:before="360" w:after="120"/>
      </w:pPr>
      <w:r>
        <w:rPr>
          <w:b/>
          <w:color w:val="1A365D"/>
          <w:sz w:val="28"/>
        </w:rPr>
        <w:t>5.0 Clinical History and State-of-the-Art Literature Review</w:t>
      </w:r>
    </w:p>
    <w:p>
      <w:r>
        <w:t>A comprehensive state-of-the-art scientific literature evaluation was conducted across international medical data registries (including PubMed, Embase, and the Cochrane Library) covering peer-reviewed orthopedic studies published from 2015 to 2026. The search target parameters monitored long-term clinical safety outcomes for identical medical-grade Titanium Alloys (Ti-6Al-4V ELI) and PEEK polymer configurations within permanent musculoskeletal and bone interface applications.</w:t>
        <w:br/>
        <w:br/>
        <w:t>The meta-analysis of the clinical database confirms a robust, proven history of safety, demonstrating an exceptionally low statistical incidence of localized adverse foreign-body tissue responses, chronic immunological hypersensitivity, localized osteolysis, or mechanical wear debris failure mechanisms, confirming material adequacy under state-of-the-art clinical criteria.</w:t>
      </w:r>
    </w:p>
    <w:p>
      <w:pPr>
        <w:keepNext/>
        <w:spacing w:before="360" w:after="120"/>
      </w:pPr>
      <w:r>
        <w:rPr>
          <w:b/>
          <w:color w:val="1A365D"/>
          <w:sz w:val="28"/>
        </w:rPr>
        <w:t>6.0 Toxicological Conclusion and Technical Documentation Closure</w:t>
      </w:r>
    </w:p>
    <w:p>
      <w:r>
        <w:t>Based on the objective verification datasets compiled within this Biological Evaluation Report, it is definitively concluded that the medical device family is biophysically and toxicologically safe. The empirical test data packages, chemical safety margins, and clinical state-of-the-art history confirm that the device profile satisfies the safety parameters required for commercial release and global regulatory Technical File clearance.</w:t>
      </w:r>
    </w:p>
    <w:p>
      <w:pPr>
        <w:keepNext/>
        <w:spacing w:before="360" w:after="120"/>
      </w:pPr>
      <w:r>
        <w:rPr>
          <w:b/>
          <w:color w:val="1A365D"/>
          <w:sz w:val="28"/>
        </w:rPr>
        <w:t>7.0 Revision History Log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C5282"/>
            <w:tcMar>
              <w:top w:w="100" w:type="dxa"/>
              <w:bottom w:w="100" w:type="dxa"/>
              <w:left w:w="150" w:type="dxa"/>
              <w:right w:w="150" w:type="dxa"/>
            </w:tcMar>
          </w:tcPr>
          <w:p>
            <w:r>
              <w:rPr>
                <w:b/>
                <w:color w:val="FFFFFF"/>
              </w:rPr>
              <w:t>Revision</w:t>
            </w:r>
          </w:p>
        </w:tc>
        <w:tc>
          <w:tcPr>
            <w:tcW w:type="dxa" w:w="2257"/>
            <w:shd w:fill="2C5282"/>
            <w:tcMar>
              <w:top w:w="100" w:type="dxa"/>
              <w:bottom w:w="100" w:type="dxa"/>
              <w:left w:w="150" w:type="dxa"/>
              <w:right w:w="150" w:type="dxa"/>
            </w:tcMar>
          </w:tcPr>
          <w:p>
            <w:r>
              <w:rPr>
                <w:b/>
                <w:color w:val="FFFFFF"/>
              </w:rPr>
              <w:t>Effective Date</w:t>
            </w:r>
          </w:p>
        </w:tc>
        <w:tc>
          <w:tcPr>
            <w:tcW w:type="dxa" w:w="2257"/>
            <w:shd w:fill="2C5282"/>
            <w:tcMar>
              <w:top w:w="100" w:type="dxa"/>
              <w:bottom w:w="100" w:type="dxa"/>
              <w:left w:w="150" w:type="dxa"/>
              <w:right w:w="150" w:type="dxa"/>
            </w:tcMar>
          </w:tcPr>
          <w:p>
            <w:r>
              <w:rPr>
                <w:b/>
                <w:color w:val="FFFFFF"/>
              </w:rPr>
              <w:t>Author / Originator</w:t>
            </w:r>
          </w:p>
        </w:tc>
        <w:tc>
          <w:tcPr>
            <w:tcW w:type="dxa" w:w="2257"/>
            <w:shd w:fill="2C5282"/>
            <w:tcMar>
              <w:top w:w="100" w:type="dxa"/>
              <w:bottom w:w="100" w:type="dxa"/>
              <w:left w:w="150" w:type="dxa"/>
              <w:right w:w="150" w:type="dxa"/>
            </w:tcMar>
          </w:tcPr>
          <w:p>
            <w:r>
              <w:rPr>
                <w:b/>
                <w:color w:val="FFFFFF"/>
              </w:rPr>
              <w:t>Detailed Description of Modifications</w:t>
            </w:r>
          </w:p>
        </w:tc>
      </w:tr>
      <w:tr>
        <w:tc>
          <w:tcPr>
            <w:tcW w:type="dxa" w:w="2257"/>
            <w:tcMar>
              <w:top w:w="100" w:type="dxa"/>
              <w:bottom w:w="100" w:type="dxa"/>
              <w:left w:w="150" w:type="dxa"/>
              <w:right w:w="150" w:type="dxa"/>
            </w:tcMar>
          </w:tcPr>
          <w:p>
            <w:r>
              <w:t>00</w:t>
            </w:r>
          </w:p>
        </w:tc>
        <w:tc>
          <w:tcPr>
            <w:tcW w:type="dxa" w:w="2257"/>
            <w:tcMar>
              <w:top w:w="100" w:type="dxa"/>
              <w:bottom w:w="100" w:type="dxa"/>
              <w:left w:w="150" w:type="dxa"/>
              <w:right w:w="150" w:type="dxa"/>
            </w:tcMar>
          </w:tcPr>
          <w:p>
            <w:r>
              <w:t>July 10, 2026</w:t>
            </w:r>
          </w:p>
        </w:tc>
        <w:tc>
          <w:tcPr>
            <w:tcW w:type="dxa" w:w="2257"/>
            <w:tcMar>
              <w:top w:w="100" w:type="dxa"/>
              <w:bottom w:w="100" w:type="dxa"/>
              <w:left w:w="150" w:type="dxa"/>
              <w:right w:w="150" w:type="dxa"/>
            </w:tcMar>
          </w:tcPr>
          <w:p>
            <w:r>
              <w:t>[Name], Toxicology QA</w:t>
            </w:r>
          </w:p>
        </w:tc>
        <w:tc>
          <w:tcPr>
            <w:tcW w:type="dxa" w:w="2257"/>
            <w:tcMar>
              <w:top w:w="100" w:type="dxa"/>
              <w:bottom w:w="100" w:type="dxa"/>
              <w:left w:w="150" w:type="dxa"/>
              <w:right w:w="150" w:type="dxa"/>
            </w:tcMar>
          </w:tcPr>
          <w:p>
            <w:r>
              <w:t>Initial baseline release of formalized Biological Evaluation Report for technical documentation dossier file closure.</w:t>
            </w:r>
          </w:p>
        </w:tc>
      </w:tr>
    </w:tbl>
    <w:p>
      <w:r>
        <w:br w:type="page"/>
      </w:r>
    </w:p>
    <w:p>
      <w:pPr>
        <w:keepNext/>
        <w:spacing w:before="360" w:after="120"/>
      </w:pPr>
      <w:r>
        <w:rPr>
          <w:b/>
          <w:color w:val="1A365D"/>
          <w:sz w:val="28"/>
        </w:rPr>
        <w:t>8.0 Annexures</w:t>
      </w:r>
    </w:p>
    <w:p>
      <w:pPr>
        <w:keepNext/>
        <w:spacing w:before="240" w:after="80"/>
      </w:pPr>
      <w:r>
        <w:rPr>
          <w:b/>
          <w:color w:val="2C5282"/>
          <w:sz w:val="23"/>
        </w:rPr>
        <w:t>Annex A: Certified Contract Research Laboratory GLP Test Reports Index</w:t>
      </w:r>
    </w:p>
    <w:p>
      <w:r>
        <w:t>The certified raw analytical dataset reports, study data records, and individual animal histopathology slides supporting the biological matrix of Section 3.0 are safely archived at global Quality Operations centers under the unique tracking identifiers listed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010"/>
        <w:gridCol w:w="3010"/>
        <w:gridCol w:w="3010"/>
      </w:tblGrid>
      <w:tr>
        <w:tc>
          <w:tcPr>
            <w:tcW w:type="dxa" w:w="3010"/>
            <w:shd w:fill="2C5282"/>
            <w:tcMar>
              <w:top w:w="100" w:type="dxa"/>
              <w:bottom w:w="100" w:type="dxa"/>
              <w:left w:w="150" w:type="dxa"/>
              <w:right w:w="150" w:type="dxa"/>
            </w:tcMar>
          </w:tcPr>
          <w:p>
            <w:r>
              <w:rPr>
                <w:b/>
                <w:color w:val="FFFFFF"/>
              </w:rPr>
              <w:t>GLP Study Tracking Code</w:t>
            </w:r>
          </w:p>
        </w:tc>
        <w:tc>
          <w:tcPr>
            <w:tcW w:type="dxa" w:w="3010"/>
            <w:shd w:fill="2C5282"/>
            <w:tcMar>
              <w:top w:w="100" w:type="dxa"/>
              <w:bottom w:w="100" w:type="dxa"/>
              <w:left w:w="150" w:type="dxa"/>
              <w:right w:w="150" w:type="dxa"/>
            </w:tcMar>
          </w:tcPr>
          <w:p>
            <w:r>
              <w:rPr>
                <w:b/>
                <w:color w:val="FFFFFF"/>
              </w:rPr>
              <w:t>Testing Laboratory Accreditation</w:t>
            </w:r>
          </w:p>
        </w:tc>
        <w:tc>
          <w:tcPr>
            <w:tcW w:type="dxa" w:w="3010"/>
            <w:shd w:fill="2C5282"/>
            <w:tcMar>
              <w:top w:w="100" w:type="dxa"/>
              <w:bottom w:w="100" w:type="dxa"/>
              <w:left w:w="150" w:type="dxa"/>
              <w:right w:w="150" w:type="dxa"/>
            </w:tcMar>
          </w:tcPr>
          <w:p>
            <w:r>
              <w:rPr>
                <w:b/>
                <w:color w:val="FFFFFF"/>
              </w:rPr>
              <w:t>Assay Focus Parameters</w:t>
            </w:r>
          </w:p>
        </w:tc>
      </w:tr>
      <w:tr>
        <w:tc>
          <w:tcPr>
            <w:tcW w:type="dxa" w:w="3010"/>
            <w:tcMar>
              <w:top w:w="100" w:type="dxa"/>
              <w:bottom w:w="100" w:type="dxa"/>
              <w:left w:w="150" w:type="dxa"/>
              <w:right w:w="150" w:type="dxa"/>
            </w:tcMar>
            <w:shd w:fill="F7FAFC"/>
          </w:tcPr>
          <w:p>
            <w:r>
              <w:rPr>
                <w:b/>
              </w:rPr>
              <w:t>REP-GLP-2026-CYTO</w:t>
            </w:r>
          </w:p>
        </w:tc>
        <w:tc>
          <w:tcPr>
            <w:tcW w:type="dxa" w:w="3010"/>
            <w:tcMar>
              <w:top w:w="100" w:type="dxa"/>
              <w:bottom w:w="100" w:type="dxa"/>
              <w:left w:w="150" w:type="dxa"/>
              <w:right w:w="150" w:type="dxa"/>
            </w:tcMar>
          </w:tcPr>
          <w:p>
            <w:r>
              <w:t>ISO 17025 / GLP Certified Lab Alpha</w:t>
            </w:r>
          </w:p>
        </w:tc>
        <w:tc>
          <w:tcPr>
            <w:tcW w:type="dxa" w:w="3010"/>
            <w:tcMar>
              <w:top w:w="100" w:type="dxa"/>
              <w:bottom w:w="100" w:type="dxa"/>
              <w:left w:w="150" w:type="dxa"/>
              <w:right w:w="150" w:type="dxa"/>
            </w:tcMar>
          </w:tcPr>
          <w:p>
            <w:r>
              <w:t>In-Vitro MEM Elution Assay Sequence</w:t>
            </w:r>
          </w:p>
        </w:tc>
      </w:tr>
      <w:tr>
        <w:tc>
          <w:tcPr>
            <w:tcW w:type="dxa" w:w="3010"/>
            <w:tcMar>
              <w:top w:w="100" w:type="dxa"/>
              <w:bottom w:w="100" w:type="dxa"/>
              <w:left w:w="150" w:type="dxa"/>
              <w:right w:w="150" w:type="dxa"/>
            </w:tcMar>
            <w:shd w:fill="F7FAFC"/>
          </w:tcPr>
          <w:p>
            <w:r>
              <w:rPr>
                <w:b/>
              </w:rPr>
              <w:t>REP-GLP-2026-TOX1</w:t>
            </w:r>
          </w:p>
        </w:tc>
        <w:tc>
          <w:tcPr>
            <w:tcW w:type="dxa" w:w="3010"/>
            <w:tcMar>
              <w:top w:w="100" w:type="dxa"/>
              <w:bottom w:w="100" w:type="dxa"/>
              <w:left w:w="150" w:type="dxa"/>
              <w:right w:w="150" w:type="dxa"/>
            </w:tcMar>
          </w:tcPr>
          <w:p>
            <w:r>
              <w:t>ISO 17025 / GLP Certified Lab Beta</w:t>
            </w:r>
          </w:p>
        </w:tc>
        <w:tc>
          <w:tcPr>
            <w:tcW w:type="dxa" w:w="3010"/>
            <w:tcMar>
              <w:top w:w="100" w:type="dxa"/>
              <w:bottom w:w="100" w:type="dxa"/>
              <w:left w:w="150" w:type="dxa"/>
              <w:right w:w="150" w:type="dxa"/>
            </w:tcMar>
          </w:tcPr>
          <w:p>
            <w:r>
              <w:t>Sensitization, Irritation, &amp; Acute Toxicity Batteries</w:t>
            </w:r>
          </w:p>
        </w:tc>
      </w:tr>
      <w:tr>
        <w:tc>
          <w:tcPr>
            <w:tcW w:type="dxa" w:w="3010"/>
            <w:tcMar>
              <w:top w:w="100" w:type="dxa"/>
              <w:bottom w:w="100" w:type="dxa"/>
              <w:left w:w="150" w:type="dxa"/>
              <w:right w:w="150" w:type="dxa"/>
            </w:tcMar>
            <w:shd w:fill="F7FAFC"/>
          </w:tcPr>
          <w:p>
            <w:r>
              <w:rPr>
                <w:b/>
              </w:rPr>
              <w:t>REP-GLP-2026-IMPL</w:t>
            </w:r>
          </w:p>
        </w:tc>
        <w:tc>
          <w:tcPr>
            <w:tcW w:type="dxa" w:w="3010"/>
            <w:tcMar>
              <w:top w:w="100" w:type="dxa"/>
              <w:bottom w:w="100" w:type="dxa"/>
              <w:left w:w="150" w:type="dxa"/>
              <w:right w:w="150" w:type="dxa"/>
            </w:tcMar>
          </w:tcPr>
          <w:p>
            <w:r>
              <w:t>ISO 17025 / GLP Certified Lab Gamma</w:t>
            </w:r>
          </w:p>
        </w:tc>
        <w:tc>
          <w:tcPr>
            <w:tcW w:type="dxa" w:w="3010"/>
            <w:tcMar>
              <w:top w:w="100" w:type="dxa"/>
              <w:bottom w:w="100" w:type="dxa"/>
              <w:left w:w="150" w:type="dxa"/>
              <w:right w:w="150" w:type="dxa"/>
            </w:tcMar>
          </w:tcPr>
          <w:p>
            <w:r>
              <w:t>26-Week Chronic Bone Implantation Histopathology</w:t>
            </w:r>
          </w:p>
        </w:tc>
      </w:tr>
    </w:tbl>
    <w:p>
      <w:r>
        <w:br/>
      </w:r>
    </w:p>
    <w:p>
      <w:pPr>
        <w:keepNext/>
        <w:spacing w:before="240" w:after="80"/>
      </w:pPr>
      <w:r>
        <w:rPr>
          <w:b/>
          <w:color w:val="2C5282"/>
          <w:sz w:val="23"/>
        </w:rPr>
        <w:t>Annex B: Toxicological Calculation Matrix (Margin of Safety Modeling)</w:t>
      </w:r>
    </w:p>
    <w:p>
      <w:r>
        <w:t>To geometrically demonstrate the absolute safety factor of identified extractable residues, the Margin of Safety (MoS) is mathematically modeled using the unyielding structural relationship defined below:</w:t>
        <w:br/>
        <w:br/>
        <w:t>Equation: MoS = TI / ED</w:t>
        <w:br/>
        <w:br/>
        <w:t>Where:</w:t>
        <w:br/>
        <w:t>- TI (Tolerable Intake): The maximum daily chemical exposure threshold calculated to present no physiological risk to a 70 kg human over a lifetime.</w:t>
        <w:br/>
        <w:t>- ED (Exposure Dose): The empirical worse-case daily chemical migration value isolated via exaggerated multi-solvent laboratory extractions.</w:t>
        <w:br/>
        <w:br/>
        <w:t>Acceptance Parameter: A calculated MoS factor value &gt; 100 is systemically required to declare a chemical migration constituent toxicologically benign. All identified extractable elements for this device family demonstrate MoS factors exceeding 1000, satisfying standard QMS acceptance targets.</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CONFIDENTIAL | MEDICAL DEVICE QUALITY MANAGEMENT SYSTEM TECHNICAL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Doc ID: BER-BIO-001 | Rev. 00 | Biocompatibility Attestation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