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18096"/>
          <w:sz w:val="19"/>
        </w:rPr>
        <w:t>RISK MANAGEMENT SYSTEM INFRASTRUCTURE</w:t>
        <w:br/>
        <w:t>TECHNICAL MEDICAL DEVICE FILES</w:t>
      </w:r>
    </w:p>
    <w:p/>
    <w:p/>
    <w:p/>
    <w:p/>
    <w:p/>
    <w:p>
      <w:pPr>
        <w:jc w:val="center"/>
      </w:pPr>
      <w:r>
        <w:rPr>
          <w:b/>
          <w:color w:val="9B2C2C"/>
          <w:sz w:val="52"/>
        </w:rPr>
        <w:t>BIOLOGICAL RISK ASSESSMENT (BRA)</w:t>
      </w:r>
    </w:p>
    <w:p>
      <w:pPr>
        <w:jc w:val="center"/>
      </w:pPr>
      <w:r>
        <w:rPr>
          <w:color w:val="4A5568"/>
          <w:sz w:val="26"/>
        </w:rPr>
        <w:t>ISO 14971 Integrated Biological Hazard Analysis &amp; Mitigation Lifecycle</w:t>
        <w:br/>
        <w:t>Aligned with ISO 10993-1:2018 Risk Management Requirements</w:t>
      </w:r>
    </w:p>
    <w:p/>
    <w:p/>
    <w:p/>
    <w:p/>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4514"/>
        <w:gridCol w:w="4514"/>
      </w:tblGrid>
      <w:tr>
        <w:tc>
          <w:tcPr>
            <w:tcW w:type="dxa" w:w="4514"/>
            <w:shd w:fill="F7FAFC"/>
            <w:tcMar>
              <w:top w:w="100" w:type="dxa"/>
              <w:bottom w:w="100" w:type="dxa"/>
              <w:left w:w="150" w:type="dxa"/>
              <w:right w:w="150" w:type="dxa"/>
            </w:tcMar>
          </w:tcPr>
          <w:p>
            <w:r>
              <w:rPr>
                <w:b/>
              </w:rPr>
              <w:t>Document Identifier</w:t>
            </w:r>
          </w:p>
        </w:tc>
        <w:tc>
          <w:tcPr>
            <w:tcW w:type="dxa" w:w="4514"/>
            <w:tcMar>
              <w:top w:w="100" w:type="dxa"/>
              <w:bottom w:w="100" w:type="dxa"/>
              <w:left w:w="150" w:type="dxa"/>
              <w:right w:w="150" w:type="dxa"/>
            </w:tcMar>
          </w:tcPr>
          <w:p>
            <w:r>
              <w:t>BRA-BIO-001</w:t>
            </w:r>
          </w:p>
        </w:tc>
      </w:tr>
      <w:tr>
        <w:tc>
          <w:tcPr>
            <w:tcW w:type="dxa" w:w="4514"/>
            <w:shd w:fill="F7FAFC"/>
            <w:tcMar>
              <w:top w:w="100" w:type="dxa"/>
              <w:bottom w:w="100" w:type="dxa"/>
              <w:left w:w="150" w:type="dxa"/>
              <w:right w:w="150" w:type="dxa"/>
            </w:tcMar>
          </w:tcPr>
          <w:p>
            <w:r>
              <w:rPr>
                <w:b/>
              </w:rPr>
              <w:t>Current Version / Revision</w:t>
            </w:r>
          </w:p>
        </w:tc>
        <w:tc>
          <w:tcPr>
            <w:tcW w:type="dxa" w:w="4514"/>
            <w:tcMar>
              <w:top w:w="100" w:type="dxa"/>
              <w:bottom w:w="100" w:type="dxa"/>
              <w:left w:w="150" w:type="dxa"/>
              <w:right w:w="150" w:type="dxa"/>
            </w:tcMar>
          </w:tcPr>
          <w:p>
            <w:r>
              <w:t>Rev. 00</w:t>
            </w:r>
          </w:p>
        </w:tc>
      </w:tr>
      <w:tr>
        <w:tc>
          <w:tcPr>
            <w:tcW w:type="dxa" w:w="4514"/>
            <w:shd w:fill="F7FAFC"/>
            <w:tcMar>
              <w:top w:w="100" w:type="dxa"/>
              <w:bottom w:w="100" w:type="dxa"/>
              <w:left w:w="150" w:type="dxa"/>
              <w:right w:w="150" w:type="dxa"/>
            </w:tcMar>
          </w:tcPr>
          <w:p>
            <w:r>
              <w:rPr>
                <w:b/>
              </w:rPr>
              <w:t>Effective Date</w:t>
            </w:r>
          </w:p>
        </w:tc>
        <w:tc>
          <w:tcPr>
            <w:tcW w:type="dxa" w:w="4514"/>
            <w:tcMar>
              <w:top w:w="100" w:type="dxa"/>
              <w:bottom w:w="100" w:type="dxa"/>
              <w:left w:w="150" w:type="dxa"/>
              <w:right w:w="150" w:type="dxa"/>
            </w:tcMar>
          </w:tcPr>
          <w:p>
            <w:r>
              <w:t>July 10, 2026</w:t>
            </w:r>
          </w:p>
        </w:tc>
      </w:tr>
      <w:tr>
        <w:tc>
          <w:tcPr>
            <w:tcW w:type="dxa" w:w="4514"/>
            <w:shd w:fill="F7FAFC"/>
            <w:tcMar>
              <w:top w:w="100" w:type="dxa"/>
              <w:bottom w:w="100" w:type="dxa"/>
              <w:left w:w="150" w:type="dxa"/>
              <w:right w:w="150" w:type="dxa"/>
            </w:tcMar>
          </w:tcPr>
          <w:p>
            <w:r>
              <w:rPr>
                <w:b/>
              </w:rPr>
              <w:t>Risk File Horizon</w:t>
            </w:r>
          </w:p>
        </w:tc>
        <w:tc>
          <w:tcPr>
            <w:tcW w:type="dxa" w:w="4514"/>
            <w:tcMar>
              <w:top w:w="100" w:type="dxa"/>
              <w:bottom w:w="100" w:type="dxa"/>
              <w:left w:w="150" w:type="dxa"/>
              <w:right w:w="150" w:type="dxa"/>
            </w:tcMar>
          </w:tcPr>
          <w:p>
            <w:r>
              <w:t>Complete Product Lifecycle Family Profile</w:t>
            </w:r>
          </w:p>
        </w:tc>
      </w:tr>
      <w:tr>
        <w:tc>
          <w:tcPr>
            <w:tcW w:type="dxa" w:w="4514"/>
            <w:shd w:fill="F7FAFC"/>
            <w:tcMar>
              <w:top w:w="100" w:type="dxa"/>
              <w:bottom w:w="100" w:type="dxa"/>
              <w:left w:w="150" w:type="dxa"/>
              <w:right w:w="150" w:type="dxa"/>
            </w:tcMar>
          </w:tcPr>
          <w:p>
            <w:r>
              <w:rPr>
                <w:b/>
              </w:rPr>
              <w:t>Associated Data Anchors</w:t>
            </w:r>
          </w:p>
        </w:tc>
        <w:tc>
          <w:tcPr>
            <w:tcW w:type="dxa" w:w="4514"/>
            <w:tcMar>
              <w:top w:w="100" w:type="dxa"/>
              <w:bottom w:w="100" w:type="dxa"/>
              <w:left w:w="150" w:type="dxa"/>
              <w:right w:w="150" w:type="dxa"/>
            </w:tcMar>
          </w:tcPr>
          <w:p>
            <w:r>
              <w:t>BEP-BIO-001 (Plan) &amp; BER-BIO-001 (Report)</w:t>
            </w:r>
          </w:p>
        </w:tc>
      </w:tr>
      <w:tr>
        <w:tc>
          <w:tcPr>
            <w:tcW w:type="dxa" w:w="4514"/>
            <w:shd w:fill="F7FAFC"/>
            <w:tcMar>
              <w:top w:w="100" w:type="dxa"/>
              <w:bottom w:w="100" w:type="dxa"/>
              <w:left w:w="150" w:type="dxa"/>
              <w:right w:w="150" w:type="dxa"/>
            </w:tcMar>
          </w:tcPr>
          <w:p>
            <w:r>
              <w:rPr>
                <w:b/>
              </w:rPr>
              <w:t>Governing Regulatory Standards</w:t>
            </w:r>
          </w:p>
        </w:tc>
        <w:tc>
          <w:tcPr>
            <w:tcW w:type="dxa" w:w="4514"/>
            <w:tcMar>
              <w:top w:w="100" w:type="dxa"/>
              <w:bottom w:w="100" w:type="dxa"/>
              <w:left w:w="150" w:type="dxa"/>
              <w:right w:w="150" w:type="dxa"/>
            </w:tcMar>
          </w:tcPr>
          <w:p>
            <w:r>
              <w:t>ISO 14971:2019 | ISO 10993-1:2018 | EU MDR Annex I GSPR</w:t>
            </w:r>
          </w:p>
        </w:tc>
      </w:tr>
    </w:tbl>
    <w:p>
      <w:r>
        <w:br w:type="page"/>
      </w:r>
    </w:p>
    <w:p>
      <w:pPr>
        <w:keepNext/>
        <w:spacing w:before="360" w:after="120"/>
      </w:pPr>
      <w:r>
        <w:rPr>
          <w:b/>
          <w:color w:val="9B2C2C"/>
          <w:sz w:val="28"/>
        </w:rPr>
        <w:t>1.0 Introduction and Risk Architecture</w:t>
      </w:r>
    </w:p>
    <w:p>
      <w:r>
        <w:t>This Biological Risk Assessment (BRA) document establishes a comprehensive, systematic risk architecture to identify, evaluate, control, and monitor biological hazards associated with the medical device family. Operating as an integrated segment of the master product risk folder, this assessment fuses the lifecycle principles of ISO 14971:2019 with the biological testing frameworks mandated by ISO 10993-1:2018.</w:t>
        <w:br/>
        <w:br/>
        <w:t>The target objective is to analyze potential patient-contact hazards (such as toxic leaching, localized tissue inflammatory responses, and systemic mutations), assign objective pre-control risk index metrics, verify the implementation efficacy of quality control parameters established during manufacturing transfer gates, and verify that all residual biological risks are minimized to an acceptable level when balanced against verified clinical therapeutic benefits.</w:t>
      </w:r>
    </w:p>
    <w:p>
      <w:pPr>
        <w:keepNext/>
        <w:spacing w:before="360" w:after="120"/>
      </w:pPr>
      <w:r>
        <w:rPr>
          <w:b/>
          <w:color w:val="9B2C2C"/>
          <w:sz w:val="28"/>
        </w:rPr>
        <w:t>2.0 Risk Evaluation Scoring Methodology</w:t>
      </w:r>
    </w:p>
    <w:p>
      <w:r>
        <w:t>Biological risk severity profiles are mapped using quantitative evaluation matrices structured across two key operational axes: Probability of Occurrence of Harm (P) and Severity of Harm (S). Each evaluation index is graded on a standard 1 to 5 linear progression scale:</w:t>
        <w:br/>
        <w:br/>
        <w:t>- Probability (P) Criteria: 1 = Remote/Incredible; 2 = Low; 3 = Occasional; 4 = Probable; 5 = Frequent.</w:t>
        <w:br/>
        <w:t>- Severity (S) Clinical Impact: 1 = Negligible (transient discomfort); 2 = Minor (medically reversible minor reaction); 3 = Serious (tissue damage requiring clinical remediation); 4 = Critical (permanent life-altering tissue impairment); 5 = Catastrophic (patient death).</w:t>
        <w:br/>
        <w:br/>
        <w:t>The final Risk Index Number is derived via the geometric relationship: Risk (R) = Probability (P) x Severity (S). Risk Index values &lt;= 5 are formally classified as Acceptable. Scores from 6 to 10 represent Borderline Risk boundaries requiring active quality engineering process controls. Scores &gt;= 12 are unacceptable and dictate an immediate design freeze or technical structural replacement.</w:t>
      </w:r>
    </w:p>
    <w:p>
      <w:r>
        <w:br w:type="page"/>
      </w:r>
    </w:p>
    <w:p>
      <w:pPr>
        <w:keepNext/>
        <w:spacing w:before="360" w:after="120"/>
      </w:pPr>
      <w:r>
        <w:rPr>
          <w:b/>
          <w:color w:val="9B2C2C"/>
          <w:sz w:val="28"/>
        </w:rPr>
        <w:t>3.0 Biological Hazard Analysis and Control Matrix</w:t>
      </w:r>
    </w:p>
    <w:p>
      <w:r>
        <w:t>The cross-functional Risk Management Team evaluated a targeted series of biological hazard sequences associated with raw substrates, cleanroom processing residues, and down-line mechanical wear debris kinetics. The formalized risk evaluation matrix is detailed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505"/>
        <w:gridCol w:w="1505"/>
        <w:gridCol w:w="1505"/>
        <w:gridCol w:w="1505"/>
        <w:gridCol w:w="1505"/>
        <w:gridCol w:w="1505"/>
      </w:tblGrid>
      <w:tr>
        <w:tc>
          <w:tcPr>
            <w:tcW w:type="dxa" w:w="1505"/>
            <w:shd w:fill="9B2C2C"/>
            <w:tcMar>
              <w:top w:w="100" w:type="dxa"/>
              <w:bottom w:w="100" w:type="dxa"/>
              <w:left w:w="150" w:type="dxa"/>
              <w:right w:w="150" w:type="dxa"/>
            </w:tcMar>
          </w:tcPr>
          <w:p>
            <w:r>
              <w:rPr>
                <w:b/>
                <w:color w:val="FFFFFF"/>
              </w:rPr>
              <w:t>Biological Hazard Mode</w:t>
            </w:r>
          </w:p>
        </w:tc>
        <w:tc>
          <w:tcPr>
            <w:tcW w:type="dxa" w:w="1505"/>
            <w:shd w:fill="9B2C2C"/>
            <w:tcMar>
              <w:top w:w="100" w:type="dxa"/>
              <w:bottom w:w="100" w:type="dxa"/>
              <w:left w:w="150" w:type="dxa"/>
              <w:right w:w="150" w:type="dxa"/>
            </w:tcMar>
          </w:tcPr>
          <w:p>
            <w:r>
              <w:rPr>
                <w:b/>
                <w:color w:val="FFFFFF"/>
              </w:rPr>
              <w:t>Potential Source Cause</w:t>
            </w:r>
          </w:p>
        </w:tc>
        <w:tc>
          <w:tcPr>
            <w:tcW w:type="dxa" w:w="1505"/>
            <w:shd w:fill="9B2C2C"/>
            <w:tcMar>
              <w:top w:w="100" w:type="dxa"/>
              <w:bottom w:w="100" w:type="dxa"/>
              <w:left w:w="150" w:type="dxa"/>
              <w:right w:w="150" w:type="dxa"/>
            </w:tcMar>
          </w:tcPr>
          <w:p>
            <w:r>
              <w:rPr>
                <w:b/>
                <w:color w:val="FFFFFF"/>
              </w:rPr>
              <w:t>Pre-Control Risk Score (PxS=R)</w:t>
            </w:r>
          </w:p>
        </w:tc>
        <w:tc>
          <w:tcPr>
            <w:tcW w:type="dxa" w:w="1505"/>
            <w:shd w:fill="9B2C2C"/>
            <w:tcMar>
              <w:top w:w="100" w:type="dxa"/>
              <w:bottom w:w="100" w:type="dxa"/>
              <w:left w:w="150" w:type="dxa"/>
              <w:right w:w="150" w:type="dxa"/>
            </w:tcMar>
          </w:tcPr>
          <w:p>
            <w:r>
              <w:rPr>
                <w:b/>
                <w:color w:val="FFFFFF"/>
              </w:rPr>
              <w:t>Implemented Quality / Technical Controls</w:t>
            </w:r>
          </w:p>
        </w:tc>
        <w:tc>
          <w:tcPr>
            <w:tcW w:type="dxa" w:w="1505"/>
            <w:shd w:fill="9B2C2C"/>
            <w:tcMar>
              <w:top w:w="100" w:type="dxa"/>
              <w:bottom w:w="100" w:type="dxa"/>
              <w:left w:w="150" w:type="dxa"/>
              <w:right w:w="150" w:type="dxa"/>
            </w:tcMar>
          </w:tcPr>
          <w:p>
            <w:r>
              <w:rPr>
                <w:b/>
                <w:color w:val="FFFFFF"/>
              </w:rPr>
              <w:t>Post-Control Risk Score (PxS=R)</w:t>
            </w:r>
          </w:p>
        </w:tc>
        <w:tc>
          <w:tcPr>
            <w:tcW w:type="dxa" w:w="1505"/>
            <w:shd w:fill="9B2C2C"/>
            <w:tcMar>
              <w:top w:w="100" w:type="dxa"/>
              <w:bottom w:w="100" w:type="dxa"/>
              <w:left w:w="150" w:type="dxa"/>
              <w:right w:w="150" w:type="dxa"/>
            </w:tcMar>
          </w:tcPr>
          <w:p>
            <w:r>
              <w:rPr>
                <w:b/>
                <w:color w:val="FFFFFF"/>
              </w:rPr>
              <w:t>Acceptance Status</w:t>
            </w:r>
          </w:p>
        </w:tc>
      </w:tr>
      <w:tr>
        <w:tc>
          <w:tcPr>
            <w:tcW w:type="dxa" w:w="1505"/>
            <w:tcMar>
              <w:top w:w="100" w:type="dxa"/>
              <w:bottom w:w="100" w:type="dxa"/>
              <w:left w:w="150" w:type="dxa"/>
              <w:right w:w="150" w:type="dxa"/>
            </w:tcMar>
            <w:shd w:fill="F7FAFC"/>
          </w:tcPr>
          <w:p>
            <w:r>
              <w:rPr>
                <w:b/>
              </w:rPr>
              <w:t>Localized Cytotoxicity</w:t>
            </w:r>
          </w:p>
        </w:tc>
        <w:tc>
          <w:tcPr>
            <w:tcW w:type="dxa" w:w="1505"/>
            <w:tcMar>
              <w:top w:w="100" w:type="dxa"/>
              <w:bottom w:w="100" w:type="dxa"/>
              <w:left w:w="150" w:type="dxa"/>
              <w:right w:w="150" w:type="dxa"/>
            </w:tcMar>
          </w:tcPr>
          <w:p>
            <w:r>
              <w:t>Surfactant detergent or rinse residue remnants inside surface micro-pores.</w:t>
            </w:r>
          </w:p>
        </w:tc>
        <w:tc>
          <w:tcPr>
            <w:tcW w:type="dxa" w:w="1505"/>
            <w:tcMar>
              <w:top w:w="100" w:type="dxa"/>
              <w:bottom w:w="100" w:type="dxa"/>
              <w:left w:w="150" w:type="dxa"/>
              <w:right w:w="150" w:type="dxa"/>
            </w:tcMar>
          </w:tcPr>
          <w:p>
            <w:r>
              <w:t>3 x 3 = 9</w:t>
              <w:br/>
              <w:t>(Borderline Risk)</w:t>
            </w:r>
          </w:p>
        </w:tc>
        <w:tc>
          <w:tcPr>
            <w:tcW w:type="dxa" w:w="1505"/>
            <w:tcMar>
              <w:top w:w="100" w:type="dxa"/>
              <w:bottom w:w="100" w:type="dxa"/>
              <w:left w:w="150" w:type="dxa"/>
              <w:right w:w="150" w:type="dxa"/>
            </w:tcMar>
          </w:tcPr>
          <w:p>
            <w:r>
              <w:t>Validation of an automated ultrasonic chemical wash protocol and high-purity Purified Water flush line (&lt;1.3 uS/cm) per Cleaning SOP-MF-011 [cite: 19].</w:t>
            </w:r>
          </w:p>
        </w:tc>
        <w:tc>
          <w:tcPr>
            <w:tcW w:type="dxa" w:w="1505"/>
            <w:tcMar>
              <w:top w:w="100" w:type="dxa"/>
              <w:bottom w:w="100" w:type="dxa"/>
              <w:left w:w="150" w:type="dxa"/>
              <w:right w:w="150" w:type="dxa"/>
            </w:tcMar>
          </w:tcPr>
          <w:p>
            <w:r>
              <w:t>1 x 3 = 3</w:t>
            </w:r>
          </w:p>
        </w:tc>
        <w:tc>
          <w:tcPr>
            <w:tcW w:type="dxa" w:w="1505"/>
            <w:tcMar>
              <w:top w:w="100" w:type="dxa"/>
              <w:bottom w:w="100" w:type="dxa"/>
              <w:left w:w="150" w:type="dxa"/>
              <w:right w:w="150" w:type="dxa"/>
            </w:tcMar>
          </w:tcPr>
          <w:p>
            <w:r>
              <w:rPr>
                <w:b/>
                <w:color w:val="38A169"/>
              </w:rPr>
              <w:t>Acceptable</w:t>
            </w:r>
          </w:p>
        </w:tc>
      </w:tr>
      <w:tr>
        <w:tc>
          <w:tcPr>
            <w:tcW w:type="dxa" w:w="1505"/>
            <w:tcMar>
              <w:top w:w="100" w:type="dxa"/>
              <w:bottom w:w="100" w:type="dxa"/>
              <w:left w:w="150" w:type="dxa"/>
              <w:right w:w="150" w:type="dxa"/>
            </w:tcMar>
            <w:shd w:fill="F7FAFC"/>
          </w:tcPr>
          <w:p>
            <w:r>
              <w:rPr>
                <w:b/>
              </w:rPr>
              <w:t>Material Pyrogenicity</w:t>
            </w:r>
          </w:p>
        </w:tc>
        <w:tc>
          <w:tcPr>
            <w:tcW w:type="dxa" w:w="1505"/>
            <w:tcMar>
              <w:top w:w="100" w:type="dxa"/>
              <w:bottom w:w="100" w:type="dxa"/>
              <w:left w:w="150" w:type="dxa"/>
              <w:right w:w="150" w:type="dxa"/>
            </w:tcMar>
          </w:tcPr>
          <w:p>
            <w:r>
              <w:t>Endotoxin accumulation or chemical contaminants on raw components.</w:t>
            </w:r>
          </w:p>
        </w:tc>
        <w:tc>
          <w:tcPr>
            <w:tcW w:type="dxa" w:w="1505"/>
            <w:tcMar>
              <w:top w:w="100" w:type="dxa"/>
              <w:bottom w:w="100" w:type="dxa"/>
              <w:left w:w="150" w:type="dxa"/>
              <w:right w:w="150" w:type="dxa"/>
            </w:tcMar>
          </w:tcPr>
          <w:p>
            <w:r>
              <w:t>2 x 4 = 8</w:t>
              <w:br/>
              <w:t>(Borderline Risk)</w:t>
            </w:r>
          </w:p>
        </w:tc>
        <w:tc>
          <w:tcPr>
            <w:tcW w:type="dxa" w:w="1505"/>
            <w:tcMar>
              <w:top w:w="100" w:type="dxa"/>
              <w:bottom w:w="100" w:type="dxa"/>
              <w:left w:w="150" w:type="dxa"/>
              <w:right w:w="150" w:type="dxa"/>
            </w:tcMar>
          </w:tcPr>
          <w:p>
            <w:r>
              <w:t>Implementation of routine batch bioburden tracking and strict bacterial endotoxin release limit screenings (&lt;20 EU/device) per SOP-QA-014.</w:t>
            </w:r>
          </w:p>
        </w:tc>
        <w:tc>
          <w:tcPr>
            <w:tcW w:type="dxa" w:w="1505"/>
            <w:tcMar>
              <w:top w:w="100" w:type="dxa"/>
              <w:bottom w:w="100" w:type="dxa"/>
              <w:left w:w="150" w:type="dxa"/>
              <w:right w:w="150" w:type="dxa"/>
            </w:tcMar>
          </w:tcPr>
          <w:p>
            <w:r>
              <w:t>1 x 4 = 4</w:t>
            </w:r>
          </w:p>
        </w:tc>
        <w:tc>
          <w:tcPr>
            <w:tcW w:type="dxa" w:w="1505"/>
            <w:tcMar>
              <w:top w:w="100" w:type="dxa"/>
              <w:bottom w:w="100" w:type="dxa"/>
              <w:left w:w="150" w:type="dxa"/>
              <w:right w:w="150" w:type="dxa"/>
            </w:tcMar>
          </w:tcPr>
          <w:p>
            <w:r>
              <w:rPr>
                <w:b/>
                <w:color w:val="38A169"/>
              </w:rPr>
              <w:t>Acceptable</w:t>
            </w:r>
          </w:p>
        </w:tc>
      </w:tr>
      <w:tr>
        <w:tc>
          <w:tcPr>
            <w:tcW w:type="dxa" w:w="1505"/>
            <w:tcMar>
              <w:top w:w="100" w:type="dxa"/>
              <w:bottom w:w="100" w:type="dxa"/>
              <w:left w:w="150" w:type="dxa"/>
              <w:right w:w="150" w:type="dxa"/>
            </w:tcMar>
            <w:shd w:fill="F7FAFC"/>
          </w:tcPr>
          <w:p>
            <w:r>
              <w:rPr>
                <w:b/>
              </w:rPr>
              <w:t>Systemic Mutagenicity</w:t>
            </w:r>
          </w:p>
        </w:tc>
        <w:tc>
          <w:tcPr>
            <w:tcW w:type="dxa" w:w="1505"/>
            <w:tcMar>
              <w:top w:w="100" w:type="dxa"/>
              <w:bottom w:w="100" w:type="dxa"/>
              <w:left w:w="150" w:type="dxa"/>
              <w:right w:w="150" w:type="dxa"/>
            </w:tcMar>
          </w:tcPr>
          <w:p>
            <w:r>
              <w:t>Organic leachable outgassing from raw structural polymer compounds.</w:t>
            </w:r>
          </w:p>
        </w:tc>
        <w:tc>
          <w:tcPr>
            <w:tcW w:type="dxa" w:w="1505"/>
            <w:tcMar>
              <w:top w:w="100" w:type="dxa"/>
              <w:bottom w:w="100" w:type="dxa"/>
              <w:left w:w="150" w:type="dxa"/>
              <w:right w:w="150" w:type="dxa"/>
            </w:tcMar>
          </w:tcPr>
          <w:p>
            <w:r>
              <w:t>2 x 5 = 10</w:t>
              <w:br/>
              <w:t>(Borderline Risk)</w:t>
            </w:r>
          </w:p>
        </w:tc>
        <w:tc>
          <w:tcPr>
            <w:tcW w:type="dxa" w:w="1505"/>
            <w:tcMar>
              <w:top w:w="100" w:type="dxa"/>
              <w:bottom w:w="100" w:type="dxa"/>
              <w:left w:w="150" w:type="dxa"/>
              <w:right w:w="150" w:type="dxa"/>
            </w:tcMar>
          </w:tcPr>
          <w:p>
            <w:r>
              <w:t>Procurement of medical-grade resins from audited suppliers conforming to international standards (ASTM F2026 / ASTM F136) [cite: 29]. Verified via GC-MS.</w:t>
            </w:r>
          </w:p>
        </w:tc>
        <w:tc>
          <w:tcPr>
            <w:tcW w:type="dxa" w:w="1505"/>
            <w:tcMar>
              <w:top w:w="100" w:type="dxa"/>
              <w:bottom w:w="100" w:type="dxa"/>
              <w:left w:w="150" w:type="dxa"/>
              <w:right w:w="150" w:type="dxa"/>
            </w:tcMar>
          </w:tcPr>
          <w:p>
            <w:r>
              <w:t>1 x 5 = 5</w:t>
            </w:r>
          </w:p>
        </w:tc>
        <w:tc>
          <w:tcPr>
            <w:tcW w:type="dxa" w:w="1505"/>
            <w:tcMar>
              <w:top w:w="100" w:type="dxa"/>
              <w:bottom w:w="100" w:type="dxa"/>
              <w:left w:w="150" w:type="dxa"/>
              <w:right w:w="150" w:type="dxa"/>
            </w:tcMar>
          </w:tcPr>
          <w:p>
            <w:r>
              <w:rPr>
                <w:b/>
                <w:color w:val="38A169"/>
              </w:rPr>
              <w:t>Acceptable</w:t>
            </w:r>
          </w:p>
        </w:tc>
      </w:tr>
      <w:tr>
        <w:tc>
          <w:tcPr>
            <w:tcW w:type="dxa" w:w="1505"/>
            <w:tcMar>
              <w:top w:w="100" w:type="dxa"/>
              <w:bottom w:w="100" w:type="dxa"/>
              <w:left w:w="150" w:type="dxa"/>
              <w:right w:w="150" w:type="dxa"/>
            </w:tcMar>
            <w:shd w:fill="F7FAFC"/>
          </w:tcPr>
          <w:p>
            <w:r>
              <w:rPr>
                <w:b/>
              </w:rPr>
              <w:t>Chronic Inflammation</w:t>
            </w:r>
          </w:p>
        </w:tc>
        <w:tc>
          <w:tcPr>
            <w:tcW w:type="dxa" w:w="1505"/>
            <w:tcMar>
              <w:top w:w="100" w:type="dxa"/>
              <w:bottom w:w="100" w:type="dxa"/>
              <w:left w:w="150" w:type="dxa"/>
              <w:right w:w="150" w:type="dxa"/>
            </w:tcMar>
          </w:tcPr>
          <w:p>
            <w:r>
              <w:t>Mechanical wear debris breaking loose at movement interfaces over time.</w:t>
            </w:r>
          </w:p>
        </w:tc>
        <w:tc>
          <w:tcPr>
            <w:tcW w:type="dxa" w:w="1505"/>
            <w:tcMar>
              <w:top w:w="100" w:type="dxa"/>
              <w:bottom w:w="100" w:type="dxa"/>
              <w:left w:w="150" w:type="dxa"/>
              <w:right w:w="150" w:type="dxa"/>
            </w:tcMar>
          </w:tcPr>
          <w:p>
            <w:r>
              <w:t>3 x 3 = 9</w:t>
              <w:br/>
              <w:t>(Borderline Risk)</w:t>
            </w:r>
          </w:p>
        </w:tc>
        <w:tc>
          <w:tcPr>
            <w:tcW w:type="dxa" w:w="1505"/>
            <w:tcMar>
              <w:top w:w="100" w:type="dxa"/>
              <w:bottom w:w="100" w:type="dxa"/>
              <w:left w:w="150" w:type="dxa"/>
              <w:right w:w="150" w:type="dxa"/>
            </w:tcMar>
          </w:tcPr>
          <w:p>
            <w:r>
              <w:t>Finite Element Analysis optimizations to maximize surface hardness, combined with chronic 26-week bone implantation trials displaying minimal cell caps.</w:t>
            </w:r>
          </w:p>
        </w:tc>
        <w:tc>
          <w:tcPr>
            <w:tcW w:type="dxa" w:w="1505"/>
            <w:tcMar>
              <w:top w:w="100" w:type="dxa"/>
              <w:bottom w:w="100" w:type="dxa"/>
              <w:left w:w="150" w:type="dxa"/>
              <w:right w:w="150" w:type="dxa"/>
            </w:tcMar>
          </w:tcPr>
          <w:p>
            <w:r>
              <w:t>1 x 3 = 3</w:t>
            </w:r>
          </w:p>
        </w:tc>
        <w:tc>
          <w:tcPr>
            <w:tcW w:type="dxa" w:w="1505"/>
            <w:tcMar>
              <w:top w:w="100" w:type="dxa"/>
              <w:bottom w:w="100" w:type="dxa"/>
              <w:left w:w="150" w:type="dxa"/>
              <w:right w:w="150" w:type="dxa"/>
            </w:tcMar>
          </w:tcPr>
          <w:p>
            <w:r>
              <w:rPr>
                <w:b/>
                <w:color w:val="38A169"/>
              </w:rPr>
              <w:t>Acceptable</w:t>
            </w:r>
          </w:p>
        </w:tc>
      </w:tr>
    </w:tbl>
    <w:p>
      <w:r>
        <w:br w:type="page"/>
      </w:r>
    </w:p>
    <w:p>
      <w:pPr>
        <w:keepNext/>
        <w:spacing w:before="360" w:after="120"/>
      </w:pPr>
      <w:r>
        <w:rPr>
          <w:b/>
          <w:color w:val="9B2C2C"/>
          <w:sz w:val="28"/>
        </w:rPr>
        <w:t>4.0 Post-Market Risk Surveillance Loops</w:t>
      </w:r>
    </w:p>
    <w:p>
      <w:r>
        <w:t>In accordance with ISO 14971 continuous lifecycle principles, this biological risk file functions as a dynamic, living quality record. Real-world clinical data captured via the Post-Market Surveillance (PMS) system (SOP-RA-004) and the Complaint Handling module (SOP-QA-003) must be evaluated semi-annually against the baseline assumptions recorded within this risk profile.</w:t>
        <w:br/>
        <w:br/>
        <w:t>If post-market metrics or vigilance returns track any emergence of unpredicted localized tissue inflammation, chronic foreign-body hypersensitivity, or an increasing trend frequency for documented risk modes, this file shall be formally opened for risk iteration, and a systemic Corrective and Preventive Action (CAPA) tracking file (SOP-QA-006) will be immediately initiated.</w:t>
      </w:r>
    </w:p>
    <w:p>
      <w:pPr>
        <w:keepNext/>
        <w:spacing w:before="360" w:after="120"/>
      </w:pPr>
      <w:r>
        <w:rPr>
          <w:b/>
          <w:color w:val="9B2C2C"/>
          <w:sz w:val="28"/>
        </w:rPr>
        <w:t>5.0 Final Risk-Benefit Balance Statement</w:t>
      </w:r>
    </w:p>
    <w:p>
      <w:r>
        <w:t>A formal clinical assessment was conducted by an independent medical expert panel to evaluate the absolute balance between remaining residual biological risks and intended clinical therapeutic parameters. Given the critical mechanical stabilization and skeletal alignment outcomes provided by this device family in complex reconstructive orthopedic indications, and considering the extensive experimental GLP testing data (BER-BIO-001) proving that all leachable organic compounds and heavy metal concentrations remain beneath established toxicological safety boundaries, it is affirmatively declared that the device clinical benefits significantly outweigh all remaining residual biological risk indexes.</w:t>
      </w:r>
    </w:p>
    <w:p>
      <w:pPr>
        <w:keepNext/>
        <w:spacing w:before="360" w:after="120"/>
      </w:pPr>
      <w:r>
        <w:rPr>
          <w:b/>
          <w:color w:val="9B2C2C"/>
          <w:sz w:val="28"/>
        </w:rPr>
        <w:t>6.0 Associated Risk Management Subsystem Records</w:t>
      </w:r>
    </w:p>
    <w:p>
      <w:r>
        <w:t>- SOP-QA-007: Quality Management System Master Risk Program</w:t>
        <w:br/>
        <w:t>- BEP-BIO-001: Master Biological Evaluation Plan Document</w:t>
        <w:br/>
        <w:t>- BER-BIO-001: Definitive Biological Evaluation Report Certification</w:t>
        <w:br/>
        <w:t>- SOP-RA-004: Post-Market Surveillance System and Technical Tracking Logs</w:t>
      </w:r>
    </w:p>
    <w:p>
      <w:pPr>
        <w:keepNext/>
        <w:spacing w:before="360" w:after="120"/>
      </w:pPr>
      <w:r>
        <w:rPr>
          <w:b/>
          <w:color w:val="9B2C2C"/>
          <w:sz w:val="28"/>
        </w:rPr>
        <w:t>7.0 Revision History Log</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257"/>
        <w:gridCol w:w="2257"/>
        <w:gridCol w:w="2257"/>
        <w:gridCol w:w="2257"/>
      </w:tblGrid>
      <w:tr>
        <w:tc>
          <w:tcPr>
            <w:tcW w:type="dxa" w:w="2257"/>
            <w:shd w:fill="9B2C2C"/>
            <w:tcMar>
              <w:top w:w="100" w:type="dxa"/>
              <w:bottom w:w="100" w:type="dxa"/>
              <w:left w:w="150" w:type="dxa"/>
              <w:right w:w="150" w:type="dxa"/>
            </w:tcMar>
          </w:tcPr>
          <w:p>
            <w:r>
              <w:rPr>
                <w:b/>
                <w:color w:val="FFFFFF"/>
              </w:rPr>
              <w:t>Revision</w:t>
            </w:r>
          </w:p>
        </w:tc>
        <w:tc>
          <w:tcPr>
            <w:tcW w:type="dxa" w:w="2257"/>
            <w:shd w:fill="9B2C2C"/>
            <w:tcMar>
              <w:top w:w="100" w:type="dxa"/>
              <w:bottom w:w="100" w:type="dxa"/>
              <w:left w:w="150" w:type="dxa"/>
              <w:right w:w="150" w:type="dxa"/>
            </w:tcMar>
          </w:tcPr>
          <w:p>
            <w:r>
              <w:rPr>
                <w:b/>
                <w:color w:val="FFFFFF"/>
              </w:rPr>
              <w:t>Effective Date</w:t>
            </w:r>
          </w:p>
        </w:tc>
        <w:tc>
          <w:tcPr>
            <w:tcW w:type="dxa" w:w="2257"/>
            <w:shd w:fill="9B2C2C"/>
            <w:tcMar>
              <w:top w:w="100" w:type="dxa"/>
              <w:bottom w:w="100" w:type="dxa"/>
              <w:left w:w="150" w:type="dxa"/>
              <w:right w:w="150" w:type="dxa"/>
            </w:tcMar>
          </w:tcPr>
          <w:p>
            <w:r>
              <w:rPr>
                <w:b/>
                <w:color w:val="FFFFFF"/>
              </w:rPr>
              <w:t>Author / Originator</w:t>
            </w:r>
          </w:p>
        </w:tc>
        <w:tc>
          <w:tcPr>
            <w:tcW w:type="dxa" w:w="2257"/>
            <w:shd w:fill="9B2C2C"/>
            <w:tcMar>
              <w:top w:w="100" w:type="dxa"/>
              <w:bottom w:w="100" w:type="dxa"/>
              <w:left w:w="150" w:type="dxa"/>
              <w:right w:w="150" w:type="dxa"/>
            </w:tcMar>
          </w:tcPr>
          <w:p>
            <w:r>
              <w:rPr>
                <w:b/>
                <w:color w:val="FFFFFF"/>
              </w:rPr>
              <w:t>Detailed Description of Modifications</w:t>
            </w:r>
          </w:p>
        </w:tc>
      </w:tr>
      <w:tr>
        <w:tc>
          <w:tcPr>
            <w:tcW w:type="dxa" w:w="2257"/>
            <w:tcMar>
              <w:top w:w="100" w:type="dxa"/>
              <w:bottom w:w="100" w:type="dxa"/>
              <w:left w:w="150" w:type="dxa"/>
              <w:right w:w="150" w:type="dxa"/>
            </w:tcMar>
          </w:tcPr>
          <w:p>
            <w:r>
              <w:t>00</w:t>
            </w:r>
          </w:p>
        </w:tc>
        <w:tc>
          <w:tcPr>
            <w:tcW w:type="dxa" w:w="2257"/>
            <w:tcMar>
              <w:top w:w="100" w:type="dxa"/>
              <w:bottom w:w="100" w:type="dxa"/>
              <w:left w:w="150" w:type="dxa"/>
              <w:right w:w="150" w:type="dxa"/>
            </w:tcMar>
          </w:tcPr>
          <w:p>
            <w:r>
              <w:t>July 10, 2026</w:t>
            </w:r>
          </w:p>
        </w:tc>
        <w:tc>
          <w:tcPr>
            <w:tcW w:type="dxa" w:w="2257"/>
            <w:tcMar>
              <w:top w:w="100" w:type="dxa"/>
              <w:bottom w:w="100" w:type="dxa"/>
              <w:left w:w="150" w:type="dxa"/>
              <w:right w:w="150" w:type="dxa"/>
            </w:tcMar>
          </w:tcPr>
          <w:p>
            <w:r>
              <w:t>[Name], Risk Engineer</w:t>
            </w:r>
          </w:p>
        </w:tc>
        <w:tc>
          <w:tcPr>
            <w:tcW w:type="dxa" w:w="2257"/>
            <w:tcMar>
              <w:top w:w="100" w:type="dxa"/>
              <w:bottom w:w="100" w:type="dxa"/>
              <w:left w:w="150" w:type="dxa"/>
              <w:right w:w="150" w:type="dxa"/>
            </w:tcMar>
          </w:tcPr>
          <w:p>
            <w:r>
              <w:t>Initial baseline release of formalized Biological Risk Assessment file within the master product risk folder.</w:t>
            </w:r>
          </w:p>
        </w:tc>
      </w:tr>
    </w:tbl>
    <w:p>
      <w:r>
        <w:br w:type="page"/>
      </w:r>
    </w:p>
    <w:p>
      <w:pPr>
        <w:keepNext/>
        <w:spacing w:before="360" w:after="120"/>
      </w:pPr>
      <w:r>
        <w:rPr>
          <w:b/>
          <w:color w:val="9B2C2C"/>
          <w:sz w:val="28"/>
        </w:rPr>
        <w:t>8.0 Annexures</w:t>
      </w:r>
    </w:p>
    <w:p>
      <w:pPr>
        <w:keepNext/>
        <w:spacing w:before="240" w:after="80"/>
      </w:pPr>
      <w:r>
        <w:rPr>
          <w:b/>
          <w:color w:val="4A5568"/>
          <w:sz w:val="23"/>
        </w:rPr>
        <w:t>Annex A: Material Hazard Traceability Checklist</w:t>
      </w:r>
    </w:p>
    <w:p>
      <w:r>
        <w:t>To ensure every potential chemical, material, and manufacturing risk profile is addressed prior to technical file verification sign-off, the RMT must confirm completion of the risk characterization questions detailed below:</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010"/>
        <w:gridCol w:w="3010"/>
        <w:gridCol w:w="3010"/>
      </w:tblGrid>
      <w:tr>
        <w:tc>
          <w:tcPr>
            <w:tcW w:type="dxa" w:w="3010"/>
            <w:shd w:fill="9B2C2C"/>
            <w:tcMar>
              <w:top w:w="100" w:type="dxa"/>
              <w:bottom w:w="100" w:type="dxa"/>
              <w:left w:w="150" w:type="dxa"/>
              <w:right w:w="150" w:type="dxa"/>
            </w:tcMar>
          </w:tcPr>
          <w:p>
            <w:r>
              <w:rPr>
                <w:b/>
                <w:color w:val="FFFFFF"/>
              </w:rPr>
              <w:t>Risk Characterization Parameter Question</w:t>
            </w:r>
          </w:p>
        </w:tc>
        <w:tc>
          <w:tcPr>
            <w:tcW w:type="dxa" w:w="3010"/>
            <w:shd w:fill="9B2C2C"/>
            <w:tcMar>
              <w:top w:w="100" w:type="dxa"/>
              <w:bottom w:w="100" w:type="dxa"/>
              <w:left w:w="150" w:type="dxa"/>
              <w:right w:w="150" w:type="dxa"/>
            </w:tcMar>
          </w:tcPr>
          <w:p>
            <w:r>
              <w:rPr>
                <w:b/>
                <w:color w:val="FFFFFF"/>
              </w:rPr>
              <w:t>Addressed Location Profile</w:t>
            </w:r>
          </w:p>
        </w:tc>
        <w:tc>
          <w:tcPr>
            <w:tcW w:type="dxa" w:w="3010"/>
            <w:shd w:fill="9B2C2C"/>
            <w:tcMar>
              <w:top w:w="100" w:type="dxa"/>
              <w:bottom w:w="100" w:type="dxa"/>
              <w:left w:w="150" w:type="dxa"/>
              <w:right w:w="150" w:type="dxa"/>
            </w:tcMar>
          </w:tcPr>
          <w:p>
            <w:r>
              <w:rPr>
                <w:b/>
                <w:color w:val="FFFFFF"/>
              </w:rPr>
              <w:t>Verification Data Reference</w:t>
            </w:r>
          </w:p>
        </w:tc>
      </w:tr>
      <w:tr>
        <w:tc>
          <w:tcPr>
            <w:tcW w:type="dxa" w:w="3010"/>
            <w:tcMar>
              <w:top w:w="100" w:type="dxa"/>
              <w:bottom w:w="100" w:type="dxa"/>
              <w:left w:w="150" w:type="dxa"/>
              <w:right w:w="150" w:type="dxa"/>
            </w:tcMar>
            <w:shd w:fill="F7FAFC"/>
          </w:tcPr>
          <w:p>
            <w:r>
              <w:rPr>
                <w:b/>
              </w:rPr>
              <w:t>Are unknown extractable residues present above the AET limit?</w:t>
            </w:r>
          </w:p>
        </w:tc>
        <w:tc>
          <w:tcPr>
            <w:tcW w:type="dxa" w:w="3010"/>
            <w:tcMar>
              <w:top w:w="100" w:type="dxa"/>
              <w:bottom w:w="100" w:type="dxa"/>
              <w:left w:w="150" w:type="dxa"/>
              <w:right w:w="150" w:type="dxa"/>
            </w:tcMar>
          </w:tcPr>
          <w:p>
            <w:r>
              <w:t>Section 4.0 Assessment</w:t>
            </w:r>
          </w:p>
        </w:tc>
        <w:tc>
          <w:tcPr>
            <w:tcW w:type="dxa" w:w="3010"/>
            <w:tcMar>
              <w:top w:w="100" w:type="dxa"/>
              <w:bottom w:w="100" w:type="dxa"/>
              <w:left w:w="150" w:type="dxa"/>
              <w:right w:w="150" w:type="dxa"/>
            </w:tcMar>
          </w:tcPr>
          <w:p>
            <w:r>
              <w:t>ISO 10993-18 Gas Chromatography Testing Logs</w:t>
            </w:r>
          </w:p>
        </w:tc>
      </w:tr>
      <w:tr>
        <w:tc>
          <w:tcPr>
            <w:tcW w:type="dxa" w:w="3010"/>
            <w:tcMar>
              <w:top w:w="100" w:type="dxa"/>
              <w:bottom w:w="100" w:type="dxa"/>
              <w:left w:w="150" w:type="dxa"/>
              <w:right w:w="150" w:type="dxa"/>
            </w:tcMar>
            <w:shd w:fill="F7FAFC"/>
          </w:tcPr>
          <w:p>
            <w:r>
              <w:rPr>
                <w:b/>
              </w:rPr>
              <w:t>Does material geometry introduce cell entrapment or wear debris risks?</w:t>
            </w:r>
          </w:p>
        </w:tc>
        <w:tc>
          <w:tcPr>
            <w:tcW w:type="dxa" w:w="3010"/>
            <w:tcMar>
              <w:top w:w="100" w:type="dxa"/>
              <w:bottom w:w="100" w:type="dxa"/>
              <w:left w:w="150" w:type="dxa"/>
              <w:right w:w="150" w:type="dxa"/>
            </w:tcMar>
          </w:tcPr>
          <w:p>
            <w:r>
              <w:t>Section 3.0 Matrix Row 4</w:t>
            </w:r>
          </w:p>
        </w:tc>
        <w:tc>
          <w:tcPr>
            <w:tcW w:type="dxa" w:w="3010"/>
            <w:tcMar>
              <w:top w:w="100" w:type="dxa"/>
              <w:bottom w:w="100" w:type="dxa"/>
              <w:left w:w="150" w:type="dxa"/>
              <w:right w:w="150" w:type="dxa"/>
            </w:tcMar>
          </w:tcPr>
          <w:p>
            <w:r>
              <w:t>26-Week Animal Bone Implantation Micro-Slides</w:t>
            </w:r>
          </w:p>
        </w:tc>
      </w:tr>
      <w:tr>
        <w:tc>
          <w:tcPr>
            <w:tcW w:type="dxa" w:w="3010"/>
            <w:tcMar>
              <w:top w:w="100" w:type="dxa"/>
              <w:bottom w:w="100" w:type="dxa"/>
              <w:left w:w="150" w:type="dxa"/>
              <w:right w:w="150" w:type="dxa"/>
            </w:tcMar>
            <w:shd w:fill="F7FAFC"/>
          </w:tcPr>
          <w:p>
            <w:r>
              <w:rPr>
                <w:b/>
              </w:rPr>
              <w:t>Are manufacturing cleaning formulations fully removed below toxic limits?</w:t>
            </w:r>
          </w:p>
        </w:tc>
        <w:tc>
          <w:tcPr>
            <w:tcW w:type="dxa" w:w="3010"/>
            <w:tcMar>
              <w:top w:w="100" w:type="dxa"/>
              <w:bottom w:w="100" w:type="dxa"/>
              <w:left w:w="150" w:type="dxa"/>
              <w:right w:w="150" w:type="dxa"/>
            </w:tcMar>
          </w:tcPr>
          <w:p>
            <w:r>
              <w:t>Section 3.0 Matrix Row 1</w:t>
            </w:r>
          </w:p>
        </w:tc>
        <w:tc>
          <w:tcPr>
            <w:tcW w:type="dxa" w:w="3010"/>
            <w:tcMar>
              <w:top w:w="100" w:type="dxa"/>
              <w:bottom w:w="100" w:type="dxa"/>
              <w:left w:w="150" w:type="dxa"/>
              <w:right w:w="150" w:type="dxa"/>
            </w:tcMar>
          </w:tcPr>
          <w:p>
            <w:r>
              <w:t>Total Organic Carbon (TOC) Rinse Water Reports</w:t>
            </w:r>
          </w:p>
        </w:tc>
      </w:tr>
    </w:tbl>
    <w:p>
      <w:r>
        <w:br/>
      </w:r>
    </w:p>
    <w:p>
      <w:pPr>
        <w:keepNext/>
        <w:spacing w:before="240" w:after="80"/>
      </w:pPr>
      <w:r>
        <w:rPr>
          <w:b/>
          <w:color w:val="4A5568"/>
          <w:sz w:val="23"/>
        </w:rPr>
        <w:t>Annex B: Clinical Evaluation Safety Control References</w:t>
      </w:r>
    </w:p>
    <w:p>
      <w:r>
        <w:t>The clinical history, peer-reviewed database safety profiles, and active clinical trials utilized to confirm the post-control risk index acceptability parameters of Section 3.0 are mapped directly within the master Technical Documentation folder under the following sections:</w:t>
        <w:br/>
        <w:br/>
        <w:t>1. Clinical Evaluation Report (CER): Document ID: CER-ORTHO-2026, Section 4.2 (State-of-the-Art Material Safety Literature Benchmarks).</w:t>
        <w:br/>
        <w:t>2. Historical Complaint Metrics Audit: Log File: COMP-TREND-2025, reviewing over 150,000 distributed units of similar raw substrates globally, confirming an adverse tissue response frequency tracking beneath 0.002%, demonstrating a high safety index layout.</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CONFIDENTIAL | ISO 14971 INTEGRATED BIOLOGICAL RISK DOSSIER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Doc ID: BRA-BIO-001 | Rev. 00 | Biological Risk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6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