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DEC02" w14:textId="77777777" w:rsidR="003466CD" w:rsidRPr="00F203B8" w:rsidRDefault="00000000">
      <w:pPr>
        <w:jc w:val="center"/>
        <w:rPr>
          <w:rFonts w:ascii="Times New Roman" w:hAnsi="Times New Roman" w:cs="Times New Roman"/>
        </w:rPr>
      </w:pPr>
      <w:r w:rsidRPr="00F203B8">
        <w:rPr>
          <w:rFonts w:ascii="Times New Roman" w:hAnsi="Times New Roman" w:cs="Times New Roman"/>
          <w:b/>
          <w:sz w:val="32"/>
        </w:rPr>
        <w:t>INSTRUCTIONS FOR USE (IFU) TEMPLATE</w:t>
      </w:r>
    </w:p>
    <w:p w14:paraId="3253D35B" w14:textId="77777777" w:rsidR="003466CD" w:rsidRPr="00F203B8" w:rsidRDefault="00000000">
      <w:pPr>
        <w:spacing w:after="400"/>
        <w:jc w:val="center"/>
        <w:rPr>
          <w:rFonts w:ascii="Times New Roman" w:hAnsi="Times New Roman" w:cs="Times New Roman"/>
        </w:rPr>
      </w:pPr>
      <w:r w:rsidRPr="00F203B8">
        <w:rPr>
          <w:rFonts w:ascii="Times New Roman" w:hAnsi="Times New Roman" w:cs="Times New Roman"/>
          <w:i/>
          <w:sz w:val="20"/>
        </w:rPr>
        <w:t>Standard Corporate Quality Management System Document</w:t>
      </w:r>
      <w:r w:rsidRPr="00F203B8">
        <w:rPr>
          <w:rFonts w:ascii="Times New Roman" w:hAnsi="Times New Roman" w:cs="Times New Roman"/>
          <w:i/>
          <w:sz w:val="20"/>
        </w:rPr>
        <w:br/>
        <w:t>Document ID: QMS-IFU-XXXX | Revision: [X.X]</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2160"/>
        <w:gridCol w:w="2592"/>
        <w:gridCol w:w="2160"/>
        <w:gridCol w:w="2448"/>
      </w:tblGrid>
      <w:tr w:rsidR="003466CD" w:rsidRPr="00F203B8" w14:paraId="75DE233C" w14:textId="77777777">
        <w:trPr>
          <w:jc w:val="center"/>
        </w:trPr>
        <w:tc>
          <w:tcPr>
            <w:tcW w:w="2160" w:type="dxa"/>
            <w:shd w:val="clear" w:color="auto" w:fill="F2F5F8"/>
            <w:tcMar>
              <w:top w:w="100" w:type="dxa"/>
              <w:left w:w="150" w:type="dxa"/>
              <w:bottom w:w="100" w:type="dxa"/>
              <w:right w:w="150" w:type="dxa"/>
            </w:tcMar>
          </w:tcPr>
          <w:p w14:paraId="54E0209A" w14:textId="77777777" w:rsidR="003466CD" w:rsidRPr="00F203B8" w:rsidRDefault="00000000">
            <w:pPr>
              <w:rPr>
                <w:rFonts w:ascii="Times New Roman" w:hAnsi="Times New Roman" w:cs="Times New Roman"/>
              </w:rPr>
            </w:pPr>
            <w:r w:rsidRPr="00F203B8">
              <w:rPr>
                <w:rFonts w:ascii="Times New Roman" w:hAnsi="Times New Roman" w:cs="Times New Roman"/>
                <w:b/>
                <w:sz w:val="19"/>
              </w:rPr>
              <w:t>Device/System Family:</w:t>
            </w:r>
          </w:p>
        </w:tc>
        <w:tc>
          <w:tcPr>
            <w:tcW w:w="2592" w:type="dxa"/>
            <w:tcMar>
              <w:top w:w="100" w:type="dxa"/>
              <w:left w:w="150" w:type="dxa"/>
              <w:bottom w:w="100" w:type="dxa"/>
              <w:right w:w="150" w:type="dxa"/>
            </w:tcMar>
          </w:tcPr>
          <w:p w14:paraId="354F85EB" w14:textId="77777777" w:rsidR="003466CD" w:rsidRPr="00F203B8" w:rsidRDefault="00000000">
            <w:pPr>
              <w:rPr>
                <w:rFonts w:ascii="Times New Roman" w:hAnsi="Times New Roman" w:cs="Times New Roman"/>
              </w:rPr>
            </w:pPr>
            <w:r w:rsidRPr="00F203B8">
              <w:rPr>
                <w:rFonts w:ascii="Times New Roman" w:hAnsi="Times New Roman" w:cs="Times New Roman"/>
                <w:sz w:val="19"/>
              </w:rPr>
              <w:t>[Enter Medical Device Family Name]</w:t>
            </w:r>
          </w:p>
        </w:tc>
        <w:tc>
          <w:tcPr>
            <w:tcW w:w="2160" w:type="dxa"/>
            <w:shd w:val="clear" w:color="auto" w:fill="F2F5F8"/>
            <w:tcMar>
              <w:top w:w="100" w:type="dxa"/>
              <w:left w:w="150" w:type="dxa"/>
              <w:bottom w:w="100" w:type="dxa"/>
              <w:right w:w="150" w:type="dxa"/>
            </w:tcMar>
          </w:tcPr>
          <w:p w14:paraId="46D15745" w14:textId="77777777" w:rsidR="003466CD" w:rsidRPr="00F203B8" w:rsidRDefault="00000000">
            <w:pPr>
              <w:rPr>
                <w:rFonts w:ascii="Times New Roman" w:hAnsi="Times New Roman" w:cs="Times New Roman"/>
              </w:rPr>
            </w:pPr>
            <w:r w:rsidRPr="00F203B8">
              <w:rPr>
                <w:rFonts w:ascii="Times New Roman" w:hAnsi="Times New Roman" w:cs="Times New Roman"/>
                <w:b/>
                <w:sz w:val="19"/>
              </w:rPr>
              <w:t>Document Ref #:</w:t>
            </w:r>
          </w:p>
        </w:tc>
        <w:tc>
          <w:tcPr>
            <w:tcW w:w="2448" w:type="dxa"/>
            <w:tcMar>
              <w:top w:w="100" w:type="dxa"/>
              <w:left w:w="150" w:type="dxa"/>
              <w:bottom w:w="100" w:type="dxa"/>
              <w:right w:w="150" w:type="dxa"/>
            </w:tcMar>
          </w:tcPr>
          <w:p w14:paraId="680DD62B" w14:textId="77777777" w:rsidR="003466CD" w:rsidRPr="00F203B8" w:rsidRDefault="00000000">
            <w:pPr>
              <w:rPr>
                <w:rFonts w:ascii="Times New Roman" w:hAnsi="Times New Roman" w:cs="Times New Roman"/>
              </w:rPr>
            </w:pPr>
            <w:r w:rsidRPr="00F203B8">
              <w:rPr>
                <w:rFonts w:ascii="Times New Roman" w:hAnsi="Times New Roman" w:cs="Times New Roman"/>
                <w:sz w:val="19"/>
              </w:rPr>
              <w:t>IFU-XXX-YYYY</w:t>
            </w:r>
          </w:p>
        </w:tc>
      </w:tr>
      <w:tr w:rsidR="003466CD" w:rsidRPr="00F203B8" w14:paraId="3F13E778" w14:textId="77777777">
        <w:trPr>
          <w:jc w:val="center"/>
        </w:trPr>
        <w:tc>
          <w:tcPr>
            <w:tcW w:w="2160" w:type="dxa"/>
            <w:shd w:val="clear" w:color="auto" w:fill="F2F5F8"/>
            <w:tcMar>
              <w:top w:w="100" w:type="dxa"/>
              <w:left w:w="150" w:type="dxa"/>
              <w:bottom w:w="100" w:type="dxa"/>
              <w:right w:w="150" w:type="dxa"/>
            </w:tcMar>
          </w:tcPr>
          <w:p w14:paraId="65FA990D" w14:textId="77777777" w:rsidR="003466CD" w:rsidRPr="00F203B8" w:rsidRDefault="00000000">
            <w:pPr>
              <w:rPr>
                <w:rFonts w:ascii="Times New Roman" w:hAnsi="Times New Roman" w:cs="Times New Roman"/>
              </w:rPr>
            </w:pPr>
            <w:r w:rsidRPr="00F203B8">
              <w:rPr>
                <w:rFonts w:ascii="Times New Roman" w:hAnsi="Times New Roman" w:cs="Times New Roman"/>
                <w:b/>
                <w:sz w:val="19"/>
              </w:rPr>
              <w:t>Regulatory Scope:</w:t>
            </w:r>
          </w:p>
        </w:tc>
        <w:tc>
          <w:tcPr>
            <w:tcW w:w="2592" w:type="dxa"/>
            <w:tcMar>
              <w:top w:w="100" w:type="dxa"/>
              <w:left w:w="150" w:type="dxa"/>
              <w:bottom w:w="100" w:type="dxa"/>
              <w:right w:w="150" w:type="dxa"/>
            </w:tcMar>
          </w:tcPr>
          <w:p w14:paraId="59CE630F" w14:textId="77777777" w:rsidR="003466CD" w:rsidRPr="00F203B8" w:rsidRDefault="00000000">
            <w:pPr>
              <w:rPr>
                <w:rFonts w:ascii="Times New Roman" w:hAnsi="Times New Roman" w:cs="Times New Roman"/>
              </w:rPr>
            </w:pPr>
            <w:r w:rsidRPr="00F203B8">
              <w:rPr>
                <w:rFonts w:ascii="Segoe UI Symbol" w:hAnsi="Segoe UI Symbol" w:cs="Segoe UI Symbol"/>
                <w:sz w:val="19"/>
              </w:rPr>
              <w:t>☐</w:t>
            </w:r>
            <w:r w:rsidRPr="00F203B8">
              <w:rPr>
                <w:rFonts w:ascii="Times New Roman" w:hAnsi="Times New Roman" w:cs="Times New Roman"/>
                <w:sz w:val="19"/>
              </w:rPr>
              <w:t xml:space="preserve"> Class A  </w:t>
            </w:r>
            <w:r w:rsidRPr="00F203B8">
              <w:rPr>
                <w:rFonts w:ascii="Segoe UI Symbol" w:hAnsi="Segoe UI Symbol" w:cs="Segoe UI Symbol"/>
                <w:sz w:val="19"/>
              </w:rPr>
              <w:t>☐</w:t>
            </w:r>
            <w:r w:rsidRPr="00F203B8">
              <w:rPr>
                <w:rFonts w:ascii="Times New Roman" w:hAnsi="Times New Roman" w:cs="Times New Roman"/>
                <w:sz w:val="19"/>
              </w:rPr>
              <w:t xml:space="preserve"> Class B  </w:t>
            </w:r>
            <w:r w:rsidRPr="00F203B8">
              <w:rPr>
                <w:rFonts w:ascii="Segoe UI Symbol" w:hAnsi="Segoe UI Symbol" w:cs="Segoe UI Symbol"/>
                <w:sz w:val="19"/>
              </w:rPr>
              <w:t>☐</w:t>
            </w:r>
            <w:r w:rsidRPr="00F203B8">
              <w:rPr>
                <w:rFonts w:ascii="Times New Roman" w:hAnsi="Times New Roman" w:cs="Times New Roman"/>
                <w:sz w:val="19"/>
              </w:rPr>
              <w:t xml:space="preserve"> Class C  </w:t>
            </w:r>
            <w:r w:rsidRPr="00F203B8">
              <w:rPr>
                <w:rFonts w:ascii="Segoe UI Symbol" w:hAnsi="Segoe UI Symbol" w:cs="Segoe UI Symbol"/>
                <w:sz w:val="19"/>
              </w:rPr>
              <w:t>☐</w:t>
            </w:r>
            <w:r w:rsidRPr="00F203B8">
              <w:rPr>
                <w:rFonts w:ascii="Times New Roman" w:hAnsi="Times New Roman" w:cs="Times New Roman"/>
                <w:sz w:val="19"/>
              </w:rPr>
              <w:t xml:space="preserve"> Class D</w:t>
            </w:r>
          </w:p>
        </w:tc>
        <w:tc>
          <w:tcPr>
            <w:tcW w:w="2160" w:type="dxa"/>
            <w:shd w:val="clear" w:color="auto" w:fill="F2F5F8"/>
            <w:tcMar>
              <w:top w:w="100" w:type="dxa"/>
              <w:left w:w="150" w:type="dxa"/>
              <w:bottom w:w="100" w:type="dxa"/>
              <w:right w:w="150" w:type="dxa"/>
            </w:tcMar>
          </w:tcPr>
          <w:p w14:paraId="5DBB2065" w14:textId="77777777" w:rsidR="003466CD" w:rsidRPr="00F203B8" w:rsidRDefault="00000000">
            <w:pPr>
              <w:rPr>
                <w:rFonts w:ascii="Times New Roman" w:hAnsi="Times New Roman" w:cs="Times New Roman"/>
              </w:rPr>
            </w:pPr>
            <w:r w:rsidRPr="00F203B8">
              <w:rPr>
                <w:rFonts w:ascii="Times New Roman" w:hAnsi="Times New Roman" w:cs="Times New Roman"/>
                <w:b/>
                <w:sz w:val="19"/>
              </w:rPr>
              <w:t>Sterility Status:</w:t>
            </w:r>
          </w:p>
        </w:tc>
        <w:tc>
          <w:tcPr>
            <w:tcW w:w="2448" w:type="dxa"/>
            <w:tcMar>
              <w:top w:w="100" w:type="dxa"/>
              <w:left w:w="150" w:type="dxa"/>
              <w:bottom w:w="100" w:type="dxa"/>
              <w:right w:w="150" w:type="dxa"/>
            </w:tcMar>
          </w:tcPr>
          <w:p w14:paraId="6ED6BCBF" w14:textId="77777777" w:rsidR="003466CD" w:rsidRPr="00F203B8" w:rsidRDefault="00000000">
            <w:pPr>
              <w:rPr>
                <w:rFonts w:ascii="Times New Roman" w:hAnsi="Times New Roman" w:cs="Times New Roman"/>
              </w:rPr>
            </w:pPr>
            <w:r w:rsidRPr="00F203B8">
              <w:rPr>
                <w:rFonts w:ascii="Segoe UI Symbol" w:hAnsi="Segoe UI Symbol" w:cs="Segoe UI Symbol"/>
                <w:sz w:val="19"/>
              </w:rPr>
              <w:t>☐</w:t>
            </w:r>
            <w:r w:rsidRPr="00F203B8">
              <w:rPr>
                <w:rFonts w:ascii="Times New Roman" w:hAnsi="Times New Roman" w:cs="Times New Roman"/>
                <w:sz w:val="19"/>
              </w:rPr>
              <w:t xml:space="preserve"> Sterile (ETO)  </w:t>
            </w:r>
            <w:r w:rsidRPr="00F203B8">
              <w:rPr>
                <w:rFonts w:ascii="Segoe UI Symbol" w:hAnsi="Segoe UI Symbol" w:cs="Segoe UI Symbol"/>
                <w:sz w:val="19"/>
              </w:rPr>
              <w:t>☐</w:t>
            </w:r>
            <w:r w:rsidRPr="00F203B8">
              <w:rPr>
                <w:rFonts w:ascii="Times New Roman" w:hAnsi="Times New Roman" w:cs="Times New Roman"/>
                <w:sz w:val="19"/>
              </w:rPr>
              <w:t xml:space="preserve"> Non-Sterile</w:t>
            </w:r>
          </w:p>
        </w:tc>
      </w:tr>
    </w:tbl>
    <w:p w14:paraId="79A3B8A3" w14:textId="77777777" w:rsidR="003466CD" w:rsidRPr="00F203B8" w:rsidRDefault="003466CD">
      <w:pPr>
        <w:rPr>
          <w:rFonts w:ascii="Times New Roman" w:hAnsi="Times New Roman" w:cs="Times New Roman"/>
        </w:rPr>
      </w:pPr>
    </w:p>
    <w:p w14:paraId="18EF4173" w14:textId="77777777" w:rsidR="003466CD" w:rsidRPr="00F203B8" w:rsidRDefault="00000000">
      <w:pPr>
        <w:keepNext/>
        <w:spacing w:before="280" w:after="80"/>
        <w:rPr>
          <w:rFonts w:ascii="Times New Roman" w:hAnsi="Times New Roman" w:cs="Times New Roman"/>
        </w:rPr>
      </w:pPr>
      <w:r w:rsidRPr="00F203B8">
        <w:rPr>
          <w:rFonts w:ascii="Times New Roman" w:hAnsi="Times New Roman" w:cs="Times New Roman"/>
          <w:b/>
          <w:sz w:val="24"/>
        </w:rPr>
        <w:t>DEVICE DESCRIPTION</w:t>
      </w:r>
    </w:p>
    <w:p w14:paraId="2DAE928C"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[Provide an overall comprehensive statement describing the system/implants. Outline what components, fixation options, or variants are available within the individually packaged sterile system family. E.g., This system involves the use of individually packaged arthroscopic implants, fixation screws, anchors, washers, and specialized suture/tape materials.]</w:t>
      </w:r>
    </w:p>
    <w:p w14:paraId="1D38E06D"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[Detail the materials of construction. E.g., All implantable components are fabricated from Surgical Grade Titanium Alloy / Stainless Steel / PEEK and/or high-strength fibre suture elements, as applicable to the designated product code.]</w:t>
      </w:r>
    </w:p>
    <w:p w14:paraId="2A0667BA" w14:textId="77777777" w:rsidR="003466CD" w:rsidRPr="00F203B8" w:rsidRDefault="00000000">
      <w:pPr>
        <w:spacing w:after="60"/>
        <w:rPr>
          <w:rFonts w:ascii="Times New Roman" w:hAnsi="Times New Roman" w:cs="Times New Roman"/>
        </w:rPr>
      </w:pPr>
      <w:r w:rsidRPr="00F203B8">
        <w:rPr>
          <w:rFonts w:ascii="Times New Roman" w:hAnsi="Times New Roman" w:cs="Times New Roman"/>
          <w:b/>
          <w:sz w:val="20"/>
        </w:rPr>
        <w:t>[List specific implant family sub-groups, such as interference screws, adjustable button loops, staples, or washers].</w:t>
      </w:r>
      <w:r w:rsidRPr="00F203B8">
        <w:rPr>
          <w:rFonts w:ascii="Times New Roman" w:hAnsi="Times New Roman" w:cs="Times New Roman"/>
          <w:sz w:val="20"/>
        </w:rPr>
        <w:t xml:space="preserve">• Fixation / Anchor Components: </w:t>
      </w:r>
    </w:p>
    <w:p w14:paraId="52C611E7" w14:textId="77777777" w:rsidR="003466CD" w:rsidRPr="00F203B8" w:rsidRDefault="00000000">
      <w:pPr>
        <w:spacing w:after="60"/>
        <w:rPr>
          <w:rFonts w:ascii="Times New Roman" w:hAnsi="Times New Roman" w:cs="Times New Roman"/>
        </w:rPr>
      </w:pPr>
      <w:r w:rsidRPr="00F203B8">
        <w:rPr>
          <w:rFonts w:ascii="Times New Roman" w:hAnsi="Times New Roman" w:cs="Times New Roman"/>
          <w:b/>
          <w:sz w:val="20"/>
        </w:rPr>
        <w:t>[List soft-tissue elements, such as specific repair needles, high-strength structural tapes, or pre-loaded fiber assemblies].</w:t>
      </w:r>
      <w:r w:rsidRPr="00F203B8">
        <w:rPr>
          <w:rFonts w:ascii="Times New Roman" w:hAnsi="Times New Roman" w:cs="Times New Roman"/>
          <w:sz w:val="20"/>
        </w:rPr>
        <w:t xml:space="preserve">• Suture / Soft Tissue Repair Components: </w:t>
      </w:r>
    </w:p>
    <w:p w14:paraId="13A9A1C3" w14:textId="77777777" w:rsidR="003466CD" w:rsidRPr="00F203B8" w:rsidRDefault="00000000">
      <w:pPr>
        <w:keepNext/>
        <w:spacing w:before="280" w:after="80"/>
        <w:rPr>
          <w:rFonts w:ascii="Times New Roman" w:hAnsi="Times New Roman" w:cs="Times New Roman"/>
        </w:rPr>
      </w:pPr>
      <w:r w:rsidRPr="00F203B8">
        <w:rPr>
          <w:rFonts w:ascii="Times New Roman" w:hAnsi="Times New Roman" w:cs="Times New Roman"/>
          <w:b/>
          <w:sz w:val="24"/>
        </w:rPr>
        <w:t>INTENDED USE / PERFORMANCE</w:t>
      </w:r>
    </w:p>
    <w:p w14:paraId="6DAF7D52"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[State the clear intended clinical purpose of the system. E.g., The system is intended for use in specialized surgical procedures for the permanent or temporary fixation, stabilization, or repair of damaged cartilage, ligaments, tendons, or surrounding soft tissues within the specific anatomical joint region (e.g., knee, shoulder, or extremity reconstruction).]</w:t>
      </w:r>
    </w:p>
    <w:p w14:paraId="00679792"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[Describe clinical performance expectations. E.g., The device is intended to provide joint mechanical stability, support structural soft tissue healing, and mitigate localized pain metrics by repairing broken or structurally deficient soft tissue architectures where there is sufficient sound bone stock and surrounding native tissue to support the fixation anchors.]</w:t>
      </w:r>
    </w:p>
    <w:p w14:paraId="212E7B5B" w14:textId="77777777" w:rsidR="003466CD" w:rsidRPr="00F203B8" w:rsidRDefault="00000000">
      <w:pPr>
        <w:keepNext/>
        <w:spacing w:before="280" w:after="80"/>
        <w:rPr>
          <w:rFonts w:ascii="Times New Roman" w:hAnsi="Times New Roman" w:cs="Times New Roman"/>
        </w:rPr>
      </w:pPr>
      <w:r w:rsidRPr="00F203B8">
        <w:rPr>
          <w:rFonts w:ascii="Times New Roman" w:hAnsi="Times New Roman" w:cs="Times New Roman"/>
          <w:b/>
          <w:sz w:val="24"/>
        </w:rPr>
        <w:t>INDICATIONS FOR USE</w:t>
      </w:r>
    </w:p>
    <w:p w14:paraId="0F3F1832"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The device system family is indicated for the following specific clinical manifestations:</w:t>
      </w:r>
    </w:p>
    <w:p w14:paraId="028FF8A1"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Damaged or torn structural soft tissue architectures, including ligaments, tendons, cartilage matrices, or joint capsule structures within the target anatomy.</w:t>
      </w:r>
    </w:p>
    <w:p w14:paraId="6841F062"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Acute or chronic localized joint instability requiring dense mechanical ligament/tendon reconstruction or direct anchor fixation.</w:t>
      </w:r>
    </w:p>
    <w:p w14:paraId="44AFCCC6"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lastRenderedPageBreak/>
        <w:t>Specific tear modalities (e.g., structural ligament avulsions, partial or complete meniscal/labral tears) requiring specialized repair assemblies.</w:t>
      </w:r>
    </w:p>
    <w:p w14:paraId="274FAB5D" w14:textId="77777777" w:rsidR="003466CD" w:rsidRPr="00F203B8" w:rsidRDefault="00000000">
      <w:pPr>
        <w:spacing w:after="60"/>
        <w:rPr>
          <w:rFonts w:ascii="Times New Roman" w:hAnsi="Times New Roman" w:cs="Times New Roman"/>
        </w:rPr>
      </w:pPr>
      <w:r w:rsidRPr="00F203B8">
        <w:rPr>
          <w:rFonts w:ascii="Times New Roman" w:hAnsi="Times New Roman" w:cs="Times New Roman"/>
          <w:b/>
          <w:sz w:val="20"/>
        </w:rPr>
        <w:t>The device implants are designated for SINGLE USE ONLY. They must be handled and deployed strictly according to the validated surgical technique manual by a qualified, board-certified orthopedic or specialized surgeon.</w:t>
      </w:r>
      <w:r w:rsidRPr="00F203B8">
        <w:rPr>
          <w:rFonts w:ascii="Times New Roman" w:hAnsi="Times New Roman" w:cs="Times New Roman"/>
          <w:sz w:val="20"/>
        </w:rPr>
        <w:t xml:space="preserve">NOTE: </w:t>
      </w:r>
    </w:p>
    <w:p w14:paraId="366DC3AF" w14:textId="77777777" w:rsidR="003466CD" w:rsidRPr="00F203B8" w:rsidRDefault="00000000">
      <w:pPr>
        <w:keepNext/>
        <w:spacing w:before="280" w:after="80"/>
        <w:rPr>
          <w:rFonts w:ascii="Times New Roman" w:hAnsi="Times New Roman" w:cs="Times New Roman"/>
        </w:rPr>
      </w:pPr>
      <w:r w:rsidRPr="00F203B8">
        <w:rPr>
          <w:rFonts w:ascii="Times New Roman" w:hAnsi="Times New Roman" w:cs="Times New Roman"/>
          <w:b/>
          <w:sz w:val="24"/>
        </w:rPr>
        <w:t>CONTRAINDICATIONS</w:t>
      </w:r>
    </w:p>
    <w:p w14:paraId="2BF8F38E"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The presence of any of the following clinical conditions constitutes a strict contraindication for product deployment:</w:t>
      </w:r>
    </w:p>
    <w:p w14:paraId="08A46668"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Active local, systemic, or regional infectious manifestations at or adjacent to the target surgical site.</w:t>
      </w:r>
    </w:p>
    <w:p w14:paraId="25F952C3"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Compromised or poor native bone quality (e.g., advanced osteoporosis, extreme osteopenia, or local cystic formations) where secure, stable mechanical fixation of the implant anchor cannot be achieved.</w:t>
      </w:r>
    </w:p>
    <w:p w14:paraId="68E8D868"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Inadequate bone volume/stock, vascularity, or local native soft tissue thickness/condition to structurally support or anchor the device profile.</w:t>
      </w:r>
    </w:p>
    <w:p w14:paraId="47C2F841"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Known systemic neuromuscular disorders or progressive peripheral vascular disease in the affected limb, which severely compromises post-operative healing or long-term procedural success.</w:t>
      </w:r>
    </w:p>
    <w:p w14:paraId="1DBAB3BA"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Known hyper-sensitivity, chemical incompatibility, or documented allergic immune reactions to the raw materials used in the implant structure (e.g., Titanium alloys, Stainless steel, PEEK polymer, or polymer-based fibre suture matrices).</w:t>
      </w:r>
    </w:p>
    <w:p w14:paraId="1E8D9F71"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Severe, advanced multi-compartmental joint degeneration where simple arthroscopic structural repair or focal fixation yields no proven clinical benefit.</w:t>
      </w:r>
    </w:p>
    <w:p w14:paraId="3A2A86B8"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Patients unable or non-compliant with strict post-operative physical rehabilitation frameworks, loading parameters, or activity constraints.</w:t>
      </w:r>
    </w:p>
    <w:p w14:paraId="0C7F246D" w14:textId="77777777" w:rsidR="003466CD" w:rsidRPr="00F203B8" w:rsidRDefault="00000000">
      <w:pPr>
        <w:spacing w:after="60"/>
        <w:rPr>
          <w:rFonts w:ascii="Times New Roman" w:hAnsi="Times New Roman" w:cs="Times New Roman"/>
        </w:rPr>
      </w:pPr>
      <w:r w:rsidRPr="00F203B8">
        <w:rPr>
          <w:rFonts w:ascii="Times New Roman" w:hAnsi="Times New Roman" w:cs="Times New Roman"/>
          <w:b/>
          <w:sz w:val="20"/>
        </w:rPr>
        <w:t>Uncontrolled metabolic disorders such as diabetes mellitus do not present an absolute contraindication. However, due to heightened clinical risks of infection, localized micro-vascular deficiencies, and delayed soft-tissue/bone healing, the attending operating physician must carefully weigh the risk-to-benefit ratio prior to device implementation.</w:t>
      </w:r>
      <w:r w:rsidRPr="00F203B8">
        <w:rPr>
          <w:rFonts w:ascii="Times New Roman" w:hAnsi="Times New Roman" w:cs="Times New Roman"/>
          <w:sz w:val="20"/>
        </w:rPr>
        <w:t xml:space="preserve">NOTE ON DIABETES: </w:t>
      </w:r>
    </w:p>
    <w:p w14:paraId="04A52C70" w14:textId="77777777" w:rsidR="003466CD" w:rsidRPr="00F203B8" w:rsidRDefault="00000000">
      <w:pPr>
        <w:keepNext/>
        <w:spacing w:before="280" w:after="80"/>
        <w:rPr>
          <w:rFonts w:ascii="Times New Roman" w:hAnsi="Times New Roman" w:cs="Times New Roman"/>
        </w:rPr>
      </w:pPr>
      <w:r w:rsidRPr="00F203B8">
        <w:rPr>
          <w:rFonts w:ascii="Times New Roman" w:hAnsi="Times New Roman" w:cs="Times New Roman"/>
          <w:b/>
          <w:sz w:val="24"/>
        </w:rPr>
        <w:t>WARNINGS &amp; PRECAUTIONS</w:t>
      </w:r>
    </w:p>
    <w:p w14:paraId="4FA67910" w14:textId="77777777" w:rsidR="003466CD" w:rsidRPr="00F203B8" w:rsidRDefault="00000000">
      <w:pPr>
        <w:spacing w:after="60"/>
        <w:rPr>
          <w:rFonts w:ascii="Times New Roman" w:hAnsi="Times New Roman" w:cs="Times New Roman"/>
        </w:rPr>
      </w:pPr>
      <w:r w:rsidRPr="00F203B8">
        <w:rPr>
          <w:rFonts w:ascii="Times New Roman" w:hAnsi="Times New Roman" w:cs="Times New Roman"/>
          <w:b/>
          <w:sz w:val="20"/>
        </w:rPr>
        <w:t>Implants must be deployed solely for their designated indications and handled using compatible, system-specific surgical instruments recommended by the manufacturer. Intermixing implants or trial instruments from different manufacturer lines or separate structural systems is strictly prohibited.</w:t>
      </w:r>
      <w:r w:rsidRPr="00F203B8">
        <w:rPr>
          <w:rFonts w:ascii="Times New Roman" w:hAnsi="Times New Roman" w:cs="Times New Roman"/>
          <w:sz w:val="20"/>
        </w:rPr>
        <w:t xml:space="preserve">CAUTION: </w:t>
      </w:r>
    </w:p>
    <w:p w14:paraId="407F3361"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 Correct sizing selection is paramount and must be derived based on comprehensive pre-operative planning and patient-specific anatomical metrics (bone density, native tissue quality, graft volume).</w:t>
      </w:r>
    </w:p>
    <w:p w14:paraId="6AE2DE89"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 Never re-use, re-process, or re-sterilize an implant. The device is validated for Single Use Only. Even if an implant appears physically unaltered following an impact, removal, or contamination, it may possess microscopic surface fractures, crystal-lattice defects, or fatigue limits that compromise mechanical performance under physiological load.</w:t>
      </w:r>
    </w:p>
    <w:p w14:paraId="1C8026DB"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 Do not alter, bend, cross-cut, or structurally modify the implants unless explicitly instructed within the authorized surgical technique documentation.</w:t>
      </w:r>
    </w:p>
    <w:p w14:paraId="7B5F6769"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 Application of excessive torque or force during insertion (screwing, tapping, driving) may cause stress fractures in the bone, cross-threading, stripping of the implant drive mechanism, or immediate mechanical failure of the anchor layout.</w:t>
      </w:r>
    </w:p>
    <w:p w14:paraId="160F2EC5"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 Inspect the packaging barrier carefully before introduction into the sterile field. Do not use if the sterile barrier system is torn, punctured, wet, faded, or past its indicated expiration date.</w:t>
      </w:r>
    </w:p>
    <w:p w14:paraId="5F81E659"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lastRenderedPageBreak/>
        <w:t>• DEMONSTRATION COMPONENTS: Any component laser-etched with 'DO NOT IMPLANT' or marked as a 'SAMPLE/TRIAL' is restricted to educational, review, or sizing verification use. It must never be introduced as a permanent implant into any patient.</w:t>
      </w:r>
    </w:p>
    <w:p w14:paraId="156ED9AC" w14:textId="77777777" w:rsidR="003466CD" w:rsidRPr="00F203B8" w:rsidRDefault="00000000">
      <w:pPr>
        <w:keepNext/>
        <w:spacing w:before="280" w:after="80"/>
        <w:rPr>
          <w:rFonts w:ascii="Times New Roman" w:hAnsi="Times New Roman" w:cs="Times New Roman"/>
        </w:rPr>
      </w:pPr>
      <w:r w:rsidRPr="00F203B8">
        <w:rPr>
          <w:rFonts w:ascii="Times New Roman" w:hAnsi="Times New Roman" w:cs="Times New Roman"/>
          <w:b/>
          <w:sz w:val="24"/>
        </w:rPr>
        <w:t>HIGH-STRESS CONDITION PATIENT CAUTIONS</w:t>
      </w:r>
    </w:p>
    <w:p w14:paraId="58A16031"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The following patient conditions tend to impose severe mechanical loading on the affected joint, placing the product layout at an elevated risk for early loosening, migration, deformation, or structural failure:</w:t>
      </w:r>
    </w:p>
    <w:p w14:paraId="41F4274B"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Severe patient obesity or excessive mechanical body mass index (BMI).</w:t>
      </w:r>
    </w:p>
    <w:p w14:paraId="4E944CE0"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Occupational environments involving high-impact manual labor or heavy load bearing.</w:t>
      </w:r>
    </w:p>
    <w:p w14:paraId="2A56050B"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Early return to active, high-impact competitive sports or strenuous athletic performance.</w:t>
      </w:r>
    </w:p>
    <w:p w14:paraId="410C3E67"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Patient conditions with high baseline activity levels or progressive neuromuscular instability leading to recurrent falls/trauma.</w:t>
      </w:r>
    </w:p>
    <w:p w14:paraId="0DC2D33B"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Patient history of severe substance or alcohol addiction affecting neurological control or compliance.</w:t>
      </w:r>
    </w:p>
    <w:p w14:paraId="062E41CC"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Chronic systemic therapies leading to progressive structural bone or tissue degradation (e.g., long-term corticosteroid intake or immunosuppressive regimens).</w:t>
      </w:r>
    </w:p>
    <w:p w14:paraId="379EEDE6"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Attitude or cognitive disorders resulting in the patient's failure to follow strict post-operative loading limits, causing premature joint movement and failure of graft healing.</w:t>
      </w:r>
    </w:p>
    <w:p w14:paraId="671972A2" w14:textId="77777777" w:rsidR="003466CD" w:rsidRPr="00F203B8" w:rsidRDefault="00000000">
      <w:pPr>
        <w:keepNext/>
        <w:spacing w:before="280" w:after="80"/>
        <w:rPr>
          <w:rFonts w:ascii="Times New Roman" w:hAnsi="Times New Roman" w:cs="Times New Roman"/>
        </w:rPr>
      </w:pPr>
      <w:r w:rsidRPr="00F203B8">
        <w:rPr>
          <w:rFonts w:ascii="Times New Roman" w:hAnsi="Times New Roman" w:cs="Times New Roman"/>
          <w:b/>
          <w:sz w:val="24"/>
        </w:rPr>
        <w:t>INFORMATION FOR USE</w:t>
      </w:r>
    </w:p>
    <w:p w14:paraId="564FA823" w14:textId="77777777" w:rsidR="003466CD" w:rsidRPr="00F203B8" w:rsidRDefault="00000000">
      <w:pPr>
        <w:keepNext/>
        <w:spacing w:before="200" w:after="60"/>
        <w:rPr>
          <w:rFonts w:ascii="Times New Roman" w:hAnsi="Times New Roman" w:cs="Times New Roman"/>
        </w:rPr>
      </w:pPr>
      <w:r w:rsidRPr="00F203B8">
        <w:rPr>
          <w:rFonts w:ascii="Times New Roman" w:hAnsi="Times New Roman" w:cs="Times New Roman"/>
          <w:b/>
        </w:rPr>
        <w:t>Preoperative Phase</w:t>
      </w:r>
    </w:p>
    <w:p w14:paraId="48F22726"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The surgeon must thoroughly review all physiological, physical, and cognitive boundaries specific to the patient during pre-operative consultations. Discussion must cover the physical structural limitations of the implant, the biological healing timeline of the graft/tissue, and the absolute requirement for strict compliance with specialized post-operative loading constraints.</w:t>
      </w:r>
    </w:p>
    <w:p w14:paraId="0CD4ADE1"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Surgeons must not initiate clinical deployment without fully mastering the specific surgical technique, instrumentation layouts, and sizing matrices. Authorized reference brochures are available from the manufacturer.</w:t>
      </w:r>
    </w:p>
    <w:p w14:paraId="561F58BE" w14:textId="77777777" w:rsidR="003466CD" w:rsidRPr="00F203B8" w:rsidRDefault="00000000">
      <w:pPr>
        <w:keepNext/>
        <w:spacing w:before="200" w:after="60"/>
        <w:rPr>
          <w:rFonts w:ascii="Times New Roman" w:hAnsi="Times New Roman" w:cs="Times New Roman"/>
        </w:rPr>
      </w:pPr>
      <w:r w:rsidRPr="00F203B8">
        <w:rPr>
          <w:rFonts w:ascii="Times New Roman" w:hAnsi="Times New Roman" w:cs="Times New Roman"/>
          <w:b/>
        </w:rPr>
        <w:t>Intraoperative Phase</w:t>
      </w:r>
    </w:p>
    <w:p w14:paraId="0B9C6038"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It is recommended to have a comprehensive range of implant sizes accessible within the sterile suite during surgery, including one size larger and one size smaller than estimated pre-operatively, to manage unexpected intra-operative anatomical variations.</w:t>
      </w:r>
    </w:p>
    <w:p w14:paraId="09240D1A"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Do not use components that have suffered external impacts (e.g., dropped onto hard surfaces). Structural degradation may be hidden but can precipitate early mechanical failure.</w:t>
      </w:r>
    </w:p>
    <w:p w14:paraId="4717603B"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Prior to permanent fixation, ensure the prepared bone tunnel, socket, or soft tissue landing zone is meticulously cleared of loose bone fragments, hematomas, or foreign material that could impede stable implant seating.</w:t>
      </w:r>
    </w:p>
    <w:p w14:paraId="66D3A3B4"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Before surgical closure, perform thorough irrigation to remove loose material. Verify final structural stability, correct positioning via direct visualization or fluoroscopy, appropriate graft/tissue tension, and ensure the joint maintains an acceptable range of motion without impingement.</w:t>
      </w:r>
    </w:p>
    <w:p w14:paraId="603C1C49" w14:textId="77777777" w:rsidR="003466CD" w:rsidRPr="00F203B8" w:rsidRDefault="00000000">
      <w:pPr>
        <w:keepNext/>
        <w:spacing w:before="200" w:after="60"/>
        <w:rPr>
          <w:rFonts w:ascii="Times New Roman" w:hAnsi="Times New Roman" w:cs="Times New Roman"/>
        </w:rPr>
      </w:pPr>
      <w:r w:rsidRPr="00F203B8">
        <w:rPr>
          <w:rFonts w:ascii="Times New Roman" w:hAnsi="Times New Roman" w:cs="Times New Roman"/>
          <w:b/>
        </w:rPr>
        <w:t>Postoperative Phase</w:t>
      </w:r>
    </w:p>
    <w:p w14:paraId="7D160BEF"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Provide the patient with clear, detailed, written discharge instructions concerning specialized immobilization, gradual weight-bearing restrictions, localized wound management, and targeted physical therapy exercises.</w:t>
      </w:r>
    </w:p>
    <w:p w14:paraId="51D4D3D9"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Incorporate long-term periodic clinical and radiological follow-ups to monitor joint recovery, anchor stability, and prevent sub-clinical degradation.</w:t>
      </w:r>
    </w:p>
    <w:p w14:paraId="6CD007C4"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lastRenderedPageBreak/>
        <w:t>Counsel the patient to report any unexpected clinical shifts (e.g., sudden onset of localized pain, swelling, audible joint clicking, or structural instability) immediately to the attending physician.</w:t>
      </w:r>
    </w:p>
    <w:p w14:paraId="03C6E58A" w14:textId="77777777" w:rsidR="003466CD" w:rsidRPr="00F203B8" w:rsidRDefault="00000000">
      <w:pPr>
        <w:keepNext/>
        <w:spacing w:before="280" w:after="80"/>
        <w:rPr>
          <w:rFonts w:ascii="Times New Roman" w:hAnsi="Times New Roman" w:cs="Times New Roman"/>
        </w:rPr>
      </w:pPr>
      <w:r w:rsidRPr="00F203B8">
        <w:rPr>
          <w:rFonts w:ascii="Times New Roman" w:hAnsi="Times New Roman" w:cs="Times New Roman"/>
          <w:b/>
          <w:sz w:val="24"/>
        </w:rPr>
        <w:t>RISKS OF RECIPROCAL INTERFERENCE (MRI SAFETY)</w:t>
      </w:r>
    </w:p>
    <w:p w14:paraId="00609203"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Magnetic Resonance (MR) examinations on patients with metallic or composite implants can induce localized tissue heating, torque, migration, or artifacts if safety bounds are poorly managed. Implants constructed from titanium alloys or stainless steel elements interact with strong magnetic fields. Prior to an MRI procedure, the clinical team must review the device compatibility profile against the specific field strength (e.g., 1.5T or 3.0T) and spatial field gradients of the scanner. The safety and heating of multi-component multi-implant constructs intermixed together in the MR environment has not been structurally tested and requires expert review by the imaging facility.</w:t>
      </w:r>
    </w:p>
    <w:p w14:paraId="13CE3D62" w14:textId="77777777" w:rsidR="003466CD" w:rsidRPr="00F203B8" w:rsidRDefault="00000000">
      <w:pPr>
        <w:keepNext/>
        <w:spacing w:before="280" w:after="80"/>
        <w:rPr>
          <w:rFonts w:ascii="Times New Roman" w:hAnsi="Times New Roman" w:cs="Times New Roman"/>
        </w:rPr>
      </w:pPr>
      <w:r w:rsidRPr="00F203B8">
        <w:rPr>
          <w:rFonts w:ascii="Times New Roman" w:hAnsi="Times New Roman" w:cs="Times New Roman"/>
          <w:b/>
          <w:sz w:val="24"/>
        </w:rPr>
        <w:t>ADVERSE EVENTS &amp; COMPLICATIONS</w:t>
      </w:r>
    </w:p>
    <w:p w14:paraId="6A15863B"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Potential adverse events and complications associated with joint arthroscopy and structural fixation include:</w:t>
      </w:r>
    </w:p>
    <w:p w14:paraId="56CB8564"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General: Device migration, thread stripping, early or delayed anchor loosening, structural fatigue/breakage of screw components, complete loss of graft tension or fixation security, soft tissue re-tearing, localized acute infection, tissue inflammation driven by wear debris or material hypersensitivity, and nerve damage from surgical access.</w:t>
      </w:r>
    </w:p>
    <w:p w14:paraId="58C93853"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Intraoperative: Accidental bone tunnel perforation or cortical blowout during drilling, bone fracturing or fracturing of the surrounding bony shelf during device driving, structural needle/suture breakage, and severe regional vascular or neurological laceration.</w:t>
      </w:r>
    </w:p>
    <w:p w14:paraId="3A82B0AE" w14:textId="77777777" w:rsidR="003466CD" w:rsidRPr="00F203B8" w:rsidRDefault="00000000">
      <w:pPr>
        <w:pStyle w:val="ListBullet"/>
        <w:spacing w:after="60"/>
        <w:rPr>
          <w:rFonts w:ascii="Times New Roman" w:hAnsi="Times New Roman" w:cs="Times New Roman"/>
        </w:rPr>
      </w:pPr>
      <w:r w:rsidRPr="00F203B8">
        <w:rPr>
          <w:rFonts w:ascii="Times New Roman" w:hAnsi="Times New Roman" w:cs="Times New Roman"/>
          <w:sz w:val="20"/>
        </w:rPr>
        <w:t>Postoperative: Severe joint stiffness, localized deep vein thrombosis (DVT) or thromboembolic events, joint effusion, progressive localized bone resorption around the anchor site, and the eventual requirement for revision surgery or total device removal.</w:t>
      </w:r>
    </w:p>
    <w:p w14:paraId="42C0C599" w14:textId="77777777" w:rsidR="003466CD" w:rsidRPr="00F203B8" w:rsidRDefault="00000000">
      <w:pPr>
        <w:keepNext/>
        <w:spacing w:before="280" w:after="80"/>
        <w:rPr>
          <w:rFonts w:ascii="Times New Roman" w:hAnsi="Times New Roman" w:cs="Times New Roman"/>
        </w:rPr>
      </w:pPr>
      <w:r w:rsidRPr="00F203B8">
        <w:rPr>
          <w:rFonts w:ascii="Times New Roman" w:hAnsi="Times New Roman" w:cs="Times New Roman"/>
          <w:b/>
          <w:sz w:val="24"/>
        </w:rPr>
        <w:t>HOW SUPPLIED &amp; WASTE MANAGEMENT</w:t>
      </w:r>
    </w:p>
    <w:p w14:paraId="786955DF" w14:textId="77777777" w:rsidR="003466CD" w:rsidRPr="00F203B8" w:rsidRDefault="00000000">
      <w:pPr>
        <w:spacing w:after="60"/>
        <w:rPr>
          <w:rFonts w:ascii="Times New Roman" w:hAnsi="Times New Roman" w:cs="Times New Roman"/>
        </w:rPr>
      </w:pPr>
      <w:r w:rsidRPr="00F203B8">
        <w:rPr>
          <w:rFonts w:ascii="Times New Roman" w:hAnsi="Times New Roman" w:cs="Times New Roman"/>
          <w:sz w:val="20"/>
        </w:rPr>
        <w:t>Components are supplied sterile, individually sealed within protective blisterpacks or double-pouches validated for sterile barrier maintenance. Sterilization is performed using Ethylene Oxide (ETO) or Gamma radiation as designated on the outer product log. Extract the item using sterile aseptic techniques only after final size selection is completed. Do not use if the package system is open or damaged. Any used, explanted, or soiled component must be handled as biological medical waste and processed according to the local healthcare facility's biohazard protocols.</w:t>
      </w:r>
    </w:p>
    <w:p w14:paraId="7C103D4D" w14:textId="77777777" w:rsidR="003466CD" w:rsidRPr="00F203B8" w:rsidRDefault="00000000">
      <w:pPr>
        <w:keepNext/>
        <w:spacing w:before="280" w:after="80"/>
        <w:rPr>
          <w:rFonts w:ascii="Times New Roman" w:hAnsi="Times New Roman" w:cs="Times New Roman"/>
        </w:rPr>
      </w:pPr>
      <w:r w:rsidRPr="00F203B8">
        <w:rPr>
          <w:rFonts w:ascii="Times New Roman" w:hAnsi="Times New Roman" w:cs="Times New Roman"/>
          <w:b/>
          <w:sz w:val="24"/>
        </w:rPr>
        <w:t>INTERPRETATION OF STANDARD SYMBOLS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1980"/>
        <w:gridCol w:w="3131"/>
        <w:gridCol w:w="1432"/>
        <w:gridCol w:w="3117"/>
      </w:tblGrid>
      <w:tr w:rsidR="003466CD" w:rsidRPr="00F203B8" w14:paraId="30A0F57C" w14:textId="77777777">
        <w:trPr>
          <w:jc w:val="center"/>
        </w:trPr>
        <w:tc>
          <w:tcPr>
            <w:tcW w:w="1440" w:type="dxa"/>
            <w:shd w:val="clear" w:color="auto" w:fill="F2F5F8"/>
            <w:tcMar>
              <w:top w:w="100" w:type="dxa"/>
              <w:left w:w="150" w:type="dxa"/>
              <w:bottom w:w="100" w:type="dxa"/>
              <w:right w:w="150" w:type="dxa"/>
            </w:tcMar>
          </w:tcPr>
          <w:p w14:paraId="160CA564" w14:textId="77777777" w:rsidR="003466CD" w:rsidRPr="00F203B8" w:rsidRDefault="00000000">
            <w:pPr>
              <w:jc w:val="center"/>
              <w:rPr>
                <w:rFonts w:ascii="Times New Roman" w:hAnsi="Times New Roman" w:cs="Times New Roman"/>
              </w:rPr>
            </w:pPr>
            <w:r w:rsidRPr="00F203B8">
              <w:rPr>
                <w:rFonts w:ascii="Times New Roman" w:hAnsi="Times New Roman" w:cs="Times New Roman"/>
                <w:b/>
                <w:sz w:val="18"/>
              </w:rPr>
              <w:t>[LOT] / LOT</w:t>
            </w:r>
          </w:p>
        </w:tc>
        <w:tc>
          <w:tcPr>
            <w:tcW w:w="3240" w:type="dxa"/>
            <w:tcMar>
              <w:top w:w="100" w:type="dxa"/>
              <w:left w:w="150" w:type="dxa"/>
              <w:bottom w:w="100" w:type="dxa"/>
              <w:right w:w="150" w:type="dxa"/>
            </w:tcMar>
          </w:tcPr>
          <w:p w14:paraId="7E31AEE3" w14:textId="77777777" w:rsidR="003466CD" w:rsidRPr="00F203B8" w:rsidRDefault="00000000">
            <w:pPr>
              <w:rPr>
                <w:rFonts w:ascii="Times New Roman" w:hAnsi="Times New Roman" w:cs="Times New Roman"/>
              </w:rPr>
            </w:pPr>
            <w:r w:rsidRPr="00F203B8">
              <w:rPr>
                <w:rFonts w:ascii="Times New Roman" w:hAnsi="Times New Roman" w:cs="Times New Roman"/>
                <w:sz w:val="18"/>
              </w:rPr>
              <w:t>Batch / Lot Number</w:t>
            </w:r>
          </w:p>
        </w:tc>
        <w:tc>
          <w:tcPr>
            <w:tcW w:w="1440" w:type="dxa"/>
            <w:shd w:val="clear" w:color="auto" w:fill="F2F5F8"/>
            <w:tcMar>
              <w:top w:w="100" w:type="dxa"/>
              <w:left w:w="150" w:type="dxa"/>
              <w:bottom w:w="100" w:type="dxa"/>
              <w:right w:w="150" w:type="dxa"/>
            </w:tcMar>
          </w:tcPr>
          <w:p w14:paraId="530F3832" w14:textId="77777777" w:rsidR="003466CD" w:rsidRPr="00F203B8" w:rsidRDefault="00000000">
            <w:pPr>
              <w:jc w:val="center"/>
              <w:rPr>
                <w:rFonts w:ascii="Times New Roman" w:hAnsi="Times New Roman" w:cs="Times New Roman"/>
              </w:rPr>
            </w:pPr>
            <w:r w:rsidRPr="00F203B8">
              <w:rPr>
                <w:rFonts w:ascii="Times New Roman" w:hAnsi="Times New Roman" w:cs="Times New Roman"/>
                <w:b/>
                <w:sz w:val="18"/>
              </w:rPr>
              <w:t>[REF] / REF</w:t>
            </w:r>
          </w:p>
        </w:tc>
        <w:tc>
          <w:tcPr>
            <w:tcW w:w="3240" w:type="dxa"/>
            <w:tcMar>
              <w:top w:w="100" w:type="dxa"/>
              <w:left w:w="150" w:type="dxa"/>
              <w:bottom w:w="100" w:type="dxa"/>
              <w:right w:w="150" w:type="dxa"/>
            </w:tcMar>
          </w:tcPr>
          <w:p w14:paraId="09EBA837" w14:textId="77777777" w:rsidR="003466CD" w:rsidRPr="00F203B8" w:rsidRDefault="00000000">
            <w:pPr>
              <w:rPr>
                <w:rFonts w:ascii="Times New Roman" w:hAnsi="Times New Roman" w:cs="Times New Roman"/>
              </w:rPr>
            </w:pPr>
            <w:r w:rsidRPr="00F203B8">
              <w:rPr>
                <w:rFonts w:ascii="Times New Roman" w:hAnsi="Times New Roman" w:cs="Times New Roman"/>
                <w:sz w:val="18"/>
              </w:rPr>
              <w:t>Catalogue Number</w:t>
            </w:r>
          </w:p>
        </w:tc>
      </w:tr>
      <w:tr w:rsidR="003466CD" w:rsidRPr="00F203B8" w14:paraId="5EF1D839" w14:textId="77777777">
        <w:trPr>
          <w:jc w:val="center"/>
        </w:trPr>
        <w:tc>
          <w:tcPr>
            <w:tcW w:w="1440" w:type="dxa"/>
            <w:shd w:val="clear" w:color="auto" w:fill="F2F5F8"/>
            <w:tcMar>
              <w:top w:w="100" w:type="dxa"/>
              <w:left w:w="150" w:type="dxa"/>
              <w:bottom w:w="100" w:type="dxa"/>
              <w:right w:w="150" w:type="dxa"/>
            </w:tcMar>
          </w:tcPr>
          <w:p w14:paraId="29F67608" w14:textId="77777777" w:rsidR="003466CD" w:rsidRPr="00F203B8" w:rsidRDefault="00000000">
            <w:pPr>
              <w:jc w:val="center"/>
              <w:rPr>
                <w:rFonts w:ascii="Times New Roman" w:hAnsi="Times New Roman" w:cs="Times New Roman"/>
              </w:rPr>
            </w:pPr>
            <w:r w:rsidRPr="00F203B8">
              <w:rPr>
                <w:rFonts w:ascii="Times New Roman" w:hAnsi="Times New Roman" w:cs="Times New Roman"/>
                <w:b/>
                <w:sz w:val="18"/>
              </w:rPr>
              <w:t>[MFG DATE]</w:t>
            </w:r>
          </w:p>
        </w:tc>
        <w:tc>
          <w:tcPr>
            <w:tcW w:w="3240" w:type="dxa"/>
            <w:tcMar>
              <w:top w:w="100" w:type="dxa"/>
              <w:left w:w="150" w:type="dxa"/>
              <w:bottom w:w="100" w:type="dxa"/>
              <w:right w:w="150" w:type="dxa"/>
            </w:tcMar>
          </w:tcPr>
          <w:p w14:paraId="6F1ADE88" w14:textId="77777777" w:rsidR="003466CD" w:rsidRPr="00F203B8" w:rsidRDefault="00000000">
            <w:pPr>
              <w:rPr>
                <w:rFonts w:ascii="Times New Roman" w:hAnsi="Times New Roman" w:cs="Times New Roman"/>
              </w:rPr>
            </w:pPr>
            <w:r w:rsidRPr="00F203B8">
              <w:rPr>
                <w:rFonts w:ascii="Times New Roman" w:hAnsi="Times New Roman" w:cs="Times New Roman"/>
                <w:sz w:val="18"/>
              </w:rPr>
              <w:t>Date of Manufacture</w:t>
            </w:r>
          </w:p>
        </w:tc>
        <w:tc>
          <w:tcPr>
            <w:tcW w:w="1440" w:type="dxa"/>
            <w:shd w:val="clear" w:color="auto" w:fill="F2F5F8"/>
            <w:tcMar>
              <w:top w:w="100" w:type="dxa"/>
              <w:left w:w="150" w:type="dxa"/>
              <w:bottom w:w="100" w:type="dxa"/>
              <w:right w:w="150" w:type="dxa"/>
            </w:tcMar>
          </w:tcPr>
          <w:p w14:paraId="74D7E823" w14:textId="77777777" w:rsidR="003466CD" w:rsidRPr="00F203B8" w:rsidRDefault="00000000">
            <w:pPr>
              <w:jc w:val="center"/>
              <w:rPr>
                <w:rFonts w:ascii="Times New Roman" w:hAnsi="Times New Roman" w:cs="Times New Roman"/>
              </w:rPr>
            </w:pPr>
            <w:r w:rsidRPr="00F203B8">
              <w:rPr>
                <w:rFonts w:ascii="Times New Roman" w:hAnsi="Times New Roman" w:cs="Times New Roman"/>
                <w:b/>
                <w:sz w:val="18"/>
              </w:rPr>
              <w:t>[EXP / USE BY]</w:t>
            </w:r>
          </w:p>
        </w:tc>
        <w:tc>
          <w:tcPr>
            <w:tcW w:w="3240" w:type="dxa"/>
            <w:tcMar>
              <w:top w:w="100" w:type="dxa"/>
              <w:left w:w="150" w:type="dxa"/>
              <w:bottom w:w="100" w:type="dxa"/>
              <w:right w:w="150" w:type="dxa"/>
            </w:tcMar>
          </w:tcPr>
          <w:p w14:paraId="19F173BD" w14:textId="77777777" w:rsidR="003466CD" w:rsidRPr="00F203B8" w:rsidRDefault="00000000">
            <w:pPr>
              <w:rPr>
                <w:rFonts w:ascii="Times New Roman" w:hAnsi="Times New Roman" w:cs="Times New Roman"/>
              </w:rPr>
            </w:pPr>
            <w:r w:rsidRPr="00F203B8">
              <w:rPr>
                <w:rFonts w:ascii="Times New Roman" w:hAnsi="Times New Roman" w:cs="Times New Roman"/>
                <w:sz w:val="18"/>
              </w:rPr>
              <w:t>Expiration / Use-By Date</w:t>
            </w:r>
          </w:p>
        </w:tc>
      </w:tr>
      <w:tr w:rsidR="003466CD" w:rsidRPr="00F203B8" w14:paraId="700BAA73" w14:textId="77777777">
        <w:trPr>
          <w:jc w:val="center"/>
        </w:trPr>
        <w:tc>
          <w:tcPr>
            <w:tcW w:w="1440" w:type="dxa"/>
            <w:shd w:val="clear" w:color="auto" w:fill="F2F5F8"/>
            <w:tcMar>
              <w:top w:w="100" w:type="dxa"/>
              <w:left w:w="150" w:type="dxa"/>
              <w:bottom w:w="100" w:type="dxa"/>
              <w:right w:w="150" w:type="dxa"/>
            </w:tcMar>
          </w:tcPr>
          <w:p w14:paraId="7F00F63E" w14:textId="77777777" w:rsidR="003466CD" w:rsidRPr="00F203B8" w:rsidRDefault="00000000">
            <w:pPr>
              <w:jc w:val="center"/>
              <w:rPr>
                <w:rFonts w:ascii="Times New Roman" w:hAnsi="Times New Roman" w:cs="Times New Roman"/>
              </w:rPr>
            </w:pPr>
            <w:r w:rsidRPr="00F203B8">
              <w:rPr>
                <w:rFonts w:ascii="Times New Roman" w:hAnsi="Times New Roman" w:cs="Times New Roman"/>
                <w:b/>
                <w:sz w:val="18"/>
              </w:rPr>
              <w:t>[STERILE EO]</w:t>
            </w:r>
          </w:p>
        </w:tc>
        <w:tc>
          <w:tcPr>
            <w:tcW w:w="3240" w:type="dxa"/>
            <w:tcMar>
              <w:top w:w="100" w:type="dxa"/>
              <w:left w:w="150" w:type="dxa"/>
              <w:bottom w:w="100" w:type="dxa"/>
              <w:right w:w="150" w:type="dxa"/>
            </w:tcMar>
          </w:tcPr>
          <w:p w14:paraId="62F3AC2C" w14:textId="77777777" w:rsidR="003466CD" w:rsidRPr="00F203B8" w:rsidRDefault="00000000">
            <w:pPr>
              <w:rPr>
                <w:rFonts w:ascii="Times New Roman" w:hAnsi="Times New Roman" w:cs="Times New Roman"/>
              </w:rPr>
            </w:pPr>
            <w:r w:rsidRPr="00F203B8">
              <w:rPr>
                <w:rFonts w:ascii="Times New Roman" w:hAnsi="Times New Roman" w:cs="Times New Roman"/>
                <w:sz w:val="18"/>
              </w:rPr>
              <w:t>Sterilized Using Ethylene Oxide</w:t>
            </w:r>
          </w:p>
        </w:tc>
        <w:tc>
          <w:tcPr>
            <w:tcW w:w="1440" w:type="dxa"/>
            <w:shd w:val="clear" w:color="auto" w:fill="F2F5F8"/>
            <w:tcMar>
              <w:top w:w="100" w:type="dxa"/>
              <w:left w:w="150" w:type="dxa"/>
              <w:bottom w:w="100" w:type="dxa"/>
              <w:right w:w="150" w:type="dxa"/>
            </w:tcMar>
          </w:tcPr>
          <w:p w14:paraId="3920F35E" w14:textId="77777777" w:rsidR="003466CD" w:rsidRPr="00F203B8" w:rsidRDefault="00000000">
            <w:pPr>
              <w:jc w:val="center"/>
              <w:rPr>
                <w:rFonts w:ascii="Times New Roman" w:hAnsi="Times New Roman" w:cs="Times New Roman"/>
              </w:rPr>
            </w:pPr>
            <w:r w:rsidRPr="00F203B8">
              <w:rPr>
                <w:rFonts w:ascii="Times New Roman" w:hAnsi="Times New Roman" w:cs="Times New Roman"/>
                <w:b/>
                <w:sz w:val="18"/>
              </w:rPr>
              <w:t>[</w:t>
            </w:r>
            <w:r w:rsidRPr="00F203B8">
              <w:rPr>
                <w:rFonts w:ascii="Cambria Math" w:hAnsi="Cambria Math" w:cs="Cambria Math"/>
                <w:b/>
                <w:sz w:val="18"/>
              </w:rPr>
              <w:t>②</w:t>
            </w:r>
            <w:r w:rsidRPr="00F203B8">
              <w:rPr>
                <w:rFonts w:ascii="Times New Roman" w:hAnsi="Times New Roman" w:cs="Times New Roman"/>
                <w:b/>
                <w:sz w:val="18"/>
              </w:rPr>
              <w:t xml:space="preserve"> / SINGLE USE]</w:t>
            </w:r>
          </w:p>
        </w:tc>
        <w:tc>
          <w:tcPr>
            <w:tcW w:w="3240" w:type="dxa"/>
            <w:tcMar>
              <w:top w:w="100" w:type="dxa"/>
              <w:left w:w="150" w:type="dxa"/>
              <w:bottom w:w="100" w:type="dxa"/>
              <w:right w:w="150" w:type="dxa"/>
            </w:tcMar>
          </w:tcPr>
          <w:p w14:paraId="40253FC1" w14:textId="77777777" w:rsidR="003466CD" w:rsidRPr="00F203B8" w:rsidRDefault="00000000">
            <w:pPr>
              <w:rPr>
                <w:rFonts w:ascii="Times New Roman" w:hAnsi="Times New Roman" w:cs="Times New Roman"/>
              </w:rPr>
            </w:pPr>
            <w:r w:rsidRPr="00F203B8">
              <w:rPr>
                <w:rFonts w:ascii="Times New Roman" w:hAnsi="Times New Roman" w:cs="Times New Roman"/>
                <w:sz w:val="18"/>
              </w:rPr>
              <w:t>Do Not Reuse / Single Use Only</w:t>
            </w:r>
          </w:p>
        </w:tc>
      </w:tr>
      <w:tr w:rsidR="003466CD" w:rsidRPr="00F203B8" w14:paraId="20A8696F" w14:textId="77777777">
        <w:trPr>
          <w:jc w:val="center"/>
        </w:trPr>
        <w:tc>
          <w:tcPr>
            <w:tcW w:w="1440" w:type="dxa"/>
            <w:shd w:val="clear" w:color="auto" w:fill="F2F5F8"/>
            <w:tcMar>
              <w:top w:w="100" w:type="dxa"/>
              <w:left w:w="150" w:type="dxa"/>
              <w:bottom w:w="100" w:type="dxa"/>
              <w:right w:w="150" w:type="dxa"/>
            </w:tcMar>
          </w:tcPr>
          <w:p w14:paraId="0A96E7BB" w14:textId="77777777" w:rsidR="003466CD" w:rsidRPr="00F203B8" w:rsidRDefault="00000000">
            <w:pPr>
              <w:jc w:val="center"/>
              <w:rPr>
                <w:rFonts w:ascii="Times New Roman" w:hAnsi="Times New Roman" w:cs="Times New Roman"/>
              </w:rPr>
            </w:pPr>
            <w:r w:rsidRPr="00F203B8">
              <w:rPr>
                <w:rFonts w:ascii="Times New Roman" w:hAnsi="Times New Roman" w:cs="Times New Roman"/>
                <w:b/>
                <w:sz w:val="18"/>
              </w:rPr>
              <w:t>[KEEP DRY]</w:t>
            </w:r>
          </w:p>
        </w:tc>
        <w:tc>
          <w:tcPr>
            <w:tcW w:w="3240" w:type="dxa"/>
            <w:tcMar>
              <w:top w:w="100" w:type="dxa"/>
              <w:left w:w="150" w:type="dxa"/>
              <w:bottom w:w="100" w:type="dxa"/>
              <w:right w:w="150" w:type="dxa"/>
            </w:tcMar>
          </w:tcPr>
          <w:p w14:paraId="5A449E6A" w14:textId="77777777" w:rsidR="003466CD" w:rsidRPr="00F203B8" w:rsidRDefault="00000000">
            <w:pPr>
              <w:rPr>
                <w:rFonts w:ascii="Times New Roman" w:hAnsi="Times New Roman" w:cs="Times New Roman"/>
              </w:rPr>
            </w:pPr>
            <w:r w:rsidRPr="00F203B8">
              <w:rPr>
                <w:rFonts w:ascii="Times New Roman" w:hAnsi="Times New Roman" w:cs="Times New Roman"/>
                <w:sz w:val="18"/>
              </w:rPr>
              <w:t>Keep Product Dry</w:t>
            </w:r>
          </w:p>
        </w:tc>
        <w:tc>
          <w:tcPr>
            <w:tcW w:w="1440" w:type="dxa"/>
            <w:shd w:val="clear" w:color="auto" w:fill="F2F5F8"/>
            <w:tcMar>
              <w:top w:w="100" w:type="dxa"/>
              <w:left w:w="150" w:type="dxa"/>
              <w:bottom w:w="100" w:type="dxa"/>
              <w:right w:w="150" w:type="dxa"/>
            </w:tcMar>
          </w:tcPr>
          <w:p w14:paraId="157E2C2A" w14:textId="77777777" w:rsidR="003466CD" w:rsidRPr="00F203B8" w:rsidRDefault="00000000">
            <w:pPr>
              <w:jc w:val="center"/>
              <w:rPr>
                <w:rFonts w:ascii="Times New Roman" w:hAnsi="Times New Roman" w:cs="Times New Roman"/>
              </w:rPr>
            </w:pPr>
            <w:r w:rsidRPr="00F203B8">
              <w:rPr>
                <w:rFonts w:ascii="Times New Roman" w:hAnsi="Times New Roman" w:cs="Times New Roman"/>
                <w:b/>
                <w:sz w:val="18"/>
              </w:rPr>
              <w:t>[Rx ONLY]</w:t>
            </w:r>
          </w:p>
        </w:tc>
        <w:tc>
          <w:tcPr>
            <w:tcW w:w="3240" w:type="dxa"/>
            <w:tcMar>
              <w:top w:w="100" w:type="dxa"/>
              <w:left w:w="150" w:type="dxa"/>
              <w:bottom w:w="100" w:type="dxa"/>
              <w:right w:w="150" w:type="dxa"/>
            </w:tcMar>
          </w:tcPr>
          <w:p w14:paraId="24711110" w14:textId="77777777" w:rsidR="003466CD" w:rsidRPr="00F203B8" w:rsidRDefault="00000000">
            <w:pPr>
              <w:rPr>
                <w:rFonts w:ascii="Times New Roman" w:hAnsi="Times New Roman" w:cs="Times New Roman"/>
              </w:rPr>
            </w:pPr>
            <w:r w:rsidRPr="00F203B8">
              <w:rPr>
                <w:rFonts w:ascii="Times New Roman" w:hAnsi="Times New Roman" w:cs="Times New Roman"/>
                <w:sz w:val="18"/>
              </w:rPr>
              <w:t>Prescription Use Only</w:t>
            </w:r>
          </w:p>
        </w:tc>
      </w:tr>
      <w:tr w:rsidR="003466CD" w:rsidRPr="00F203B8" w14:paraId="3CF4C66A" w14:textId="77777777">
        <w:trPr>
          <w:jc w:val="center"/>
        </w:trPr>
        <w:tc>
          <w:tcPr>
            <w:tcW w:w="1440" w:type="dxa"/>
            <w:shd w:val="clear" w:color="auto" w:fill="F2F5F8"/>
            <w:tcMar>
              <w:top w:w="100" w:type="dxa"/>
              <w:left w:w="150" w:type="dxa"/>
              <w:bottom w:w="100" w:type="dxa"/>
              <w:right w:w="150" w:type="dxa"/>
            </w:tcMar>
          </w:tcPr>
          <w:p w14:paraId="77E179E6" w14:textId="77777777" w:rsidR="003466CD" w:rsidRPr="00F203B8" w:rsidRDefault="00000000">
            <w:pPr>
              <w:jc w:val="center"/>
              <w:rPr>
                <w:rFonts w:ascii="Times New Roman" w:hAnsi="Times New Roman" w:cs="Times New Roman"/>
              </w:rPr>
            </w:pPr>
            <w:r w:rsidRPr="00F203B8">
              <w:rPr>
                <w:rFonts w:ascii="Times New Roman" w:hAnsi="Times New Roman" w:cs="Times New Roman"/>
                <w:b/>
                <w:sz w:val="18"/>
              </w:rPr>
              <w:t>[CAUTION]</w:t>
            </w:r>
          </w:p>
        </w:tc>
        <w:tc>
          <w:tcPr>
            <w:tcW w:w="3240" w:type="dxa"/>
            <w:tcMar>
              <w:top w:w="100" w:type="dxa"/>
              <w:left w:w="150" w:type="dxa"/>
              <w:bottom w:w="100" w:type="dxa"/>
              <w:right w:w="150" w:type="dxa"/>
            </w:tcMar>
          </w:tcPr>
          <w:p w14:paraId="200E5DB3" w14:textId="77777777" w:rsidR="003466CD" w:rsidRPr="00F203B8" w:rsidRDefault="00000000">
            <w:pPr>
              <w:rPr>
                <w:rFonts w:ascii="Times New Roman" w:hAnsi="Times New Roman" w:cs="Times New Roman"/>
              </w:rPr>
            </w:pPr>
            <w:r w:rsidRPr="00F203B8">
              <w:rPr>
                <w:rFonts w:ascii="Times New Roman" w:hAnsi="Times New Roman" w:cs="Times New Roman"/>
                <w:sz w:val="18"/>
              </w:rPr>
              <w:t>Consult Accompanying Documents</w:t>
            </w:r>
          </w:p>
        </w:tc>
        <w:tc>
          <w:tcPr>
            <w:tcW w:w="1440" w:type="dxa"/>
            <w:shd w:val="clear" w:color="auto" w:fill="F2F5F8"/>
            <w:tcMar>
              <w:top w:w="100" w:type="dxa"/>
              <w:left w:w="150" w:type="dxa"/>
              <w:bottom w:w="100" w:type="dxa"/>
              <w:right w:w="150" w:type="dxa"/>
            </w:tcMar>
          </w:tcPr>
          <w:p w14:paraId="622D5A4A" w14:textId="77777777" w:rsidR="003466CD" w:rsidRPr="00F203B8" w:rsidRDefault="00000000">
            <w:pPr>
              <w:jc w:val="center"/>
              <w:rPr>
                <w:rFonts w:ascii="Times New Roman" w:hAnsi="Times New Roman" w:cs="Times New Roman"/>
              </w:rPr>
            </w:pPr>
            <w:r w:rsidRPr="00F203B8">
              <w:rPr>
                <w:rFonts w:ascii="Times New Roman" w:hAnsi="Times New Roman" w:cs="Times New Roman"/>
                <w:b/>
                <w:sz w:val="18"/>
              </w:rPr>
              <w:t xml:space="preserve">[DO NOT </w:t>
            </w:r>
            <w:r w:rsidRPr="00F203B8">
              <w:rPr>
                <w:rFonts w:ascii="Times New Roman" w:hAnsi="Times New Roman" w:cs="Times New Roman"/>
                <w:b/>
                <w:sz w:val="18"/>
              </w:rPr>
              <w:lastRenderedPageBreak/>
              <w:t>USE IF DAMAGED]</w:t>
            </w:r>
          </w:p>
        </w:tc>
        <w:tc>
          <w:tcPr>
            <w:tcW w:w="3240" w:type="dxa"/>
            <w:tcMar>
              <w:top w:w="100" w:type="dxa"/>
              <w:left w:w="150" w:type="dxa"/>
              <w:bottom w:w="100" w:type="dxa"/>
              <w:right w:w="150" w:type="dxa"/>
            </w:tcMar>
          </w:tcPr>
          <w:p w14:paraId="00EDC6EB" w14:textId="77777777" w:rsidR="003466CD" w:rsidRPr="00F203B8" w:rsidRDefault="00000000">
            <w:pPr>
              <w:rPr>
                <w:rFonts w:ascii="Times New Roman" w:hAnsi="Times New Roman" w:cs="Times New Roman"/>
              </w:rPr>
            </w:pPr>
            <w:r w:rsidRPr="00F203B8">
              <w:rPr>
                <w:rFonts w:ascii="Times New Roman" w:hAnsi="Times New Roman" w:cs="Times New Roman"/>
                <w:sz w:val="18"/>
              </w:rPr>
              <w:lastRenderedPageBreak/>
              <w:t>Do Not Use if Package is Damaged</w:t>
            </w:r>
          </w:p>
        </w:tc>
      </w:tr>
      <w:tr w:rsidR="003466CD" w:rsidRPr="00F203B8" w14:paraId="7E1DB5EF" w14:textId="77777777">
        <w:trPr>
          <w:jc w:val="center"/>
        </w:trPr>
        <w:tc>
          <w:tcPr>
            <w:tcW w:w="1440" w:type="dxa"/>
            <w:shd w:val="clear" w:color="auto" w:fill="F2F5F8"/>
            <w:tcMar>
              <w:top w:w="100" w:type="dxa"/>
              <w:left w:w="150" w:type="dxa"/>
              <w:bottom w:w="100" w:type="dxa"/>
              <w:right w:w="150" w:type="dxa"/>
            </w:tcMar>
          </w:tcPr>
          <w:p w14:paraId="156CAE52" w14:textId="77777777" w:rsidR="003466CD" w:rsidRPr="00F203B8" w:rsidRDefault="00000000">
            <w:pPr>
              <w:jc w:val="center"/>
              <w:rPr>
                <w:rFonts w:ascii="Times New Roman" w:hAnsi="Times New Roman" w:cs="Times New Roman"/>
              </w:rPr>
            </w:pPr>
            <w:r w:rsidRPr="00F203B8">
              <w:rPr>
                <w:rFonts w:ascii="Times New Roman" w:hAnsi="Times New Roman" w:cs="Times New Roman"/>
                <w:b/>
                <w:sz w:val="18"/>
              </w:rPr>
              <w:t>[MANUFACTURER]</w:t>
            </w:r>
          </w:p>
        </w:tc>
        <w:tc>
          <w:tcPr>
            <w:tcW w:w="3240" w:type="dxa"/>
            <w:tcMar>
              <w:top w:w="100" w:type="dxa"/>
              <w:left w:w="150" w:type="dxa"/>
              <w:bottom w:w="100" w:type="dxa"/>
              <w:right w:w="150" w:type="dxa"/>
            </w:tcMar>
          </w:tcPr>
          <w:p w14:paraId="05684E9E" w14:textId="77777777" w:rsidR="003466CD" w:rsidRPr="00F203B8" w:rsidRDefault="00000000">
            <w:pPr>
              <w:rPr>
                <w:rFonts w:ascii="Times New Roman" w:hAnsi="Times New Roman" w:cs="Times New Roman"/>
              </w:rPr>
            </w:pPr>
            <w:r w:rsidRPr="00F203B8">
              <w:rPr>
                <w:rFonts w:ascii="Times New Roman" w:hAnsi="Times New Roman" w:cs="Times New Roman"/>
                <w:sz w:val="18"/>
              </w:rPr>
              <w:t>Legal Manufacturing Entity</w:t>
            </w:r>
          </w:p>
        </w:tc>
        <w:tc>
          <w:tcPr>
            <w:tcW w:w="1440" w:type="dxa"/>
            <w:shd w:val="clear" w:color="auto" w:fill="F2F5F8"/>
            <w:tcMar>
              <w:top w:w="100" w:type="dxa"/>
              <w:left w:w="150" w:type="dxa"/>
              <w:bottom w:w="100" w:type="dxa"/>
              <w:right w:w="150" w:type="dxa"/>
            </w:tcMar>
          </w:tcPr>
          <w:p w14:paraId="0D9CBA2D" w14:textId="77777777" w:rsidR="003466CD" w:rsidRPr="00F203B8" w:rsidRDefault="00000000">
            <w:pPr>
              <w:jc w:val="center"/>
              <w:rPr>
                <w:rFonts w:ascii="Times New Roman" w:hAnsi="Times New Roman" w:cs="Times New Roman"/>
              </w:rPr>
            </w:pPr>
            <w:r w:rsidRPr="00F203B8">
              <w:rPr>
                <w:rFonts w:ascii="Times New Roman" w:hAnsi="Times New Roman" w:cs="Times New Roman"/>
                <w:b/>
                <w:sz w:val="18"/>
              </w:rPr>
              <w:t>[i] / CONSULT IFU</w:t>
            </w:r>
          </w:p>
        </w:tc>
        <w:tc>
          <w:tcPr>
            <w:tcW w:w="3240" w:type="dxa"/>
            <w:tcMar>
              <w:top w:w="100" w:type="dxa"/>
              <w:left w:w="150" w:type="dxa"/>
              <w:bottom w:w="100" w:type="dxa"/>
              <w:right w:w="150" w:type="dxa"/>
            </w:tcMar>
          </w:tcPr>
          <w:p w14:paraId="509EFB5B" w14:textId="77777777" w:rsidR="003466CD" w:rsidRPr="00F203B8" w:rsidRDefault="00000000">
            <w:pPr>
              <w:rPr>
                <w:rFonts w:ascii="Times New Roman" w:hAnsi="Times New Roman" w:cs="Times New Roman"/>
              </w:rPr>
            </w:pPr>
            <w:r w:rsidRPr="00F203B8">
              <w:rPr>
                <w:rFonts w:ascii="Times New Roman" w:hAnsi="Times New Roman" w:cs="Times New Roman"/>
                <w:sz w:val="18"/>
              </w:rPr>
              <w:t>Consult Instructions for Use</w:t>
            </w:r>
          </w:p>
        </w:tc>
      </w:tr>
    </w:tbl>
    <w:p w14:paraId="54D996E5" w14:textId="77777777" w:rsidR="004C5FB8" w:rsidRPr="00F203B8" w:rsidRDefault="004C5FB8">
      <w:pPr>
        <w:rPr>
          <w:rFonts w:ascii="Times New Roman" w:hAnsi="Times New Roman" w:cs="Times New Roman"/>
        </w:rPr>
      </w:pPr>
    </w:p>
    <w:sectPr w:rsidR="004C5FB8" w:rsidRPr="00F203B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9097400">
    <w:abstractNumId w:val="8"/>
  </w:num>
  <w:num w:numId="2" w16cid:durableId="1445147993">
    <w:abstractNumId w:val="6"/>
  </w:num>
  <w:num w:numId="3" w16cid:durableId="769473695">
    <w:abstractNumId w:val="5"/>
  </w:num>
  <w:num w:numId="4" w16cid:durableId="1259799619">
    <w:abstractNumId w:val="4"/>
  </w:num>
  <w:num w:numId="5" w16cid:durableId="572476125">
    <w:abstractNumId w:val="7"/>
  </w:num>
  <w:num w:numId="6" w16cid:durableId="269313693">
    <w:abstractNumId w:val="3"/>
  </w:num>
  <w:num w:numId="7" w16cid:durableId="1954556092">
    <w:abstractNumId w:val="2"/>
  </w:num>
  <w:num w:numId="8" w16cid:durableId="729502116">
    <w:abstractNumId w:val="1"/>
  </w:num>
  <w:num w:numId="9" w16cid:durableId="1322732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6CD"/>
    <w:rsid w:val="004C5FB8"/>
    <w:rsid w:val="006D0BD7"/>
    <w:rsid w:val="00AA1D8D"/>
    <w:rsid w:val="00B47730"/>
    <w:rsid w:val="00CB0664"/>
    <w:rsid w:val="00F203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C0667"/>
  <w14:defaultImageDpi w14:val="300"/>
  <w15:docId w15:val="{3276D3EC-14F8-4B27-AA83-758A80F2B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1835</Words>
  <Characters>10460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Sonawane</cp:lastModifiedBy>
  <cp:revision>2</cp:revision>
  <dcterms:created xsi:type="dcterms:W3CDTF">2013-12-23T23:15:00Z</dcterms:created>
  <dcterms:modified xsi:type="dcterms:W3CDTF">2026-07-09T04:31:00Z</dcterms:modified>
  <cp:category/>
</cp:coreProperties>
</file>