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0997" cy="106965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40997" cy="106965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EduGuard: AI-Powered Early Warning and Actionable Recourse System for Students</w:t>
      </w:r>
    </w:p>
    <w:p w:rsidR="00000000" w:rsidDel="00000000" w:rsidP="00000000" w:rsidRDefault="00000000" w:rsidRPr="00000000" w14:paraId="00000004">
      <w:pPr>
        <w:spacing w:after="0" w:before="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before="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AI1909 - ADS | Group 2</w:t>
      </w:r>
    </w:p>
    <w:p w:rsidR="00000000" w:rsidDel="00000000" w:rsidP="00000000" w:rsidRDefault="00000000" w:rsidRPr="00000000" w14:paraId="00000006">
      <w:pPr>
        <w:spacing w:after="0" w:before="0" w:line="312" w:lineRule="auto"/>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07">
      <w:pPr>
        <w:spacing w:after="0" w:before="0"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8">
      <w:pPr>
        <w:pStyle w:val="Heading2"/>
        <w:spacing w:after="0" w:line="312" w:lineRule="auto"/>
        <w:jc w:val="both"/>
        <w:rPr>
          <w:rFonts w:ascii="Times New Roman" w:cs="Times New Roman" w:eastAsia="Times New Roman" w:hAnsi="Times New Roman"/>
          <w:b w:val="1"/>
          <w:bCs w:val="1"/>
          <w:sz w:val="24"/>
          <w:szCs w:val="24"/>
        </w:rPr>
      </w:pPr>
      <w:bookmarkStart w:colFirst="0" w:colLast="0" w:name="_heading=h.xz7yh0296q4o" w:id="0"/>
      <w:bookmarkEnd w:id="0"/>
      <w:r w:rsidDel="00000000" w:rsidR="00000000" w:rsidRPr="00000000">
        <w:rPr>
          <w:sz w:val="28"/>
          <w:szCs w:val="28"/>
          <w:rtl w:val="0"/>
        </w:rPr>
        <w:t xml:space="preserve">Abstract</w:t>
      </w:r>
      <w:r w:rsidDel="00000000" w:rsidR="00000000" w:rsidRPr="00000000">
        <w:rPr>
          <w:rtl w:val="0"/>
        </w:rPr>
      </w:r>
    </w:p>
    <w:p w:rsidR="00000000" w:rsidDel="00000000" w:rsidP="00000000" w:rsidRDefault="00000000" w:rsidRPr="00000000" w14:paraId="00000009">
      <w:pPr>
        <w:spacing w:after="0" w:before="0" w:line="312"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Learning Environments (VLEs) record activities such as opening learning materials, visiting forums, submitting assessments, and taking part in course activities. These records are often used in Educational Data Mining and Learning Analytics to study student performance and withdrawal. A student may gradually become less active, so early information could help an instructor offer support before it is too late.</w:t>
      </w:r>
    </w:p>
    <w:p w:rsidR="00000000" w:rsidDel="00000000" w:rsidP="00000000" w:rsidRDefault="00000000" w:rsidRPr="00000000" w14:paraId="0000000A">
      <w:pPr>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OULAD is suitable for this project because it contains anonymised student information, registration records, VLE activity, assessment records, and course information. We will use this dataset to study whether a model can identify at-risk students at different points in a course. We will also keep a clear distinction between predicting the final outcome and finding students who can still receive support.</w:t>
      </w:r>
    </w:p>
    <w:p w:rsidR="00000000" w:rsidDel="00000000" w:rsidP="00000000" w:rsidRDefault="00000000" w:rsidRPr="00000000" w14:paraId="0000000B">
      <w:pPr>
        <w:spacing w:after="0"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2"/>
        <w:rPr>
          <w:rFonts w:ascii="Times New Roman" w:cs="Times New Roman" w:eastAsia="Times New Roman" w:hAnsi="Times New Roman"/>
          <w:sz w:val="24"/>
          <w:szCs w:val="24"/>
        </w:rPr>
      </w:pPr>
      <w:r w:rsidDel="00000000" w:rsidR="00000000" w:rsidRPr="00000000">
        <w:rPr>
          <w:rtl w:val="0"/>
        </w:rPr>
        <w:t xml:space="preserve">1. Motivation and Problem Statement</w:t>
      </w:r>
      <w:r w:rsidDel="00000000" w:rsidR="00000000" w:rsidRPr="00000000">
        <w:rPr>
          <w:rtl w:val="0"/>
        </w:rPr>
      </w:r>
    </w:p>
    <w:p w:rsidR="00000000" w:rsidDel="00000000" w:rsidP="00000000" w:rsidRDefault="00000000" w:rsidRPr="00000000" w14:paraId="0000000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for EduGuard is that instructors need timely information about which students may need help. This information is only useful if it is available while there is still time to respond. The model must therefore be evaluated carefully. If students who have already withdrawn are included in the evaluation, the task may be easier. This result may still be useful for predicting final outcomes, but it is not the same as predicting risk for students who are still enrolled.</w:t>
      </w:r>
    </w:p>
    <w:p w:rsidR="00000000" w:rsidDel="00000000" w:rsidP="00000000" w:rsidRDefault="00000000" w:rsidRPr="00000000" w14:paraId="000000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alone is also not enough. A risk score does not explain whether a student was flagged because of inactivity, missing work, low assessment scores, or another reason. Without this information, an instructor may not know what kind of support is suitable. We will also check whether explanations are stable, because explanations that change a lot between runs may be difficult to trust.</w:t>
      </w:r>
    </w:p>
    <w:p w:rsidR="00000000" w:rsidDel="00000000" w:rsidP="00000000" w:rsidRDefault="00000000" w:rsidRPr="00000000" w14:paraId="0000000F">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develop a binary, time-aware early-warning system using only information available up to each checkpoint. The system should avoid temporal and student-level data leakage. It will be evaluated on both the full group of students and the group that is still enrolled. The project will also test whether model explanations can be connected to possible support recommendations.</w:t>
      </w:r>
    </w:p>
    <w:p w:rsidR="00000000" w:rsidDel="00000000" w:rsidP="00000000" w:rsidRDefault="00000000" w:rsidRPr="00000000" w14:paraId="00000010">
      <w:pPr>
        <w:spacing w:after="0"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spacing w:after="0" w:before="0" w:line="312" w:lineRule="auto"/>
        <w:jc w:val="both"/>
        <w:rPr>
          <w:sz w:val="28"/>
          <w:szCs w:val="28"/>
        </w:rPr>
      </w:pPr>
      <w:r w:rsidDel="00000000" w:rsidR="00000000" w:rsidRPr="00000000">
        <w:rPr>
          <w:rFonts w:ascii="Times New Roman" w:cs="Times New Roman" w:eastAsia="Times New Roman" w:hAnsi="Times New Roman"/>
          <w:rtl w:val="0"/>
        </w:rPr>
        <w:t xml:space="preserve">2. Related Work and Research Gap</w:t>
      </w:r>
      <w:r w:rsidDel="00000000" w:rsidR="00000000" w:rsidRPr="00000000">
        <w:rPr>
          <w:rtl w:val="0"/>
        </w:rPr>
      </w:r>
    </w:p>
    <w:p w:rsidR="00000000" w:rsidDel="00000000" w:rsidP="00000000" w:rsidRDefault="00000000" w:rsidRPr="00000000" w14:paraId="00000012">
      <w:pPr>
        <w:pStyle w:val="Heading3"/>
        <w:rPr>
          <w:rFonts w:ascii="Times New Roman" w:cs="Times New Roman" w:eastAsia="Times New Roman" w:hAnsi="Times New Roman"/>
          <w:sz w:val="24"/>
          <w:szCs w:val="24"/>
        </w:rPr>
      </w:pPr>
      <w:bookmarkStart w:colFirst="0" w:colLast="0" w:name="_heading=h.dr73ohbxjnch" w:id="1"/>
      <w:bookmarkEnd w:id="1"/>
      <w:r w:rsidDel="00000000" w:rsidR="00000000" w:rsidRPr="00000000">
        <w:rPr>
          <w:rtl w:val="0"/>
        </w:rPr>
        <w:t xml:space="preserve">2.1. At-Risk Prediction and Time-Aware Modeling</w:t>
      </w:r>
      <w:r w:rsidDel="00000000" w:rsidR="00000000" w:rsidRPr="00000000">
        <w:rPr>
          <w:rtl w:val="0"/>
        </w:rPr>
      </w:r>
    </w:p>
    <w:p w:rsidR="00000000" w:rsidDel="00000000" w:rsidP="00000000" w:rsidRDefault="00000000" w:rsidRPr="00000000" w14:paraId="00000013">
      <w:pPr>
        <w:spacing w:after="0" w:before="0" w:line="312"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Kuzilek et al.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introduced OULAD as a dataset with seven related tables. It contains 32,593 student registrations from 22 module presentations at The Open University. The data include demographic information, VLE activity, and assessment records. The data were anonymised before release and are available for research.</w:t>
      </w:r>
    </w:p>
    <w:p w:rsidR="00000000" w:rsidDel="00000000" w:rsidP="00000000" w:rsidRDefault="00000000" w:rsidRPr="00000000" w14:paraId="00000014">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Tomasevic et al.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compared several supervised learning methods for exam performance prediction on an OULAD subset. They used two DDD presentations and 3,166 students after excluding students without an exam result. Their results showed that an artificial neural network performed well when VLE activity and assessment scores were combined. Demographic features added less information in that setting. They removed rows with missing values and used random train-test splits. Their comparison did not include gradient-boosted models, so our project will include these models for comparison.</w:t>
      </w:r>
    </w:p>
    <w:p w:rsidR="00000000" w:rsidDel="00000000" w:rsidP="00000000" w:rsidRDefault="00000000" w:rsidRPr="00000000" w14:paraId="00000016">
      <w:pPr>
        <w:spacing w:after="0" w:before="0"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Adnan et al.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studied time-aware prediction on the full OULAD dataset. They built cumulative features at the start of the course and at 20%, 40%, 60%, 80%, and 100% of the course. They used accuracy, precision, recall, F-score, and AUC for evaluation. Their results suggested that useful predictions may be possible from around 40% to 60% of the course. This result supports our checkpoint plan, which also adds a 10% checkpoint. They handled the outcome classes by combining Pass with Distinction and Fail with Withdrawn instead of using resampling.</w:t>
      </w:r>
    </w:p>
    <w:p w:rsidR="00000000" w:rsidDel="00000000" w:rsidP="00000000" w:rsidRDefault="00000000" w:rsidRPr="00000000" w14:paraId="00000018">
      <w:pPr>
        <w:spacing w:after="0" w:before="0"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limitation in these studies is that they do not clearly use a split based on the student identifier. As a result, the same student might appear in both the training and test data. Our pipeline will use a student-level split to reduce this risk.</w:t>
      </w:r>
    </w:p>
    <w:p w:rsidR="00000000" w:rsidDel="00000000" w:rsidP="00000000" w:rsidRDefault="00000000" w:rsidRPr="00000000" w14:paraId="0000001A">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3"/>
        <w:spacing w:after="0" w:line="312" w:lineRule="auto"/>
        <w:jc w:val="both"/>
        <w:rPr/>
      </w:pPr>
      <w:bookmarkStart w:colFirst="0" w:colLast="0" w:name="_heading=h.d8s5pp3fuz56" w:id="2"/>
      <w:bookmarkEnd w:id="2"/>
      <w:r w:rsidDel="00000000" w:rsidR="00000000" w:rsidRPr="00000000">
        <w:rPr>
          <w:rtl w:val="0"/>
        </w:rPr>
        <w:t xml:space="preserve">2.2. Explainable AI for Educational Prediction</w:t>
      </w:r>
    </w:p>
    <w:p w:rsidR="00000000" w:rsidDel="00000000" w:rsidP="00000000" w:rsidRDefault="00000000" w:rsidRPr="00000000" w14:paraId="0000001C">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common explanation methods are SHAP and LIME. Previous educational studies have used these methods to estimate how features contribute to a prediction </w:t>
      </w:r>
      <w:r w:rsidDel="00000000" w:rsidR="00000000" w:rsidRPr="00000000">
        <w:rPr>
          <w:rFonts w:ascii="Times New Roman" w:cs="Times New Roman" w:eastAsia="Times New Roman" w:hAnsi="Times New Roman"/>
          <w:sz w:val="24"/>
          <w:szCs w:val="24"/>
          <w:vertAlign w:val="superscript"/>
          <w:rtl w:val="0"/>
        </w:rPr>
        <w:t xml:space="preserve">[4], [5]</w:t>
      </w:r>
      <w:r w:rsidDel="00000000" w:rsidR="00000000" w:rsidRPr="00000000">
        <w:rPr>
          <w:rFonts w:ascii="Times New Roman" w:cs="Times New Roman" w:eastAsia="Times New Roman" w:hAnsi="Times New Roman"/>
          <w:sz w:val="24"/>
          <w:szCs w:val="24"/>
          <w:rtl w:val="0"/>
        </w:rPr>
        <w:t xml:space="preserve">. SHAP can be used to look at the whole dataset or at one student. LIME explains one prediction by creating a simple model around that particular case. Both methods can be used with different machine-learning models.</w:t>
      </w:r>
    </w:p>
    <w:p w:rsidR="00000000" w:rsidDel="00000000" w:rsidP="00000000" w:rsidRDefault="00000000" w:rsidRPr="00000000" w14:paraId="0000001D">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Alamri and Alharbi </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reviewed explainable student-performance models and found that SHAP and LIME are used frequently. They also noted that many studies judge explanations mainly by looking at feature-importance plots. Gunasekara and Saarela </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used both methods on several OULAD modules, but their discussion of local explanations was also mainly qualitative. For this reason, RQ2 will check explanation stability with numerical measures. The main question is whether the important features stay similar when the model is trained again, when the checkpoint changes, or when a different imbalance method is used.</w:t>
      </w:r>
    </w:p>
    <w:p w:rsidR="00000000" w:rsidDel="00000000" w:rsidP="00000000" w:rsidRDefault="00000000" w:rsidRPr="00000000" w14:paraId="0000001F">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3"/>
        <w:spacing w:after="0" w:line="312" w:lineRule="auto"/>
        <w:jc w:val="both"/>
        <w:rPr>
          <w:rFonts w:ascii="Times New Roman" w:cs="Times New Roman" w:eastAsia="Times New Roman" w:hAnsi="Times New Roman"/>
          <w:sz w:val="24"/>
          <w:szCs w:val="24"/>
        </w:rPr>
      </w:pPr>
      <w:bookmarkStart w:colFirst="0" w:colLast="0" w:name="_heading=h.o8pvvhwvub8y" w:id="3"/>
      <w:bookmarkEnd w:id="3"/>
      <w:r w:rsidDel="00000000" w:rsidR="00000000" w:rsidRPr="00000000">
        <w:rPr>
          <w:rtl w:val="0"/>
        </w:rPr>
        <w:t xml:space="preserve">2.3. Class-Imbalance Handling</w:t>
      </w:r>
      <w:r w:rsidDel="00000000" w:rsidR="00000000" w:rsidRPr="00000000">
        <w:rPr>
          <w:rtl w:val="0"/>
        </w:rPr>
      </w:r>
    </w:p>
    <w:p w:rsidR="00000000" w:rsidDel="00000000" w:rsidP="00000000" w:rsidRDefault="00000000" w:rsidRPr="00000000" w14:paraId="00000021">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SMOTE handles an unbalanced dataset by creating new minority-class examples from existing examples. ADASYN is a related method that creates more examples in areas that are harder for the model to classify. Class weighting is another option that changes the importance of each class without creating new rows.</w:t>
      </w:r>
    </w:p>
    <w:p w:rsidR="00000000" w:rsidDel="00000000" w:rsidP="00000000" w:rsidRDefault="00000000" w:rsidRPr="00000000" w14:paraId="00000022">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OULAD studies handle class imbalance in different ways. Adnan et al.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combined the outcome classes instead of resampling. Tomasevic et al.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excluded students without exam results and rows with missing values. One study in our review used a DNN with SMOTE and ADASYN, but it did not use OULAD. We did not find a study that directly measures how resampling affects explanations.</w:t>
      </w:r>
    </w:p>
    <w:p w:rsidR="00000000" w:rsidDel="00000000" w:rsidP="00000000" w:rsidRDefault="00000000" w:rsidRPr="00000000" w14:paraId="00000024">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label mapping, the at-risk class is a small majority at 52.8%, so the imbalance is not severe. We will still compare SMOTE, ADASYN, and class weighting to see whether they change the model results or the explanations. Missing an at-risk student is an important error, so recall for the at-risk class and PR-AUC will be important evaluation metrics.</w:t>
      </w:r>
    </w:p>
    <w:p w:rsidR="00000000" w:rsidDel="00000000" w:rsidP="00000000" w:rsidRDefault="00000000" w:rsidRPr="00000000" w14:paraId="00000026">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3"/>
        <w:spacing w:after="0" w:line="312" w:lineRule="auto"/>
        <w:jc w:val="both"/>
        <w:rPr>
          <w:rFonts w:ascii="Times New Roman" w:cs="Times New Roman" w:eastAsia="Times New Roman" w:hAnsi="Times New Roman"/>
          <w:b w:val="1"/>
          <w:bCs w:val="1"/>
          <w:sz w:val="24"/>
          <w:szCs w:val="24"/>
        </w:rPr>
      </w:pPr>
      <w:bookmarkStart w:colFirst="0" w:colLast="0" w:name="_heading=h.o9zf2zm3f8t1" w:id="4"/>
      <w:bookmarkEnd w:id="4"/>
      <w:r w:rsidDel="00000000" w:rsidR="00000000" w:rsidRPr="00000000">
        <w:rPr>
          <w:rtl w:val="0"/>
        </w:rPr>
        <w:t xml:space="preserve">2.4. Research Gap Graph</w:t>
      </w:r>
      <w:r w:rsidDel="00000000" w:rsidR="00000000" w:rsidRPr="00000000">
        <w:rPr>
          <w:rtl w:val="0"/>
        </w:rPr>
      </w:r>
    </w:p>
    <w:p w:rsidR="00000000" w:rsidDel="00000000" w:rsidP="00000000" w:rsidRDefault="00000000" w:rsidRPr="00000000" w14:paraId="00000028">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Webster and Watson, the group reviewed 30 readings, or 27 independent papers after removing duplicates. The papers covered five themes: predictive modelling, time-aware prediction, XAI, data challenges, and learning analytics. The table below gives a simplified comparison of the topics most related to this project:</w:t>
      </w:r>
    </w:p>
    <w:p w:rsidR="00000000" w:rsidDel="00000000" w:rsidP="00000000" w:rsidRDefault="00000000" w:rsidRPr="00000000" w14:paraId="00000029">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92240" cy="14478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9224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before="0"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312"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Comparison of Previous Studies and EduGuard Research Focus</w:t>
      </w:r>
    </w:p>
    <w:p w:rsidR="00000000" w:rsidDel="00000000" w:rsidP="00000000" w:rsidRDefault="00000000" w:rsidRPr="00000000" w14:paraId="0000002D">
      <w:pPr>
        <w:spacing w:after="0" w:before="0" w:line="312"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E">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points to several areas that this project will study. We will combine time-aware prediction and XAI on OULAD (RQ1 and RQ2), compare neural networks with ensemble models (RQ1), and measure explanation stability (RQ2). We will also study whether imbalance methods affect explanation quality (RQ3). Finally, RQ4 will investigate counterfactual explanations. These explanations may show what small, realistic change could move a prediction from at-risk to not at-risk. The method will not change fixed attributes such as age or gender. Since this is still a planned part of the project, we will not claim that it works until it has been implemented and evaluated.</w:t>
      </w:r>
    </w:p>
    <w:p w:rsidR="00000000" w:rsidDel="00000000" w:rsidP="00000000" w:rsidRDefault="00000000" w:rsidRPr="00000000" w14:paraId="0000002F">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sz w:val="24"/>
          <w:szCs w:val="24"/>
        </w:rPr>
      </w:pPr>
      <w:bookmarkStart w:colFirst="0" w:colLast="0" w:name="_heading=h.doamzuquj0df" w:id="5"/>
      <w:bookmarkEnd w:id="5"/>
      <w:r w:rsidDel="00000000" w:rsidR="00000000" w:rsidRPr="00000000">
        <w:rPr>
          <w:rtl w:val="0"/>
        </w:rPr>
        <w:t xml:space="preserve">3. Objective of the Project</w:t>
      </w:r>
      <w:r w:rsidDel="00000000" w:rsidR="00000000" w:rsidRPr="00000000">
        <w:rPr>
          <w:rtl w:val="0"/>
        </w:rPr>
      </w:r>
    </w:p>
    <w:p w:rsidR="00000000" w:rsidDel="00000000" w:rsidP="00000000" w:rsidRDefault="00000000" w:rsidRPr="00000000" w14:paraId="00000031">
      <w:pPr>
        <w:pStyle w:val="Heading3"/>
        <w:spacing w:after="0" w:line="312" w:lineRule="auto"/>
        <w:jc w:val="both"/>
        <w:rPr>
          <w:rFonts w:ascii="Times New Roman" w:cs="Times New Roman" w:eastAsia="Times New Roman" w:hAnsi="Times New Roman"/>
          <w:sz w:val="24"/>
          <w:szCs w:val="24"/>
        </w:rPr>
      </w:pPr>
      <w:bookmarkStart w:colFirst="0" w:colLast="0" w:name="_heading=h.3egz0inui6yw" w:id="6"/>
      <w:bookmarkEnd w:id="6"/>
      <w:r w:rsidDel="00000000" w:rsidR="00000000" w:rsidRPr="00000000">
        <w:rPr>
          <w:rtl w:val="0"/>
        </w:rPr>
        <w:t xml:space="preserve">3.1. General Objective</w:t>
      </w:r>
      <w:r w:rsidDel="00000000" w:rsidR="00000000" w:rsidRPr="00000000">
        <w:rPr>
          <w:rtl w:val="0"/>
        </w:rPr>
      </w:r>
    </w:p>
    <w:p w:rsidR="00000000" w:rsidDel="00000000" w:rsidP="00000000" w:rsidRDefault="00000000" w:rsidRPr="00000000" w14:paraId="00000032">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is to design and evaluate a time-aware early-warning framework for identifying students who may fail or withdraw from an online course. In this Weeks 1-2 report, the objective is presented as a research and implementation plan. Results will be added after the experiments are completed.</w:t>
      </w:r>
    </w:p>
    <w:p w:rsidR="00000000" w:rsidDel="00000000" w:rsidP="00000000" w:rsidRDefault="00000000" w:rsidRPr="00000000" w14:paraId="00000033">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spacing w:after="0" w:line="312" w:lineRule="auto"/>
        <w:jc w:val="both"/>
        <w:rPr/>
      </w:pPr>
      <w:bookmarkStart w:colFirst="0" w:colLast="0" w:name="_heading=h.8wiyj6n56mab" w:id="7"/>
      <w:bookmarkEnd w:id="7"/>
      <w:r w:rsidDel="00000000" w:rsidR="00000000" w:rsidRPr="00000000">
        <w:rPr>
          <w:rtl w:val="0"/>
        </w:rPr>
        <w:t xml:space="preserve">3.2. Specific Objectives</w:t>
      </w:r>
    </w:p>
    <w:p w:rsidR="00000000" w:rsidDel="00000000" w:rsidP="00000000" w:rsidRDefault="00000000" w:rsidRPr="00000000" w14:paraId="00000035">
      <w:pPr>
        <w:numPr>
          <w:ilvl w:val="0"/>
          <w:numId w:val="2"/>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the data requirements and the unit of analysis for the OULAD study.</w:t>
      </w:r>
    </w:p>
    <w:p w:rsidR="00000000" w:rsidDel="00000000" w:rsidP="00000000" w:rsidRDefault="00000000" w:rsidRPr="00000000" w14:paraId="00000036">
      <w:pPr>
        <w:numPr>
          <w:ilvl w:val="0"/>
          <w:numId w:val="2"/>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Combine the seven OULAD tables in a reproducible data pipeline.</w:t>
      </w:r>
    </w:p>
    <w:p w:rsidR="00000000" w:rsidDel="00000000" w:rsidP="00000000" w:rsidRDefault="00000000" w:rsidRPr="00000000" w14:paraId="00000037">
      <w:pPr>
        <w:numPr>
          <w:ilvl w:val="0"/>
          <w:numId w:val="2"/>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demographic, engagement, registration, and assessment features at different course checkpoints.</w:t>
      </w:r>
    </w:p>
    <w:p w:rsidR="00000000" w:rsidDel="00000000" w:rsidP="00000000" w:rsidRDefault="00000000" w:rsidRPr="00000000" w14:paraId="00000038">
      <w:pPr>
        <w:numPr>
          <w:ilvl w:val="0"/>
          <w:numId w:val="2"/>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five supervised-learning model families using the same student-level evaluation process.</w:t>
      </w:r>
    </w:p>
    <w:p w:rsidR="00000000" w:rsidDel="00000000" w:rsidP="00000000" w:rsidRDefault="00000000" w:rsidRPr="00000000" w14:paraId="00000039">
      <w:pPr>
        <w:numPr>
          <w:ilvl w:val="0"/>
          <w:numId w:val="2"/>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the earliest checkpoint at which the predictions reach an agreed reliability level.</w:t>
      </w:r>
    </w:p>
    <w:p w:rsidR="00000000" w:rsidDel="00000000" w:rsidP="00000000" w:rsidRDefault="00000000" w:rsidRPr="00000000" w14:paraId="0000003A">
      <w:pPr>
        <w:numPr>
          <w:ilvl w:val="0"/>
          <w:numId w:val="2"/>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SHAP and LIME and define simple measures for explanation stability.</w:t>
      </w:r>
    </w:p>
    <w:p w:rsidR="00000000" w:rsidDel="00000000" w:rsidP="00000000" w:rsidRDefault="00000000" w:rsidRPr="00000000" w14:paraId="0000003B">
      <w:pPr>
        <w:numPr>
          <w:ilvl w:val="0"/>
          <w:numId w:val="2"/>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no resampling, class weighting, SMOTE, and ADASYN.</w:t>
      </w:r>
    </w:p>
    <w:p w:rsidR="00000000" w:rsidDel="00000000" w:rsidP="00000000" w:rsidRDefault="00000000" w:rsidRPr="00000000" w14:paraId="0000003C">
      <w:pPr>
        <w:numPr>
          <w:ilvl w:val="0"/>
          <w:numId w:val="2"/>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 results separately for all students and for students who are still enrolled.</w:t>
      </w:r>
    </w:p>
    <w:p w:rsidR="00000000" w:rsidDel="00000000" w:rsidP="00000000" w:rsidRDefault="00000000" w:rsidRPr="00000000" w14:paraId="0000003D">
      <w:pPr>
        <w:numPr>
          <w:ilvl w:val="0"/>
          <w:numId w:val="2"/>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and later test counterfactual recourse for possible educational support.</w:t>
      </w:r>
    </w:p>
    <w:p w:rsidR="00000000" w:rsidDel="00000000" w:rsidP="00000000" w:rsidRDefault="00000000" w:rsidRPr="00000000" w14:paraId="0000003E">
      <w:pPr>
        <w:spacing w:after="0" w:before="0" w:line="312"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3"/>
        <w:spacing w:after="0" w:line="312" w:lineRule="auto"/>
        <w:jc w:val="both"/>
        <w:rPr/>
      </w:pPr>
      <w:bookmarkStart w:colFirst="0" w:colLast="0" w:name="_heading=h.1q1jfb5ubx72" w:id="8"/>
      <w:bookmarkEnd w:id="8"/>
      <w:r w:rsidDel="00000000" w:rsidR="00000000" w:rsidRPr="00000000">
        <w:rPr>
          <w:rtl w:val="0"/>
        </w:rPr>
        <w:t xml:space="preserve">3.3. Research Questions</w:t>
      </w:r>
    </w:p>
    <w:p w:rsidR="00000000" w:rsidDel="00000000" w:rsidP="00000000" w:rsidRDefault="00000000" w:rsidRPr="00000000" w14:paraId="00000040">
      <w:pPr>
        <w:numPr>
          <w:ilvl w:val="0"/>
          <w:numId w:val="1"/>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RQ1. At different course-progress checkpoints (10–100% of course length), which algorithm gives the best at-risk prediction on OULAD, and how early can a prediction be considered reliable?</w:t>
      </w:r>
    </w:p>
    <w:p w:rsidR="00000000" w:rsidDel="00000000" w:rsidP="00000000" w:rsidRDefault="00000000" w:rsidRPr="00000000" w14:paraId="00000041">
      <w:pPr>
        <w:numPr>
          <w:ilvl w:val="0"/>
          <w:numId w:val="1"/>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RQ2. How consistent are the explanations produced by SHAP and LIME for the same model, and how does their stability change across time and across imbalance-handling strategies?</w:t>
      </w:r>
    </w:p>
    <w:p w:rsidR="00000000" w:rsidDel="00000000" w:rsidP="00000000" w:rsidRDefault="00000000" w:rsidRPr="00000000" w14:paraId="00000042">
      <w:pPr>
        <w:numPr>
          <w:ilvl w:val="0"/>
          <w:numId w:val="1"/>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RQ3. How does imbalance handling (SMOTE / ADASYN / class weighting) affect both predictive accuracy and explanation quality?</w:t>
      </w:r>
    </w:p>
    <w:p w:rsidR="00000000" w:rsidDel="00000000" w:rsidP="00000000" w:rsidRDefault="00000000" w:rsidRPr="00000000" w14:paraId="00000043">
      <w:pPr>
        <w:numPr>
          <w:ilvl w:val="0"/>
          <w:numId w:val="1"/>
        </w:numPr>
        <w:spacing w:after="0" w:before="0"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RQ4. Can Counterfactual Explanations (actionable recourse) generate minimal, feasible intervention plans for at-risk students — constrained by pedagogical actionability — and how does the recourse effort change across course-progress checkpoints?</w:t>
      </w:r>
    </w:p>
    <w:p w:rsidR="00000000" w:rsidDel="00000000" w:rsidP="00000000" w:rsidRDefault="00000000" w:rsidRPr="00000000" w14:paraId="00000044">
      <w:pPr>
        <w:spacing w:after="0" w:before="0" w:line="312"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RQ4 is a planned research direction at the current stage. It must not be presented as a completed result until the recourse module, constraints, tests, and evaluation have been completed.</w:t>
      </w:r>
    </w:p>
    <w:p w:rsidR="00000000" w:rsidDel="00000000" w:rsidP="00000000" w:rsidRDefault="00000000" w:rsidRPr="00000000" w14:paraId="00000046">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come from the group's review of 27 representative papers from 2019 to 2026 </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The review suggests that time-aware prediction, explainable AI, and imbalance handling are often studied separately. We therefore want to examine them together on OULAD. The review also suggests that many systems identify students at risk but do not discuss what support could be offered. In this project, we plan to compare several models, explain their predictions with SHAP and LIME, study explanation stability, and investigate possible counterfactual support plans. These are planned contributions, not completed results. We will report results for both the full student group and the students who are still enrolled at each checkpoint, because these two groups answer different practical questions.</w:t>
      </w:r>
    </w:p>
    <w:p w:rsidR="00000000" w:rsidDel="00000000" w:rsidP="00000000" w:rsidRDefault="00000000" w:rsidRPr="00000000" w14:paraId="00000048">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4. Structure of the Thesis </w:t>
      </w:r>
    </w:p>
    <w:p w:rsidR="00000000" w:rsidDel="00000000" w:rsidP="00000000" w:rsidRDefault="00000000" w:rsidRPr="00000000" w14:paraId="0000004A">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report will be organised into six main sections. Section 1 introduces the educational problem, explains why an early-warning system may be useful, and presents the research questions and planned contributions of EduGuard.</w:t>
      </w:r>
    </w:p>
    <w:p w:rsidR="00000000" w:rsidDel="00000000" w:rsidP="00000000" w:rsidRDefault="00000000" w:rsidRPr="00000000" w14:paraId="0000004B">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reviews previous work on OULAD-based at-risk prediction, time-aware learning analytics, explainable AI, class imbalance, and actionable recourse. It also explains the research areas that this project will study.</w:t>
      </w:r>
    </w:p>
    <w:p w:rsidR="00000000" w:rsidDel="00000000" w:rsidP="00000000" w:rsidRDefault="00000000" w:rsidRPr="00000000" w14:paraId="0000004D">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describes the dataset and the planned methodology. It will cover the OULAD data, the target definition, feature creation, course checkpoints, leakage prevention, student-level data splitting, cross-validation, and preprocessing.</w:t>
      </w:r>
    </w:p>
    <w:p w:rsidR="00000000" w:rsidDel="00000000" w:rsidP="00000000" w:rsidRDefault="00000000" w:rsidRPr="00000000" w14:paraId="0000004F">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 will report the model comparison and the time-aware prediction results for RQ1. It will compare the five algorithms, examine the reliability of the rankings, and compare the full student group with the students who are still enrolled.</w:t>
      </w:r>
    </w:p>
    <w:p w:rsidR="00000000" w:rsidDel="00000000" w:rsidP="00000000" w:rsidRDefault="00000000" w:rsidRPr="00000000" w14:paraId="00000051">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 will study the effects of imbalance-handling methods and the stability of SHAP and LIME explanations. This section will address RQ2 and RQ3 and discuss how explanations may support educational decisions.</w:t>
      </w:r>
    </w:p>
    <w:p w:rsidR="00000000" w:rsidDel="00000000" w:rsidP="00000000" w:rsidRDefault="00000000" w:rsidRPr="00000000" w14:paraId="00000053">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6 will discuss the limitations of the study, summarise the main findings, and present possible deployment and monitoring recommendations. It will also describe future work, including testing the system on other institutions and developing actionable counterfactual recourse.</w:t>
      </w:r>
    </w:p>
    <w:p w:rsidR="00000000" w:rsidDel="00000000" w:rsidP="00000000" w:rsidRDefault="00000000" w:rsidRPr="00000000" w14:paraId="00000055">
      <w:pPr>
        <w:spacing w:after="0" w:before="0" w:line="312"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57">
      <w:pPr>
        <w:pStyle w:val="Heading2"/>
        <w:spacing w:after="0" w:line="312" w:lineRule="auto"/>
        <w:jc w:val="both"/>
        <w:rPr/>
      </w:pPr>
      <w:bookmarkStart w:colFirst="0" w:colLast="0" w:name="_heading=h.6eoxolcezfig" w:id="9"/>
      <w:bookmarkEnd w:id="9"/>
      <w:r w:rsidDel="00000000" w:rsidR="00000000" w:rsidRPr="00000000">
        <w:rPr>
          <w:rtl w:val="0"/>
        </w:rPr>
        <w:t xml:space="preserve">References</w:t>
      </w:r>
    </w:p>
    <w:p w:rsidR="00000000" w:rsidDel="00000000" w:rsidP="00000000" w:rsidRDefault="00000000" w:rsidRPr="00000000" w14:paraId="00000058">
      <w:pPr>
        <w:spacing w:after="0" w:before="0" w:line="312"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[1] J. Kuzilek, M. Hlosta, and Z. Zdrahal, “Open University Learning Analytics Dataset,” Scientific Data, 2017. </w:t>
        </w:r>
      </w:hyperlink>
      <w:r w:rsidDel="00000000" w:rsidR="00000000" w:rsidRPr="00000000">
        <w:rPr>
          <w:rtl w:val="0"/>
        </w:rPr>
      </w:r>
    </w:p>
    <w:p w:rsidR="00000000" w:rsidDel="00000000" w:rsidP="00000000" w:rsidRDefault="00000000" w:rsidRPr="00000000" w14:paraId="00000059">
      <w:pPr>
        <w:spacing w:after="0" w:before="0" w:line="312"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[2] M. Adnan et al., “Predicting at-Risk Students at Different Percentages of Course Length for Early Intervention Using Machine Learning Models,” IEEE Access, vol. 9, pp. 7519-7539, 2021.</w:t>
        </w:r>
      </w:hyperlink>
      <w:r w:rsidDel="00000000" w:rsidR="00000000" w:rsidRPr="00000000">
        <w:rPr>
          <w:rtl w:val="0"/>
        </w:rPr>
      </w:r>
    </w:p>
    <w:p w:rsidR="00000000" w:rsidDel="00000000" w:rsidP="00000000" w:rsidRDefault="00000000" w:rsidRPr="00000000" w14:paraId="0000005A">
      <w:pPr>
        <w:spacing w:after="0" w:before="0" w:line="312"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[3] N. Tomasevic, N. Gvozdenovic, and S. Vranes, “An Overview and Comparison of Supervised Data Mining Techniques for Student Exam Performance Prediction,” Computers &amp; Education, vol. 143, art. 103676, 2020.</w:t>
        </w:r>
      </w:hyperlink>
      <w:r w:rsidDel="00000000" w:rsidR="00000000" w:rsidRPr="00000000">
        <w:rPr>
          <w:rtl w:val="0"/>
        </w:rPr>
      </w:r>
    </w:p>
    <w:p w:rsidR="00000000" w:rsidDel="00000000" w:rsidP="00000000" w:rsidRDefault="00000000" w:rsidRPr="00000000" w14:paraId="0000005B">
      <w:pPr>
        <w:spacing w:after="0" w:before="0" w:line="312"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[4] S. Gunasekara and M. Saarela, “Explainable AI in Education: Techniques and Qualitative Assessment,” Applied Sciences, vol. 15, no. 3, art. 1239, 2025.</w:t>
        </w:r>
      </w:hyperlink>
      <w:r w:rsidDel="00000000" w:rsidR="00000000" w:rsidRPr="00000000">
        <w:rPr>
          <w:rtl w:val="0"/>
        </w:rPr>
      </w:r>
    </w:p>
    <w:p w:rsidR="00000000" w:rsidDel="00000000" w:rsidP="00000000" w:rsidRDefault="00000000" w:rsidRPr="00000000" w14:paraId="0000005C">
      <w:pPr>
        <w:spacing w:after="0" w:before="0" w:line="312"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[5] Alamri and Alharbi, “Explainable Student Performance Prediction: A Systematic Review,” IEEE Access, 2021.</w:t>
        </w:r>
      </w:hyperlink>
      <w:r w:rsidDel="00000000" w:rsidR="00000000" w:rsidRPr="00000000">
        <w:rPr>
          <w:rtl w:val="0"/>
        </w:rPr>
      </w:r>
    </w:p>
    <w:p w:rsidR="00000000" w:rsidDel="00000000" w:rsidP="00000000" w:rsidRDefault="00000000" w:rsidRPr="00000000" w14:paraId="0000005D">
      <w:pPr>
        <w:spacing w:after="0" w:before="0" w:line="312"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[6] “Counterfactual Explanations for Student At-Risk Prediction / Group Counterfactuals,” educational data-mining studies, 2023-2025.</w:t>
        </w:r>
      </w:hyperlink>
      <w:r w:rsidDel="00000000" w:rsidR="00000000" w:rsidRPr="00000000">
        <w:rPr>
          <w:rtl w:val="0"/>
        </w:rPr>
      </w:r>
    </w:p>
    <w:p w:rsidR="00000000" w:rsidDel="00000000" w:rsidP="00000000" w:rsidRDefault="00000000" w:rsidRPr="00000000" w14:paraId="0000005E">
      <w:pPr>
        <w:spacing w:after="0" w:before="0" w:line="312"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[7] “Semantics-Constrained Counterfactual Recourse for Educational Interventions (SC2R),” arXiv, 2024-2025.</w:t>
        </w:r>
      </w:hyperlink>
      <w:r w:rsidDel="00000000" w:rsidR="00000000" w:rsidRPr="00000000">
        <w:rPr>
          <w:rtl w:val="0"/>
        </w:rPr>
      </w:r>
    </w:p>
    <w:p w:rsidR="00000000" w:rsidDel="00000000" w:rsidP="00000000" w:rsidRDefault="00000000" w:rsidRPr="00000000" w14:paraId="0000005F">
      <w:pPr>
        <w:spacing w:after="0" w:before="0" w:line="312"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[8] “Predicting Student Dropout Using Survival Analysis / Dynamic Hazard Models,” educational data-mining and learning-analytics studies.</w:t>
        </w:r>
      </w:hyperlink>
      <w:r w:rsidDel="00000000" w:rsidR="00000000" w:rsidRPr="00000000">
        <w:rPr>
          <w:rtl w:val="0"/>
        </w:rPr>
      </w:r>
    </w:p>
    <w:p w:rsidR="00000000" w:rsidDel="00000000" w:rsidP="00000000" w:rsidRDefault="00000000" w:rsidRPr="00000000" w14:paraId="00000060">
      <w:pPr>
        <w:spacing w:after="0" w:before="0" w:line="312"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[9] Y. Liu et al., “LSTM and Temporal Attention for Student Clickstream,” Education Sciences, 2023.</w:t>
        </w:r>
      </w:hyperlink>
      <w:r w:rsidDel="00000000" w:rsidR="00000000" w:rsidRPr="00000000">
        <w:rPr>
          <w:rtl w:val="0"/>
        </w:rPr>
      </w:r>
    </w:p>
    <w:p w:rsidR="00000000" w:rsidDel="00000000" w:rsidP="00000000" w:rsidRDefault="00000000" w:rsidRPr="00000000" w14:paraId="00000061">
      <w:pPr>
        <w:spacing w:after="0" w:before="0" w:line="312" w:lineRule="auto"/>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[10] S. Wachter, B. Mittelstadt, and C. Russell, “Counterfactual Explanations without Opening the Black Box: Automated Decisions and the GDPR,” Harvard Journal of Law &amp; Technology, vol. 31, no. 2, pp. 841-887, 2018.</w:t>
        </w:r>
      </w:hyperlink>
      <w:r w:rsidDel="00000000" w:rsidR="00000000" w:rsidRPr="00000000">
        <w:rPr>
          <w:rtl w:val="0"/>
        </w:rPr>
      </w:r>
    </w:p>
    <w:p w:rsidR="00000000" w:rsidDel="00000000" w:rsidP="00000000" w:rsidRDefault="00000000" w:rsidRPr="00000000" w14:paraId="00000062">
      <w:pPr>
        <w:spacing w:after="0" w:before="0" w:line="312" w:lineRule="auto"/>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[11] R. K. Mothilal, A. Sharma, and C. Tan, “Explaining Machine Learning Classifiers through Diverse Counterfactual Explanations,” in Proceedings of the ACM Conference on Fairness, Accountability, and Transparency, 2020, pp. 607-617.</w:t>
        </w:r>
      </w:hyperlink>
      <w:r w:rsidDel="00000000" w:rsidR="00000000" w:rsidRPr="00000000">
        <w:rPr>
          <w:rtl w:val="0"/>
        </w:rPr>
      </w:r>
    </w:p>
    <w:p w:rsidR="00000000" w:rsidDel="00000000" w:rsidP="00000000" w:rsidRDefault="00000000" w:rsidRPr="00000000" w14:paraId="00000063">
      <w:pPr>
        <w:spacing w:after="0" w:before="0"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before="0" w:line="312"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line="312" w:lineRule="auto"/>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0" w:line="312" w:lineRule="auto"/>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abs/pii/S0360131519302295" TargetMode="External"/><Relationship Id="rId10" Type="http://schemas.openxmlformats.org/officeDocument/2006/relationships/hyperlink" Target="https://www.researchgate.net/publication/348260513_Predicting_at-Risk_Students_at_Different_Percentages_of_Course_Length_for_Early_Intervention_Using_Machine_Learning_Models" TargetMode="External"/><Relationship Id="rId13" Type="http://schemas.openxmlformats.org/officeDocument/2006/relationships/hyperlink" Target="https://ieeexplore.ieee.org/stamp/stamp.jsp?tp=&amp;arnumber=9360749" TargetMode="External"/><Relationship Id="rId12" Type="http://schemas.openxmlformats.org/officeDocument/2006/relationships/hyperlink" Target="https://www.mdpi.com/2076-3417/15/3/12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data2017171" TargetMode="External"/><Relationship Id="rId15" Type="http://schemas.openxmlformats.org/officeDocument/2006/relationships/hyperlink" Target="https://arxiv.org/pdf/2608.17618" TargetMode="External"/><Relationship Id="rId14" Type="http://schemas.openxmlformats.org/officeDocument/2006/relationships/hyperlink" Target="https://www.mdpi.com/2079-9292/15/1/51" TargetMode="External"/><Relationship Id="rId17" Type="http://schemas.openxmlformats.org/officeDocument/2006/relationships/hyperlink" Target="https://www.mdpi.com/2227-7102/13/1/17" TargetMode="External"/><Relationship Id="rId16" Type="http://schemas.openxmlformats.org/officeDocument/2006/relationships/hyperlink" Target="https://www.researchgate.net/publication/405406552_Predicting_student_dropout_in_higher_education_using_Random_Forest_and_survival_analysis" TargetMode="External"/><Relationship Id="rId5" Type="http://schemas.openxmlformats.org/officeDocument/2006/relationships/styles" Target="styles.xml"/><Relationship Id="rId19" Type="http://schemas.openxmlformats.org/officeDocument/2006/relationships/hyperlink" Target="https://arxiv.org/pdf/1905.07697" TargetMode="External"/><Relationship Id="rId6" Type="http://schemas.openxmlformats.org/officeDocument/2006/relationships/customXml" Target="../customXML/item1.xml"/><Relationship Id="rId18" Type="http://schemas.openxmlformats.org/officeDocument/2006/relationships/hyperlink" Target="https://arxiv.org/pdf/1711.00399"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jKARMj9BA5nJuhJPae8AxPwlw==">CgMxLjAyDmgueHo3eWgwMjk2cTRvMg5oLmRyNzNvaGJ4am5jaDIOaC5kOHM1cHAzZnV6NTYyDmgubzhwdnZod3Z1Yjh5Mg5oLm85emYyem0zZjh0MTIOaC5kb2FtenVxdWowZGYyDmguM2VnejBpbnVpNnl3Mg5oLjh3aXlqNm41Nm1hYjIOaC4xcTFqZmI1dWJ4NzIyDmguNmVveG9sY2V6ZmlnOAByITFJNGpldmFNMms5RURVMm5UVmZRVDJRVkRnYU04QW9fcQ==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