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sz w:val="40"/>
          <w:szCs w:val="40"/>
        </w:rPr>
      </w:pPr>
      <w:r w:rsidDel="00000000" w:rsidR="00000000" w:rsidRPr="00000000">
        <w:rPr>
          <w:rFonts w:ascii="Times New Roman" w:cs="Times New Roman" w:eastAsia="Times New Roman" w:hAnsi="Times New Roman"/>
          <w:sz w:val="26"/>
          <w:szCs w:val="26"/>
        </w:rPr>
        <w:drawing>
          <wp:inline distB="114300" distT="114300" distL="114300" distR="114300">
            <wp:extent cx="5357813" cy="209150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57813" cy="20915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rtl w:val="0"/>
        </w:rPr>
      </w:r>
    </w:p>
    <w:p w:rsidR="00000000" w:rsidDel="00000000" w:rsidP="00000000" w:rsidRDefault="00000000" w:rsidRPr="00000000" w14:paraId="00000004">
      <w:pPr>
        <w:spacing w:after="0" w:before="240" w:line="276" w:lineRule="auto"/>
        <w:jc w:val="center"/>
        <w:rPr>
          <w:rFonts w:ascii="Calibri" w:cs="Calibri" w:eastAsia="Calibri" w:hAnsi="Calibri"/>
        </w:rPr>
      </w:pPr>
      <w:r w:rsidDel="00000000" w:rsidR="00000000" w:rsidRPr="00000000">
        <w:rPr>
          <w:rFonts w:ascii="Calibri" w:cs="Calibri" w:eastAsia="Calibri" w:hAnsi="Calibri"/>
          <w:b w:val="1"/>
          <w:bCs w:val="1"/>
          <w:color w:val="1155cc"/>
          <w:sz w:val="36"/>
          <w:szCs w:val="36"/>
          <w:rtl w:val="0"/>
        </w:rPr>
        <w:t xml:space="preserve">RESEARCH PROPOSAL</w:t>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34"/>
          <w:szCs w:val="34"/>
          <w:rtl w:val="0"/>
        </w:rPr>
        <w:t xml:space="preserve">EduGuard: AI-Powered Early Warning and Actionable Recourse System for Students</w:t>
      </w:r>
      <w:r w:rsidDel="00000000" w:rsidR="00000000" w:rsidRPr="00000000">
        <w:rPr>
          <w:rtl w:val="0"/>
        </w:rPr>
      </w:r>
    </w:p>
    <w:p w:rsidR="00000000" w:rsidDel="00000000" w:rsidP="00000000" w:rsidRDefault="00000000" w:rsidRPr="00000000" w14:paraId="00000006">
      <w:pPr>
        <w:spacing w:after="0" w:line="276" w:lineRule="auto"/>
        <w:jc w:val="center"/>
        <w:rPr>
          <w:rFonts w:ascii="Calibri" w:cs="Calibri" w:eastAsia="Calibri" w:hAnsi="Calibri"/>
          <w:b w:val="1"/>
          <w:bCs w:val="1"/>
          <w:color w:val="1155cc"/>
          <w:sz w:val="34"/>
          <w:szCs w:val="34"/>
        </w:rPr>
      </w:pPr>
      <w:r w:rsidDel="00000000" w:rsidR="00000000" w:rsidRPr="00000000">
        <w:rPr>
          <w:rtl w:val="0"/>
        </w:rPr>
      </w:r>
    </w:p>
    <w:p w:rsidR="00000000" w:rsidDel="00000000" w:rsidP="00000000" w:rsidRDefault="00000000" w:rsidRPr="00000000" w14:paraId="00000007">
      <w:pPr>
        <w:spacing w:after="0" w:line="276" w:lineRule="auto"/>
        <w:jc w:val="center"/>
        <w:rPr>
          <w:rFonts w:ascii="Calibri" w:cs="Calibri" w:eastAsia="Calibri" w:hAnsi="Calibri"/>
        </w:rPr>
      </w:pPr>
      <w:r w:rsidDel="00000000" w:rsidR="00000000" w:rsidRPr="00000000">
        <w:rPr>
          <w:rFonts w:ascii="Calibri" w:cs="Calibri" w:eastAsia="Calibri" w:hAnsi="Calibri"/>
          <w:b w:val="1"/>
          <w:bCs w:val="1"/>
          <w:color w:val="1155cc"/>
          <w:sz w:val="28"/>
          <w:szCs w:val="28"/>
          <w:rtl w:val="0"/>
        </w:rPr>
        <w:t xml:space="preserve">Group 2</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rPr/>
      </w:pPr>
      <w:r w:rsidDel="00000000" w:rsidR="00000000" w:rsidRPr="00000000">
        <w:rPr>
          <w:b w:val="0"/>
          <w:bCs w:val="0"/>
          <w:i w:val="0"/>
          <w:iCs w:val="0"/>
          <w:sz w:val="22"/>
          <w:szCs w:val="22"/>
          <w:rtl w:val="0"/>
        </w:rPr>
        <w:t xml:space="preserve">Student dropout and academic failure remain persistent challenges in online learning environments. Many learners do not fail suddenly; they gradually disengage, miss assessments, and reduce their interaction with the learning platform. This creates an opportunity for early-warning systems that detect risk before the problem becomes irreversible.</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i w:val="0"/>
          <w:iCs w:val="0"/>
          <w:sz w:val="22"/>
          <w:szCs w:val="22"/>
          <w:rtl w:val="0"/>
        </w:rPr>
        <w:t xml:space="preserve">EduGuard addresses this issue by developing an AI-powered early warning system that predicts students at risk of failure or withdrawal based on learning behavior, academic performance, and demographic context. The system is designed not only to predict risk accurately, but also to explain why a student is flagged so that instructors can intervene in a timely and informed way.</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 Motivation and Problem Statement</w:t>
      </w:r>
    </w:p>
    <w:p w:rsidR="00000000" w:rsidDel="00000000" w:rsidP="00000000" w:rsidRDefault="00000000" w:rsidRPr="00000000" w14:paraId="0000000C">
      <w:pPr>
        <w:rPr/>
      </w:pPr>
      <w:r w:rsidDel="00000000" w:rsidR="00000000" w:rsidRPr="00000000">
        <w:rPr>
          <w:rtl w:val="0"/>
        </w:rPr>
        <w:t xml:space="preserve">The rapid expansion of online and blended learning has made it possible to collect detailed records of student engagement, assessment activity, and course participation. However, the availability of these data does not automatically lead to timely academic support. Students may gradually disengage through reduced platform activity, missed assessments, or declining performance without receiving support until failure or withdrawal is already likely. At that point, an institution may be able to describe what happened, but it has limited opportunity to prevent the outcome.</w:t>
      </w:r>
    </w:p>
    <w:p w:rsidR="00000000" w:rsidDel="00000000" w:rsidP="00000000" w:rsidRDefault="00000000" w:rsidRPr="00000000" w14:paraId="0000000D">
      <w:pPr>
        <w:rPr/>
      </w:pPr>
      <w:r w:rsidDel="00000000" w:rsidR="00000000" w:rsidRPr="00000000">
        <w:rPr>
          <w:rtl w:val="0"/>
        </w:rPr>
        <w:t xml:space="preserve">The motivation for EduGuard is therefore both educational and methodological. From an educational perspective, instructors need an early signal that identifies which students may require attention while there is still time to respond. From a methodological perspective, the signal must be evaluated honestly. A model may appear highly accurate on a full historical enrolment cohort partly because it recognises students who have already withdrawn. Such a result is useful for describing final outcomes, but it should not be interpreted as equivalent to forecasting risk among students who are still enrolled and can still be contacted.</w:t>
      </w:r>
    </w:p>
    <w:p w:rsidR="00000000" w:rsidDel="00000000" w:rsidP="00000000" w:rsidRDefault="00000000" w:rsidRPr="00000000" w14:paraId="0000000E">
      <w:pPr>
        <w:rPr/>
      </w:pPr>
      <w:r w:rsidDel="00000000" w:rsidR="00000000" w:rsidRPr="00000000">
        <w:rPr>
          <w:rtl w:val="0"/>
        </w:rPr>
        <w:t xml:space="preserve">The problem is also not solved by maximising predictive accuracy alone. A black-box risk score does not explain whether a student was flagged because of inactivity, missing submissions, weak assessment performance, or another factor. Without an explanation, instructors may struggle to choose an appropriate intervention, and students may receive a label without a meaningful path to improvement. In addition, explanations that change substantially across model runs or preprocessing choices may undermine trust even when the aggregate performance metrics remain strong.</w:t>
      </w:r>
    </w:p>
    <w:p w:rsidR="00000000" w:rsidDel="00000000" w:rsidP="00000000" w:rsidRDefault="00000000" w:rsidRPr="00000000" w14:paraId="0000000F">
      <w:pPr>
        <w:rPr>
          <w:rFonts w:ascii="Courier New" w:cs="Courier New" w:eastAsia="Courier New" w:hAnsi="Courier New"/>
          <w:color w:val="bbbebf"/>
          <w:sz w:val="21"/>
          <w:szCs w:val="21"/>
        </w:rPr>
      </w:pPr>
      <w:r w:rsidDel="00000000" w:rsidR="00000000" w:rsidRPr="00000000">
        <w:rPr>
          <w:rtl w:val="0"/>
        </w:rPr>
        <w:t xml:space="preserve">Accordingly, this project formulates the problem as the development of a time-aware binary early-warning system for the target at_risk is binary, using only information available up to each course-progress checkpoint. The system must address four linked requirements: (i) predict risk early enough to support intervention, (ii) prevent temporal and student-level leakage, (iii) explain predictions in a stable and educationally meaningful way, and (iv) translate explanations into feasible recommendations without treating immutable student characteristics as intervention targets. The study therefore evaluates not only whether the model is accurate, but also when its predictions are reliable, for whom they are actionable, why the predictions are made, and what form of support may reasonably follow.</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2. Related Work and Research Gap</w:t>
      </w:r>
    </w:p>
    <w:p w:rsidR="00000000" w:rsidDel="00000000" w:rsidP="00000000" w:rsidRDefault="00000000" w:rsidRPr="00000000" w14:paraId="00000012">
      <w:pPr>
        <w:rPr/>
      </w:pPr>
      <w:r w:rsidDel="00000000" w:rsidR="00000000" w:rsidRPr="00000000">
        <w:rPr>
          <w:rtl w:val="0"/>
        </w:rPr>
        <w:t xml:space="preserve">Research on student-risk prediction has increasingly combined educational data mining, learning analytics, and explainable artificial intelligence. Nevertheless, previous studies differ substantially in their data scope, preprocessing decisions, temporal design, validation strategy, and practical interpretation. This section reviews four OULAD-based studies discussed in the group's literature and preprocessing documents: Adnan et al. (2021), Tomasevic et al. (2020), Gunasekara and Saarela (2025), and Liu et al. (2023). The comparison is then used to position EduGuard and define the remaining research gaps.</w:t>
      </w:r>
    </w:p>
    <w:p w:rsidR="00000000" w:rsidDel="00000000" w:rsidP="00000000" w:rsidRDefault="00000000" w:rsidRPr="00000000" w14:paraId="00000013">
      <w:pPr>
        <w:rPr>
          <w:b w:val="1"/>
          <w:bCs w:val="1"/>
        </w:rPr>
      </w:pPr>
      <w:r w:rsidDel="00000000" w:rsidR="00000000" w:rsidRPr="00000000">
        <w:rPr>
          <w:b w:val="1"/>
          <w:bCs w:val="1"/>
          <w:rtl w:val="0"/>
        </w:rPr>
        <w:t xml:space="preserve">At-Risk Prediction and Time-Aware Modeling</w:t>
      </w:r>
    </w:p>
    <w:p w:rsidR="00000000" w:rsidDel="00000000" w:rsidP="00000000" w:rsidRDefault="00000000" w:rsidRPr="00000000" w14:paraId="00000014">
      <w:pPr>
        <w:rPr/>
      </w:pPr>
      <w:r w:rsidDel="00000000" w:rsidR="00000000" w:rsidRPr="00000000">
        <w:rPr>
          <w:rtl w:val="0"/>
        </w:rPr>
        <w:t xml:space="preserve">Adnan et al. [1] provide the closest foundation for time-aware early-warning prediction on OULAD. Their study uses the full dataset, combining demographic information, VLE clickstream activity, and assessment records. Features are computed cumulatively at the beginning of the course and at 20%, 40%, 60%, 80%, and 100% of course length. Their results indicate that predictive performance becomes practically useful around the middle of the course, establishing an important early-intervention benchmark. However, their pipeline merges Pass with Distinction and Fail with Withdrawn, uses standard cross-validation or a separate split for the deep-learning model, and does not apply a student-level group-aware split. Consequently, the same student may potentially contribute records to both training and evaluation when multiple presentations are present. EduGuard extends this temporal design by adding a 10% checkpoint, freezing a student-level split, and reporting results separately for the full enrolment cohort and the still-enrolled cohort.</w:t>
      </w:r>
    </w:p>
    <w:p w:rsidR="00000000" w:rsidDel="00000000" w:rsidP="00000000" w:rsidRDefault="00000000" w:rsidRPr="00000000" w14:paraId="00000015">
      <w:pPr>
        <w:rPr/>
      </w:pPr>
      <w:r w:rsidDel="00000000" w:rsidR="00000000" w:rsidRPr="00000000">
        <w:rPr>
          <w:rtl w:val="0"/>
        </w:rPr>
        <w:t xml:space="preserve">Tomasevic et al. [2] conduct a comparative study of supervised learning methods using an OULAD subset based on the DDD module and two presentations. Their experiments combine demographic, engagement, and assessment features, and show that engagement and academic-performance variables contribute more strongly to prediction than demographic attributes. The authors remove rows containing missing values and normalise the features, using random hold-out splits and repeated evaluation. Their findings support EduGuard's decision to prioritise behavioural and assessment signals while retaining demographic variables for contextual and fairness analysis. However, the removal of missing assessment records may discard students who have not yet submitted work, even though non-submission can itself be an important early-warning signal. EduGuard therefore represents this condition explicitly through the `not_submitted` feature rather than treating it only as missing noise.</w:t>
      </w:r>
    </w:p>
    <w:p w:rsidR="00000000" w:rsidDel="00000000" w:rsidP="00000000" w:rsidRDefault="00000000" w:rsidRPr="00000000" w14:paraId="00000016">
      <w:pPr>
        <w:rPr/>
      </w:pPr>
      <w:r w:rsidDel="00000000" w:rsidR="00000000" w:rsidRPr="00000000">
        <w:rPr>
          <w:rtl w:val="0"/>
        </w:rPr>
        <w:t xml:space="preserve">Liu et al. [3] focus more specifically on clickstream-based prediction. They merge student information with VLE activity and aggregate interactions across twelve learning sites at weekly and monthly intervals. Their comparison of LSTM, 1D-CNN, and traditional machine-learning models shows that temporal click behaviour can predict academic outcomes and that predictive accuracy generally improves as more of the course unfolds. This study demonstrates the value of behavioural sequence information, but it uses a reduced subset of OULAD, removes students with no recorded clicks, and does not provide the same checkpoint-based, leakage-controlled evaluation used in EduGuard. EduGuard follows the general principle of compressing the large clickstream into learner-level behavioural features, while recomputing those features at each course-progress checkpoint and preserving inactive students as meaningful observations rather than deleting them.</w:t>
      </w:r>
    </w:p>
    <w:p w:rsidR="00000000" w:rsidDel="00000000" w:rsidP="00000000" w:rsidRDefault="00000000" w:rsidRPr="00000000" w14:paraId="00000017">
      <w:pPr>
        <w:rPr/>
      </w:pPr>
      <w:r w:rsidDel="00000000" w:rsidR="00000000" w:rsidRPr="00000000">
        <w:rPr>
          <w:rtl w:val="0"/>
        </w:rPr>
        <w:t xml:space="preserve">Together, these studies establish that OULAD supports reliable prediction from a combination of engagement and assessment information. They also suggest an earliness-reliability trade-off: predictions become stronger as more behavioural evidence is observed, but late predictions provide less time for intervention. The remaining methodological issue is therefore not simply whether risk can be predicted, but when it can be predicted reliably and for which population the prediction remains actionable.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Explainable AI for Educational Prediction</w:t>
      </w:r>
    </w:p>
    <w:p w:rsidR="00000000" w:rsidDel="00000000" w:rsidP="00000000" w:rsidRDefault="00000000" w:rsidRPr="00000000" w14:paraId="0000001A">
      <w:pPr>
        <w:rPr/>
      </w:pPr>
      <w:r w:rsidDel="00000000" w:rsidR="00000000" w:rsidRPr="00000000">
        <w:rPr>
          <w:rtl w:val="0"/>
        </w:rPr>
        <w:t xml:space="preserve">Explainability is increasingly important because a risk score alone does not tell an instructor what kind of support may be appropriate. SHAP [4] explains predictions through feature contributions based on Shapley values and can be used for both global importance and local explanations. LIME [5] builds a locally interpretable surrogate model around an individual prediction and is independent of the underlying estimator.</w:t>
      </w:r>
    </w:p>
    <w:p w:rsidR="00000000" w:rsidDel="00000000" w:rsidP="00000000" w:rsidRDefault="00000000" w:rsidRPr="00000000" w14:paraId="0000001B">
      <w:pPr>
        <w:rPr/>
      </w:pPr>
      <w:r w:rsidDel="00000000" w:rsidR="00000000" w:rsidRPr="00000000">
        <w:rPr>
          <w:rtl w:val="0"/>
        </w:rPr>
        <w:t xml:space="preserve">Gunasekara and Saarela [6] apply SHAP and LIME to OULAD using a three-module subset with aggregated behavioural, assessment, and demographic attributes. Their work demonstrates how post-hoc explanations can make student-performance models more accessible to educational users. It also compares an artificial neural network with a decision tree and repeats cross-validation extensively. However, their explanation analysis is primarily qualitative: feature-importance plots and example explanations are inspected, but the stability of the explanations across random seeds, checkpoints, or training configurations is not measured systematically.</w:t>
      </w:r>
    </w:p>
    <w:p w:rsidR="00000000" w:rsidDel="00000000" w:rsidP="00000000" w:rsidRDefault="00000000" w:rsidRPr="00000000" w14:paraId="0000001C">
      <w:pPr>
        <w:rPr/>
      </w:pPr>
      <w:r w:rsidDel="00000000" w:rsidR="00000000" w:rsidRPr="00000000">
        <w:rPr>
          <w:rtl w:val="0"/>
        </w:rPr>
        <w:t xml:space="preserve">This limitation is important for an early-warning system. An explanation that changes substantially when the model is retrained, when the checkpoint changes, or when the imbalance strategy changes may be difficult for instructors to trust. EduGuard addresses this issue by evaluating explanation stability quantitatively through top-$k$ Jaccard agreement, Spearman rank correlation, and variation in feature importance. It also relates explanations to the actionable population rather than interpreting full-cohort performance without qualification.</w:t>
      </w:r>
    </w:p>
    <w:p w:rsidR="00000000" w:rsidDel="00000000" w:rsidP="00000000" w:rsidRDefault="00000000" w:rsidRPr="00000000" w14:paraId="0000001D">
      <w:pPr>
        <w:rPr>
          <w:b w:val="1"/>
          <w:bCs w:val="1"/>
        </w:rPr>
      </w:pPr>
      <w:r w:rsidDel="00000000" w:rsidR="00000000" w:rsidRPr="00000000">
        <w:rPr>
          <w:b w:val="1"/>
          <w:bCs w:val="1"/>
          <w:rtl w:val="0"/>
        </w:rPr>
        <w:t xml:space="preserve">Data Preparation and Validation Practices in Prior Studies</w:t>
      </w:r>
    </w:p>
    <w:p w:rsidR="00000000" w:rsidDel="00000000" w:rsidP="00000000" w:rsidRDefault="00000000" w:rsidRPr="00000000" w14:paraId="0000001E">
      <w:pPr>
        <w:rPr/>
      </w:pPr>
      <w:r w:rsidDel="00000000" w:rsidR="00000000" w:rsidRPr="00000000">
        <w:rPr>
          <w:rtl w:val="0"/>
        </w:rPr>
        <w:t xml:space="preserve">The preprocessing comparison across the four studies reveals several recurring design patterns and limitations. First, all studies use OULAD as secondary data, but their scopes differ: Adnan et al. [1] use the full dataset; Tomasevic et al. [2] focus on the DDD subset; Gunasekara and Saarela [6] use three modules as an XAI benchmark; and Liu et al. [3] use student information combined with clickstream data after removing students without recorded clicks.</w:t>
      </w:r>
    </w:p>
    <w:p w:rsidR="00000000" w:rsidDel="00000000" w:rsidP="00000000" w:rsidRDefault="00000000" w:rsidRPr="00000000" w14:paraId="0000001F">
      <w:pPr>
        <w:rPr/>
      </w:pPr>
      <w:r w:rsidDel="00000000" w:rsidR="00000000" w:rsidRPr="00000000">
        <w:rPr>
          <w:rtl w:val="0"/>
        </w:rPr>
        <w:t xml:space="preserve">Second, missing-data treatment is inconsistent. Adnan et al. [1] impute missing date values, Tomasevic et al. [2] remove rows with missing values, Gunasekara and Saarela [6] remove excessively incomplete rows or columns, and Liu et al. [3] remove students with no clicks. These choices may improve computational convenience, but they can also remove precisely the students whose inactivity or non-submission is most relevant to an early-warning task. EduGuard instead preserves the fixed enrolment roster, treats non-submission as an explicit signal, and fits imputation and transformation statistics only on the training partition.</w:t>
      </w:r>
    </w:p>
    <w:p w:rsidR="00000000" w:rsidDel="00000000" w:rsidP="00000000" w:rsidRDefault="00000000" w:rsidRPr="00000000" w14:paraId="00000020">
      <w:pPr>
        <w:rPr/>
      </w:pPr>
      <w:r w:rsidDel="00000000" w:rsidR="00000000" w:rsidRPr="00000000">
        <w:rPr>
          <w:rtl w:val="0"/>
        </w:rPr>
        <w:t xml:space="preserve">Third, previous studies use random hold-out or conventional cross-validation. These procedures are appropriate for many standard prediction settings but may be optimistic when one student appears in multiple module-presentations. None of the four reviewed studies applies the same frozen, student-level, group-aware split across all checkpoints. EduGuard addresses this risk by assigning every record belonging to an `id_student` entirely to either training or testing, reusing the fixed test set at every checkpoint, and verifying zero student overlap automatically.</w:t>
      </w:r>
    </w:p>
    <w:p w:rsidR="00000000" w:rsidDel="00000000" w:rsidP="00000000" w:rsidRDefault="00000000" w:rsidRPr="00000000" w14:paraId="00000021">
      <w:pPr>
        <w:rPr/>
      </w:pPr>
      <w:r w:rsidDel="00000000" w:rsidR="00000000" w:rsidRPr="00000000">
        <w:rPr>
          <w:rtl w:val="0"/>
        </w:rPr>
        <w:t xml:space="preserve">Finally, previous studies mostly focus on predictive performance. They do not jointly evaluate whether preprocessing choices, class-balancing strategies, and explanation quality interact. This is particularly relevant here because the EduGuard label mapping produces a mild majority of at-risk cases rather than a rare positive class. Resampling is therefore treated as a controlled robustness experiment rather than an automatic remedy for severe imbalance.</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Research Gaps and Positioning of EduGuard</w:t>
      </w:r>
    </w:p>
    <w:p w:rsidR="00000000" w:rsidDel="00000000" w:rsidP="00000000" w:rsidRDefault="00000000" w:rsidRPr="00000000" w14:paraId="00000024">
      <w:pPr>
        <w:rPr/>
      </w:pPr>
      <w:r w:rsidDel="00000000" w:rsidR="00000000" w:rsidRPr="00000000">
        <w:rPr>
          <w:rtl w:val="0"/>
        </w:rPr>
        <w:t xml:space="preserve">The reviewed studies leave five connected gaps.</w:t>
      </w:r>
    </w:p>
    <w:p w:rsidR="00000000" w:rsidDel="00000000" w:rsidP="00000000" w:rsidRDefault="00000000" w:rsidRPr="00000000" w14:paraId="00000025">
      <w:pPr>
        <w:rPr/>
      </w:pPr>
      <w:r w:rsidDel="00000000" w:rsidR="00000000" w:rsidRPr="00000000">
        <w:rPr>
          <w:rtl w:val="0"/>
        </w:rPr>
        <w:t xml:space="preserve">1. **Time-aware prediction and explainability are rarely integrated.** Adnan et al. [1] establish checkpoint-based prediction, while Gunasekara and Saarela [6] study SHAP and LIME, but these contributions are not combined into one end-to-end, multi-checkpoint OULAD pipeline.</w:t>
      </w:r>
    </w:p>
    <w:p w:rsidR="00000000" w:rsidDel="00000000" w:rsidP="00000000" w:rsidRDefault="00000000" w:rsidRPr="00000000" w14:paraId="00000026">
      <w:pPr>
        <w:rPr/>
      </w:pPr>
      <w:r w:rsidDel="00000000" w:rsidR="00000000" w:rsidRPr="00000000">
        <w:rPr>
          <w:rtl w:val="0"/>
        </w:rPr>
        <w:t xml:space="preserve">2. **The comparison of models is not fully consistent across the same temporal and data-splitting protocol.** Tomasevic et al. [2] provide a useful algorithmic comparison, but their experiments are based on a smaller module subset and conventional random splitting. EduGuard compares logistic regression, random forest, XGBoost, LightGBM, and an artificial neural network at the same six checkpoints under a common frozen, student-level split.</w:t>
      </w:r>
    </w:p>
    <w:p w:rsidR="00000000" w:rsidDel="00000000" w:rsidP="00000000" w:rsidRDefault="00000000" w:rsidRPr="00000000" w14:paraId="00000027">
      <w:pPr>
        <w:rPr/>
      </w:pPr>
      <w:r w:rsidDel="00000000" w:rsidR="00000000" w:rsidRPr="00000000">
        <w:rPr>
          <w:rtl w:val="0"/>
        </w:rPr>
        <w:t xml:space="preserve">3. **Explanation stability is under-evaluated.** Prior XAI work demonstrates how explanations can be produced, but generally does not quantify whether feature rankings remain stable across seeds, checkpoints, or imbalance-handling strategies. EduGuard measures this stability explicitly rather than relying only on visual inspection.</w:t>
      </w:r>
    </w:p>
    <w:p w:rsidR="00000000" w:rsidDel="00000000" w:rsidP="00000000" w:rsidRDefault="00000000" w:rsidRPr="00000000" w14:paraId="00000028">
      <w:pPr>
        <w:rPr/>
      </w:pPr>
      <w:r w:rsidDel="00000000" w:rsidR="00000000" w:rsidRPr="00000000">
        <w:rPr>
          <w:rtl w:val="0"/>
        </w:rPr>
        <w:t xml:space="preserve">4. **Preprocessing and imbalance handling are not connected to explanation quality.** Existing work usually reports predictive metrics after a chosen preprocessing or class-balancing decision. It rarely asks whether resampling changes the reasons given by the model. EduGuard evaluates SMOTE, ADASYN, and class weighting as controlled interventions and examines their effects on both predictive performance and explanation stability.</w:t>
      </w:r>
    </w:p>
    <w:p w:rsidR="00000000" w:rsidDel="00000000" w:rsidP="00000000" w:rsidRDefault="00000000" w:rsidRPr="00000000" w14:paraId="00000029">
      <w:pPr>
        <w:rPr/>
      </w:pPr>
      <w:r w:rsidDel="00000000" w:rsidR="00000000" w:rsidRPr="00000000">
        <w:rPr>
          <w:rtl w:val="0"/>
        </w:rPr>
        <w:t xml:space="preserve">5. **Diagnostic explanations are not translated into actionable recourse.** SHAP and LIME answer the question, “Why was this student flagged?” They do not directly answer, “What feasible change could reduce the student's risk?” The broader counterfactual-explanation literature, including Wachter et al. [7] and Mothilal et al. [8], provides a foundation for answering the second question, but this approach has not been integrated into a time-aware OULAD early-warning workflow. EduGuard extends the pipeline toward actionable recourse by constraining counterfactual changes to pedagogically feasible variables and excluding immutable attributes such as gender, age, disability, and socio-economic background.</w:t>
      </w:r>
    </w:p>
    <w:p w:rsidR="00000000" w:rsidDel="00000000" w:rsidP="00000000" w:rsidRDefault="00000000" w:rsidRPr="00000000" w14:paraId="0000002A">
      <w:pPr>
        <w:rPr/>
      </w:pPr>
      <w:r w:rsidDel="00000000" w:rsidR="00000000" w:rsidRPr="00000000">
        <w:rPr>
          <w:rtl w:val="0"/>
        </w:rPr>
        <w:t xml:space="preserve">The positioning of the project can therefore be summarised as follows:</w:t>
      </w:r>
    </w:p>
    <w:tbl>
      <w:tblPr>
        <w:tblStyle w:val="Table1"/>
        <w:tblW w:w="1022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886075949367"/>
        <w:gridCol w:w="1423.5949367088606"/>
        <w:gridCol w:w="1164.7594936708858"/>
        <w:gridCol w:w="841.2151898734176"/>
        <w:gridCol w:w="1617.7215189873416"/>
        <w:gridCol w:w="1488.3037974683543"/>
        <w:gridCol w:w="1682.4303797468351"/>
        <w:gridCol w:w="647.0886075949365"/>
        <w:tblGridChange w:id="0">
          <w:tblGrid>
            <w:gridCol w:w="1358.886075949367"/>
            <w:gridCol w:w="1423.5949367088606"/>
            <w:gridCol w:w="1164.7594936708858"/>
            <w:gridCol w:w="841.2151898734176"/>
            <w:gridCol w:w="1617.7215189873416"/>
            <w:gridCol w:w="1488.3037974683543"/>
            <w:gridCol w:w="1682.4303797468351"/>
            <w:gridCol w:w="647.0886075949365"/>
          </w:tblGrid>
        </w:tblGridChange>
      </w:tblGrid>
      <w:tr>
        <w:trPr>
          <w:cantSplit w:val="0"/>
          <w:trHeight w:val="675" w:hRule="atLeast"/>
          <w:tblHeader w:val="0"/>
        </w:trPr>
        <w:tc>
          <w:tcPr>
            <w:tcBorders>
              <w:top w:color="72777f" w:space="0" w:sz="6" w:val="single"/>
              <w:left w:color="72777f" w:space="0" w:sz="6" w:val="single"/>
              <w:bottom w:color="ccd3dd" w:space="0" w:sz="6" w:val="single"/>
              <w:right w:color="ccd3dd" w:space="0" w:sz="6" w:val="single"/>
            </w:tcBorders>
            <w:shd w:fill="35608e" w:val="clear"/>
            <w:tcMar>
              <w:top w:w="40.0" w:type="dxa"/>
              <w:left w:w="40.0" w:type="dxa"/>
              <w:bottom w:w="40.0" w:type="dxa"/>
              <w:right w:w="40.0" w:type="dxa"/>
            </w:tcMar>
            <w:vAlign w:val="center"/>
          </w:tcPr>
          <w:p w:rsidR="00000000" w:rsidDel="00000000" w:rsidP="00000000" w:rsidRDefault="00000000" w:rsidRPr="00000000" w14:paraId="0000002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Study</w:t>
            </w:r>
            <w:r w:rsidDel="00000000" w:rsidR="00000000" w:rsidRPr="00000000">
              <w:rPr>
                <w:rtl w:val="0"/>
              </w:rPr>
            </w:r>
          </w:p>
        </w:tc>
        <w:tc>
          <w:tcPr>
            <w:tcBorders>
              <w:top w:color="72777f" w:space="0" w:sz="6" w:val="single"/>
              <w:left w:color="cccccc" w:space="0" w:sz="6" w:val="single"/>
              <w:bottom w:color="ccd3dd" w:space="0" w:sz="6" w:val="single"/>
              <w:right w:color="ccd3dd" w:space="0" w:sz="6" w:val="single"/>
            </w:tcBorders>
            <w:shd w:fill="35608e" w:val="clear"/>
            <w:tcMar>
              <w:top w:w="40.0" w:type="dxa"/>
              <w:left w:w="40.0" w:type="dxa"/>
              <w:bottom w:w="4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OULAD</w:t>
            </w:r>
            <w:r w:rsidDel="00000000" w:rsidR="00000000" w:rsidRPr="00000000">
              <w:rPr>
                <w:rtl w:val="0"/>
              </w:rPr>
            </w:r>
          </w:p>
        </w:tc>
        <w:tc>
          <w:tcPr>
            <w:tcBorders>
              <w:top w:color="72777f" w:space="0" w:sz="6" w:val="single"/>
              <w:left w:color="cccccc" w:space="0" w:sz="6" w:val="single"/>
              <w:bottom w:color="ccd3dd" w:space="0" w:sz="6" w:val="single"/>
              <w:right w:color="ccd3dd" w:space="0" w:sz="6" w:val="single"/>
            </w:tcBorders>
            <w:shd w:fill="35608e" w:val="clear"/>
            <w:tcMar>
              <w:top w:w="40.0" w:type="dxa"/>
              <w:left w:w="40.0" w:type="dxa"/>
              <w:bottom w:w="4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Time-aware prediction</w:t>
            </w:r>
            <w:r w:rsidDel="00000000" w:rsidR="00000000" w:rsidRPr="00000000">
              <w:rPr>
                <w:rtl w:val="0"/>
              </w:rPr>
            </w:r>
          </w:p>
        </w:tc>
        <w:tc>
          <w:tcPr>
            <w:tcBorders>
              <w:top w:color="72777f" w:space="0" w:sz="6" w:val="single"/>
              <w:left w:color="cccccc" w:space="0" w:sz="6" w:val="single"/>
              <w:bottom w:color="ccd3dd" w:space="0" w:sz="6" w:val="single"/>
              <w:right w:color="ccd3dd" w:space="0" w:sz="6" w:val="single"/>
            </w:tcBorders>
            <w:shd w:fill="35608e" w:val="clear"/>
            <w:tcMar>
              <w:top w:w="40.0" w:type="dxa"/>
              <w:left w:w="40.0" w:type="dxa"/>
              <w:bottom w:w="4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XAI</w:t>
            </w:r>
            <w:r w:rsidDel="00000000" w:rsidR="00000000" w:rsidRPr="00000000">
              <w:rPr>
                <w:rtl w:val="0"/>
              </w:rPr>
            </w:r>
          </w:p>
        </w:tc>
        <w:tc>
          <w:tcPr>
            <w:tcBorders>
              <w:top w:color="72777f" w:space="0" w:sz="6" w:val="single"/>
              <w:left w:color="cccccc" w:space="0" w:sz="6" w:val="single"/>
              <w:bottom w:color="ccd3dd" w:space="0" w:sz="6" w:val="single"/>
              <w:right w:color="ccd3dd" w:space="0" w:sz="6" w:val="single"/>
            </w:tcBorders>
            <w:shd w:fill="35608e" w:val="clear"/>
            <w:tcMar>
              <w:top w:w="40.0" w:type="dxa"/>
              <w:left w:w="40.0" w:type="dxa"/>
              <w:bottom w:w="4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Quantitative explanation stability</w:t>
            </w:r>
            <w:r w:rsidDel="00000000" w:rsidR="00000000" w:rsidRPr="00000000">
              <w:rPr>
                <w:rtl w:val="0"/>
              </w:rPr>
            </w:r>
          </w:p>
        </w:tc>
        <w:tc>
          <w:tcPr>
            <w:tcBorders>
              <w:top w:color="72777f" w:space="0" w:sz="6" w:val="single"/>
              <w:left w:color="cccccc" w:space="0" w:sz="6" w:val="single"/>
              <w:bottom w:color="ccd3dd" w:space="0" w:sz="6" w:val="single"/>
              <w:right w:color="ccd3dd" w:space="0" w:sz="6" w:val="single"/>
            </w:tcBorders>
            <w:shd w:fill="35608e" w:val="clear"/>
            <w:tcMar>
              <w:top w:w="40.0" w:type="dxa"/>
              <w:left w:w="40.0" w:type="dxa"/>
              <w:bottom w:w="4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Imbalance comparison</w:t>
            </w:r>
            <w:r w:rsidDel="00000000" w:rsidR="00000000" w:rsidRPr="00000000">
              <w:rPr>
                <w:rtl w:val="0"/>
              </w:rPr>
            </w:r>
          </w:p>
        </w:tc>
        <w:tc>
          <w:tcPr>
            <w:tcBorders>
              <w:top w:color="72777f" w:space="0" w:sz="6" w:val="single"/>
              <w:left w:color="cccccc" w:space="0" w:sz="6" w:val="single"/>
              <w:bottom w:color="ccd3dd" w:space="0" w:sz="6" w:val="single"/>
              <w:right w:color="72777f" w:space="0" w:sz="6" w:val="single"/>
            </w:tcBorders>
            <w:shd w:fill="35608e" w:val="clear"/>
            <w:tcMar>
              <w:top w:w="40.0" w:type="dxa"/>
              <w:left w:w="40.0" w:type="dxa"/>
              <w:bottom w:w="4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Actionable recourse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70" w:hRule="atLeast"/>
          <w:tblHeader w:val="0"/>
        </w:trPr>
        <w:tc>
          <w:tcPr>
            <w:tcBorders>
              <w:top w:color="cccccc" w:space="0" w:sz="6" w:val="single"/>
              <w:left w:color="72777f"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Adnan et al. [1]</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resampling</w:t>
            </w:r>
          </w:p>
        </w:tc>
        <w:tc>
          <w:tcPr>
            <w:tcBorders>
              <w:top w:color="cccccc" w:space="0" w:sz="6" w:val="single"/>
              <w:left w:color="cccccc" w:space="0" w:sz="6" w:val="single"/>
              <w:bottom w:color="ccd3dd" w:space="0" w:sz="6" w:val="single"/>
              <w:right w:color="72777f"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70" w:hRule="atLeast"/>
          <w:tblHeader w:val="0"/>
        </w:trPr>
        <w:tc>
          <w:tcPr>
            <w:tcBorders>
              <w:top w:color="cccccc" w:space="0" w:sz="6" w:val="single"/>
              <w:left w:color="72777f"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Tomasevic et al. [2]</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 DDD subset</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Partly</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d3dd" w:space="0" w:sz="6" w:val="single"/>
              <w:right w:color="72777f" w:space="0" w:sz="6"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70" w:hRule="atLeast"/>
          <w:tblHeader w:val="0"/>
        </w:trPr>
        <w:tc>
          <w:tcPr>
            <w:tcBorders>
              <w:top w:color="cccccc" w:space="0" w:sz="6" w:val="single"/>
              <w:left w:color="72777f"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Liu et al. [3]</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 reduced clickstream subset</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Temporal aggregation</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 specified</w:t>
            </w:r>
          </w:p>
        </w:tc>
        <w:tc>
          <w:tcPr>
            <w:tcBorders>
              <w:top w:color="cccccc" w:space="0" w:sz="6" w:val="single"/>
              <w:left w:color="cccccc" w:space="0" w:sz="6" w:val="single"/>
              <w:bottom w:color="ccd3dd" w:space="0" w:sz="6" w:val="single"/>
              <w:right w:color="72777f" w:space="0" w:sz="6"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70" w:hRule="atLeast"/>
          <w:tblHeader w:val="0"/>
        </w:trPr>
        <w:tc>
          <w:tcPr>
            <w:tcBorders>
              <w:top w:color="cccccc" w:space="0" w:sz="6" w:val="single"/>
              <w:left w:color="72777f"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Gunasekara and Saarela [6]</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 three-module subset</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SHAP + LIME</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Mainly qualitative</w:t>
            </w:r>
          </w:p>
        </w:tc>
        <w:tc>
          <w:tcPr>
            <w:tcBorders>
              <w:top w:color="cccccc" w:space="0" w:sz="6" w:val="single"/>
              <w:left w:color="cccccc" w:space="0" w:sz="6" w:val="single"/>
              <w:bottom w:color="ccd3dd" w:space="0" w:sz="6" w:val="single"/>
              <w:right w:color="ccd3dd" w:space="0" w:sz="6"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 central</w:t>
            </w:r>
          </w:p>
        </w:tc>
        <w:tc>
          <w:tcPr>
            <w:tcBorders>
              <w:top w:color="cccccc" w:space="0" w:sz="6" w:val="single"/>
              <w:left w:color="cccccc" w:space="0" w:sz="6" w:val="single"/>
              <w:bottom w:color="ccd3dd" w:space="0" w:sz="6" w:val="single"/>
              <w:right w:color="72777f" w:space="0" w:sz="6"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70" w:hRule="atLeast"/>
          <w:tblHeader w:val="0"/>
        </w:trPr>
        <w:tc>
          <w:tcPr>
            <w:tcBorders>
              <w:top w:color="cccccc" w:space="0" w:sz="6" w:val="single"/>
              <w:left w:color="72777f" w:space="0" w:sz="6" w:val="single"/>
              <w:bottom w:color="72777f" w:space="0" w:sz="6" w:val="single"/>
              <w:right w:color="ccd3dd" w:space="0" w:sz="6" w:val="single"/>
            </w:tcBorders>
            <w:shd w:fill="d5e3f7" w:val="clear"/>
            <w:tcMar>
              <w:top w:w="40.0" w:type="dxa"/>
              <w:left w:w="40.0" w:type="dxa"/>
              <w:bottom w:w="40.0" w:type="dxa"/>
              <w:right w:w="40.0" w:type="dxa"/>
            </w:tcMar>
            <w:vAlign w:val="center"/>
          </w:tcPr>
          <w:p w:rsidR="00000000" w:rsidDel="00000000" w:rsidP="00000000" w:rsidRDefault="00000000" w:rsidRPr="00000000" w14:paraId="0000005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64874"/>
                <w:sz w:val="20"/>
                <w:szCs w:val="20"/>
                <w:rtl w:val="0"/>
              </w:rPr>
              <w:t xml:space="preserve">EduGuard</w:t>
            </w:r>
            <w:r w:rsidDel="00000000" w:rsidR="00000000" w:rsidRPr="00000000">
              <w:rPr>
                <w:rtl w:val="0"/>
              </w:rPr>
            </w:r>
          </w:p>
        </w:tc>
        <w:tc>
          <w:tcPr>
            <w:tcBorders>
              <w:top w:color="cccccc" w:space="0" w:sz="6" w:val="single"/>
              <w:left w:color="cccccc" w:space="0" w:sz="6" w:val="single"/>
              <w:bottom w:color="72777f" w:space="0" w:sz="6" w:val="single"/>
              <w:right w:color="ccd3dd" w:space="0" w:sz="6" w:val="single"/>
            </w:tcBorders>
            <w:shd w:fill="d5e3f7" w:val="clear"/>
            <w:tcMar>
              <w:top w:w="40.0" w:type="dxa"/>
              <w:left w:w="40.0" w:type="dxa"/>
              <w:bottom w:w="40.0" w:type="dxa"/>
              <w:right w:w="40.0" w:type="dxa"/>
            </w:tcMar>
            <w:vAlign w:val="center"/>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64874"/>
                <w:sz w:val="20"/>
                <w:szCs w:val="20"/>
                <w:rtl w:val="0"/>
              </w:rPr>
              <w:t xml:space="preserve">Yes, full dataset</w:t>
            </w:r>
            <w:r w:rsidDel="00000000" w:rsidR="00000000" w:rsidRPr="00000000">
              <w:rPr>
                <w:rtl w:val="0"/>
              </w:rPr>
            </w:r>
          </w:p>
        </w:tc>
        <w:tc>
          <w:tcPr>
            <w:tcBorders>
              <w:top w:color="cccccc" w:space="0" w:sz="6" w:val="single"/>
              <w:left w:color="cccccc" w:space="0" w:sz="6" w:val="single"/>
              <w:bottom w:color="72777f" w:space="0" w:sz="6" w:val="single"/>
              <w:right w:color="ccd3dd" w:space="0" w:sz="6" w:val="single"/>
            </w:tcBorders>
            <w:shd w:fill="d5e3f7" w:val="clear"/>
            <w:tcMar>
              <w:top w:w="40.0" w:type="dxa"/>
              <w:left w:w="40.0" w:type="dxa"/>
              <w:bottom w:w="40.0" w:type="dxa"/>
              <w:right w:w="40.0" w:type="dxa"/>
            </w:tcMar>
            <w:vAlign w:val="center"/>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64874"/>
                <w:sz w:val="20"/>
                <w:szCs w:val="20"/>
                <w:rtl w:val="0"/>
              </w:rPr>
              <w:t xml:space="preserve">Yes, six checkpoints</w:t>
            </w:r>
            <w:r w:rsidDel="00000000" w:rsidR="00000000" w:rsidRPr="00000000">
              <w:rPr>
                <w:rtl w:val="0"/>
              </w:rPr>
            </w:r>
          </w:p>
        </w:tc>
        <w:tc>
          <w:tcPr>
            <w:tcBorders>
              <w:top w:color="cccccc" w:space="0" w:sz="6" w:val="single"/>
              <w:left w:color="cccccc" w:space="0" w:sz="6" w:val="single"/>
              <w:bottom w:color="72777f" w:space="0" w:sz="6" w:val="single"/>
              <w:right w:color="ccd3dd" w:space="0" w:sz="6" w:val="single"/>
            </w:tcBorders>
            <w:shd w:fill="d5e3f7" w:val="clear"/>
            <w:tcMar>
              <w:top w:w="40.0" w:type="dxa"/>
              <w:left w:w="40.0" w:type="dxa"/>
              <w:bottom w:w="40.0" w:type="dxa"/>
              <w:right w:w="40.0" w:type="dxa"/>
            </w:tcMar>
            <w:vAlign w:val="center"/>
          </w:tcPr>
          <w:p w:rsidR="00000000" w:rsidDel="00000000" w:rsidP="00000000" w:rsidRDefault="00000000" w:rsidRPr="00000000" w14:paraId="0000005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64874"/>
                <w:sz w:val="20"/>
                <w:szCs w:val="20"/>
                <w:rtl w:val="0"/>
              </w:rPr>
              <w:t xml:space="preserve">SHAP + LIME</w:t>
            </w:r>
            <w:r w:rsidDel="00000000" w:rsidR="00000000" w:rsidRPr="00000000">
              <w:rPr>
                <w:rtl w:val="0"/>
              </w:rPr>
            </w:r>
          </w:p>
        </w:tc>
        <w:tc>
          <w:tcPr>
            <w:tcBorders>
              <w:top w:color="cccccc" w:space="0" w:sz="6" w:val="single"/>
              <w:left w:color="cccccc" w:space="0" w:sz="6" w:val="single"/>
              <w:bottom w:color="72777f" w:space="0" w:sz="6" w:val="single"/>
              <w:right w:color="ccd3dd" w:space="0" w:sz="6" w:val="single"/>
            </w:tcBorders>
            <w:shd w:fill="d5e3f7" w:val="clear"/>
            <w:tcMar>
              <w:top w:w="40.0" w:type="dxa"/>
              <w:left w:w="40.0" w:type="dxa"/>
              <w:bottom w:w="40.0" w:type="dxa"/>
              <w:right w:w="40.0" w:type="dxa"/>
            </w:tcMar>
            <w:vAlign w:val="center"/>
          </w:tcPr>
          <w:p w:rsidR="00000000" w:rsidDel="00000000" w:rsidP="00000000" w:rsidRDefault="00000000" w:rsidRPr="00000000" w14:paraId="0000005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64874"/>
                <w:sz w:val="20"/>
                <w:szCs w:val="20"/>
                <w:rtl w:val="0"/>
              </w:rPr>
              <w:t xml:space="preserve">Jaccard + Spearman + variation</w:t>
            </w:r>
            <w:r w:rsidDel="00000000" w:rsidR="00000000" w:rsidRPr="00000000">
              <w:rPr>
                <w:rtl w:val="0"/>
              </w:rPr>
            </w:r>
          </w:p>
        </w:tc>
        <w:tc>
          <w:tcPr>
            <w:tcBorders>
              <w:top w:color="cccccc" w:space="0" w:sz="6" w:val="single"/>
              <w:left w:color="cccccc" w:space="0" w:sz="6" w:val="single"/>
              <w:bottom w:color="72777f" w:space="0" w:sz="6" w:val="single"/>
              <w:right w:color="ccd3dd" w:space="0" w:sz="6" w:val="single"/>
            </w:tcBorders>
            <w:shd w:fill="d5e3f7" w:val="clear"/>
            <w:tcMar>
              <w:top w:w="40.0" w:type="dxa"/>
              <w:left w:w="40.0" w:type="dxa"/>
              <w:bottom w:w="40.0" w:type="dxa"/>
              <w:right w:w="40.0" w:type="dxa"/>
            </w:tcMar>
            <w:vAlign w:val="center"/>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64874"/>
                <w:sz w:val="20"/>
                <w:szCs w:val="20"/>
                <w:rtl w:val="0"/>
              </w:rPr>
              <w:t xml:space="preserve">SMOTE / ADASYN / weighting</w:t>
            </w:r>
            <w:r w:rsidDel="00000000" w:rsidR="00000000" w:rsidRPr="00000000">
              <w:rPr>
                <w:rtl w:val="0"/>
              </w:rPr>
            </w:r>
          </w:p>
        </w:tc>
        <w:tc>
          <w:tcPr>
            <w:tcBorders>
              <w:top w:color="cccccc" w:space="0" w:sz="6" w:val="single"/>
              <w:left w:color="cccccc" w:space="0" w:sz="6" w:val="single"/>
              <w:bottom w:color="72777f" w:space="0" w:sz="6" w:val="single"/>
              <w:right w:color="72777f" w:space="0" w:sz="6" w:val="single"/>
            </w:tcBorders>
            <w:shd w:fill="d5e3f7" w:val="clear"/>
            <w:tcMar>
              <w:top w:w="40.0" w:type="dxa"/>
              <w:left w:w="40.0" w:type="dxa"/>
              <w:bottom w:w="40.0" w:type="dxa"/>
              <w:right w:w="40.0" w:type="dxa"/>
            </w:tcMar>
            <w:vAlign w:val="center"/>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color w:val="164874"/>
                <w:sz w:val="20"/>
                <w:szCs w:val="20"/>
                <w:rtl w:val="0"/>
              </w:rPr>
              <w:t xml:space="preserve">Constrained counterfactual recourse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EduGuard therefore contributes an integrated framework rather than a single new classifier. Its contribution lies in connecting temporal prediction, leakage-safe student-level evaluation, explanation stability, imbalance analysis, dual-cohort reporting, and actionable recourse within the same OULAD-based system. This positioning also clarifies the main claim of the project: a useful educational early-warning system must be not only accurate, but also temporally honest, interpretable, stable, and evaluated on the students whom educators can still reach.</w:t>
      </w:r>
    </w:p>
    <w:p w:rsidR="00000000" w:rsidDel="00000000" w:rsidP="00000000" w:rsidRDefault="00000000" w:rsidRPr="00000000" w14:paraId="00000065">
      <w:pPr>
        <w:rPr>
          <w:b w:val="1"/>
          <w:bCs w:val="1"/>
        </w:rPr>
      </w:pPr>
      <w:r w:rsidDel="00000000" w:rsidR="00000000" w:rsidRPr="00000000">
        <w:rPr>
          <w:b w:val="1"/>
          <w:bCs w:val="1"/>
          <w:rtl w:val="0"/>
        </w:rPr>
        <w:t xml:space="preserve">References for This Section</w:t>
      </w:r>
    </w:p>
    <w:p w:rsidR="00000000" w:rsidDel="00000000" w:rsidP="00000000" w:rsidRDefault="00000000" w:rsidRPr="00000000" w14:paraId="00000066">
      <w:pPr>
        <w:rPr/>
      </w:pPr>
      <w:r w:rsidDel="00000000" w:rsidR="00000000" w:rsidRPr="00000000">
        <w:rPr>
          <w:rtl w:val="0"/>
        </w:rPr>
        <w:t xml:space="preserve">[1] M. Adnan et al., “Predicting at-Risk Students at Different Percentages of Course Length for Early Intervention Using Machine Learning Models,” *IEEE Access*, vol. 9, pp. 7519–7539, 2021.</w:t>
      </w:r>
    </w:p>
    <w:p w:rsidR="00000000" w:rsidDel="00000000" w:rsidP="00000000" w:rsidRDefault="00000000" w:rsidRPr="00000000" w14:paraId="00000067">
      <w:pPr>
        <w:rPr/>
      </w:pPr>
      <w:r w:rsidDel="00000000" w:rsidR="00000000" w:rsidRPr="00000000">
        <w:rPr>
          <w:rtl w:val="0"/>
        </w:rPr>
        <w:t xml:space="preserve">[2] N. Tomasevic, N. Gvozdenovic, and S. Vranes, “An Overview and Comparison of Supervised Data Mining Techniques for Student Exam Performance Prediction,” *Computers &amp; Education*, vol. 143, art. 103676, 2020.</w:t>
      </w:r>
    </w:p>
    <w:p w:rsidR="00000000" w:rsidDel="00000000" w:rsidP="00000000" w:rsidRDefault="00000000" w:rsidRPr="00000000" w14:paraId="00000068">
      <w:pPr>
        <w:rPr/>
      </w:pPr>
      <w:r w:rsidDel="00000000" w:rsidR="00000000" w:rsidRPr="00000000">
        <w:rPr>
          <w:rtl w:val="0"/>
        </w:rPr>
        <w:t xml:space="preserve">[3] Y. Liu, S. Fan, S. Xu, A. Sajjanhar, S. Yeom, and Y. Wei, “Predicting Student Performance Using Clickstream Data and Machine Learning,” *Education Sciences*, vol. 13, no. 1, art. 17, 2023.</w:t>
      </w:r>
    </w:p>
    <w:p w:rsidR="00000000" w:rsidDel="00000000" w:rsidP="00000000" w:rsidRDefault="00000000" w:rsidRPr="00000000" w14:paraId="00000069">
      <w:pPr>
        <w:rPr/>
      </w:pPr>
      <w:r w:rsidDel="00000000" w:rsidR="00000000" w:rsidRPr="00000000">
        <w:rPr>
          <w:rtl w:val="0"/>
        </w:rPr>
        <w:t xml:space="preserve">[4] S. M. Lundberg and S.-I. Lee, “A Unified Approach to Interpreting Model Predictions,” in *Advances in Neural Information Processing Systems*, 2017, pp. 4768–4777.</w:t>
      </w:r>
    </w:p>
    <w:p w:rsidR="00000000" w:rsidDel="00000000" w:rsidP="00000000" w:rsidRDefault="00000000" w:rsidRPr="00000000" w14:paraId="0000006A">
      <w:pPr>
        <w:rPr/>
      </w:pPr>
      <w:r w:rsidDel="00000000" w:rsidR="00000000" w:rsidRPr="00000000">
        <w:rPr>
          <w:rtl w:val="0"/>
        </w:rPr>
        <w:t xml:space="preserve">[5] M. T. Ribeiro, S. Singh, and C. Guestrin, “Why Should I Trust You? Explaining the Predictions of Any Classifier,” in *Proceedings of the ACM SIGKDD International Conference on Knowledge Discovery and Data Mining*, 2016, pp. 1135–1144.</w:t>
      </w:r>
    </w:p>
    <w:p w:rsidR="00000000" w:rsidDel="00000000" w:rsidP="00000000" w:rsidRDefault="00000000" w:rsidRPr="00000000" w14:paraId="0000006B">
      <w:pPr>
        <w:rPr/>
      </w:pPr>
      <w:r w:rsidDel="00000000" w:rsidR="00000000" w:rsidRPr="00000000">
        <w:rPr>
          <w:rtl w:val="0"/>
        </w:rPr>
        <w:t xml:space="preserve">[6] S. Gunasekara and M. Saarela, “Explainable AI in Education: Techniques and Qualitative Assessment,” *Applied Sciences*, vol. 15, no. 3, art. 1239, 2025.</w:t>
      </w:r>
    </w:p>
    <w:p w:rsidR="00000000" w:rsidDel="00000000" w:rsidP="00000000" w:rsidRDefault="00000000" w:rsidRPr="00000000" w14:paraId="0000006C">
      <w:pPr>
        <w:rPr/>
      </w:pPr>
      <w:r w:rsidDel="00000000" w:rsidR="00000000" w:rsidRPr="00000000">
        <w:rPr>
          <w:rtl w:val="0"/>
        </w:rPr>
        <w:t xml:space="preserve">[7] S. Wachter, B. Mittelstadt, and C. Russell, “Counterfactual Explanations Without Opening the Black Box: Automated Decisions and the GDPR,” *Harvard Journal of Law &amp; Technology*, vol. 31, no. 2, pp. 841–887, 2018.</w:t>
      </w:r>
    </w:p>
    <w:p w:rsidR="00000000" w:rsidDel="00000000" w:rsidP="00000000" w:rsidRDefault="00000000" w:rsidRPr="00000000" w14:paraId="0000006D">
      <w:pPr>
        <w:rPr/>
      </w:pPr>
      <w:r w:rsidDel="00000000" w:rsidR="00000000" w:rsidRPr="00000000">
        <w:rPr>
          <w:rtl w:val="0"/>
        </w:rPr>
        <w:t xml:space="preserve">[8] R. K. Mothilal, A. Sharma, and C. Tan, “Explaining Machine Learning Classifiers through Diverse Counterfactual Explanations,” in *Proceedings of the ACM Conference on Fairness, Accountability, and Transparency*, 2020, pp. 607–617.</w:t>
      </w:r>
    </w:p>
    <w:p w:rsidR="00000000" w:rsidDel="00000000" w:rsidP="00000000" w:rsidRDefault="00000000" w:rsidRPr="00000000" w14:paraId="0000006E">
      <w:pPr>
        <w:pStyle w:val="Heading2"/>
        <w:rPr/>
      </w:pPr>
      <w:bookmarkStart w:colFirst="0" w:colLast="0" w:name="_t9n6u32cibqh" w:id="0"/>
      <w:bookmarkEnd w:id="0"/>
      <w:r w:rsidDel="00000000" w:rsidR="00000000" w:rsidRPr="00000000">
        <w:rPr>
          <w:rtl w:val="0"/>
        </w:rPr>
        <w:t xml:space="preserve">3. Objective and Scope of the Project</w:t>
      </w:r>
    </w:p>
    <w:p w:rsidR="00000000" w:rsidDel="00000000" w:rsidP="00000000" w:rsidRDefault="00000000" w:rsidRPr="00000000" w14:paraId="0000006F">
      <w:pPr>
        <w:rPr>
          <w:b w:val="1"/>
          <w:bCs w:val="1"/>
        </w:rPr>
      </w:pPr>
      <w:r w:rsidDel="00000000" w:rsidR="00000000" w:rsidRPr="00000000">
        <w:rPr>
          <w:b w:val="1"/>
          <w:bCs w:val="1"/>
          <w:rtl w:val="0"/>
        </w:rPr>
        <w:t xml:space="preserve">General Objective</w:t>
      </w:r>
    </w:p>
    <w:p w:rsidR="00000000" w:rsidDel="00000000" w:rsidP="00000000" w:rsidRDefault="00000000" w:rsidRPr="00000000" w14:paraId="00000070">
      <w:pPr>
        <w:rPr/>
      </w:pPr>
      <w:r w:rsidDel="00000000" w:rsidR="00000000" w:rsidRPr="00000000">
        <w:rPr>
          <w:rtl w:val="0"/>
        </w:rPr>
        <w:t xml:space="preserve">The general objective of EduGuard is to develop and evaluate a time-aware, interpretable, and actionable early-warning system for identifying students who are at risk of failing or withdrawing from an online course. The system is intended to support timely educational intervention by combining predictive modelling, explanation, uncertainty-aware evaluation, and feasible recommendations for students who remain reachable.</w:t>
      </w:r>
    </w:p>
    <w:p w:rsidR="00000000" w:rsidDel="00000000" w:rsidP="00000000" w:rsidRDefault="00000000" w:rsidRPr="00000000" w14:paraId="00000071">
      <w:pPr>
        <w:rPr/>
      </w:pPr>
      <w:r w:rsidDel="00000000" w:rsidR="00000000" w:rsidRPr="00000000">
        <w:rPr>
          <w:b w:val="1"/>
          <w:bCs w:val="1"/>
          <w:rtl w:val="0"/>
        </w:rPr>
        <w:t xml:space="preserve">Specific Objectives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project has the following specific objectives:</w:t>
      </w:r>
    </w:p>
    <w:p w:rsidR="00000000" w:rsidDel="00000000" w:rsidP="00000000" w:rsidRDefault="00000000" w:rsidRPr="00000000" w14:paraId="00000073">
      <w:pPr>
        <w:rPr/>
      </w:pPr>
      <w:r w:rsidDel="00000000" w:rsidR="00000000" w:rsidRPr="00000000">
        <w:rPr>
          <w:rtl w:val="0"/>
        </w:rPr>
        <w:t xml:space="preserve">1. To construct a leakage-safe learning analytics pipeline from the seven relational tables of the OULAD dataset.</w:t>
      </w:r>
    </w:p>
    <w:p w:rsidR="00000000" w:rsidDel="00000000" w:rsidP="00000000" w:rsidRDefault="00000000" w:rsidRPr="00000000" w14:paraId="00000074">
      <w:pPr>
        <w:rPr/>
      </w:pPr>
      <w:r w:rsidDel="00000000" w:rsidR="00000000" w:rsidRPr="00000000">
        <w:rPr>
          <w:rtl w:val="0"/>
        </w:rPr>
        <w:t xml:space="preserve">2. To engineer demographic, VLE-engagement, and assessment features at six course-progress checkpoints: 10%, 20%, 40%, 60%, 80%, and 100%.</w:t>
      </w:r>
    </w:p>
    <w:p w:rsidR="00000000" w:rsidDel="00000000" w:rsidP="00000000" w:rsidRDefault="00000000" w:rsidRPr="00000000" w14:paraId="00000075">
      <w:pPr>
        <w:rPr/>
      </w:pPr>
      <w:r w:rsidDel="00000000" w:rsidR="00000000" w:rsidRPr="00000000">
        <w:rPr>
          <w:rtl w:val="0"/>
        </w:rPr>
        <w:t xml:space="preserve">3. To benchmark Logistic Regression, Random Forest, XGBoost, LightGBM, and an artificial neural network under a common student-level split and evaluation protocol.</w:t>
      </w:r>
    </w:p>
    <w:p w:rsidR="00000000" w:rsidDel="00000000" w:rsidP="00000000" w:rsidRDefault="00000000" w:rsidRPr="00000000" w14:paraId="00000076">
      <w:pPr>
        <w:rPr/>
      </w:pPr>
      <w:r w:rsidDel="00000000" w:rsidR="00000000" w:rsidRPr="00000000">
        <w:rPr>
          <w:rtl w:val="0"/>
        </w:rPr>
        <w:t xml:space="preserve">4. To determine how early a reliable at-risk prediction can be obtained and how performance changes as more course information becomes available.</w:t>
      </w:r>
    </w:p>
    <w:p w:rsidR="00000000" w:rsidDel="00000000" w:rsidP="00000000" w:rsidRDefault="00000000" w:rsidRPr="00000000" w14:paraId="00000077">
      <w:pPr>
        <w:rPr/>
      </w:pPr>
      <w:r w:rsidDel="00000000" w:rsidR="00000000" w:rsidRPr="00000000">
        <w:rPr>
          <w:rtl w:val="0"/>
        </w:rPr>
        <w:t xml:space="preserve">5. To explain model predictions using SHAP and LIME and quantify the stability of their feature rankings across seeds, checkpoints, and imbalance-handling conditions.</w:t>
      </w:r>
    </w:p>
    <w:p w:rsidR="00000000" w:rsidDel="00000000" w:rsidP="00000000" w:rsidRDefault="00000000" w:rsidRPr="00000000" w14:paraId="00000078">
      <w:pPr>
        <w:rPr/>
      </w:pPr>
      <w:r w:rsidDel="00000000" w:rsidR="00000000" w:rsidRPr="00000000">
        <w:rPr>
          <w:rtl w:val="0"/>
        </w:rPr>
        <w:t xml:space="preserve">6. To compare SMOTE, ADASYN, and class weighting as controlled robustness strategies rather than assuming that resampling always improves the system.</w:t>
      </w:r>
    </w:p>
    <w:p w:rsidR="00000000" w:rsidDel="00000000" w:rsidP="00000000" w:rsidRDefault="00000000" w:rsidRPr="00000000" w14:paraId="00000079">
      <w:pPr>
        <w:rPr/>
      </w:pPr>
      <w:r w:rsidDel="00000000" w:rsidR="00000000" w:rsidRPr="00000000">
        <w:rPr>
          <w:rtl w:val="0"/>
        </w:rPr>
        <w:t xml:space="preserve">7. To distinguish performance on the full enrolment cohort from performance on the still-enrolled cohort that can actually receive intervention.</w:t>
      </w:r>
    </w:p>
    <w:p w:rsidR="00000000" w:rsidDel="00000000" w:rsidP="00000000" w:rsidRDefault="00000000" w:rsidRPr="00000000" w14:paraId="0000007A">
      <w:pPr>
        <w:rPr/>
      </w:pPr>
      <w:r w:rsidDel="00000000" w:rsidR="00000000" w:rsidRPr="00000000">
        <w:rPr>
          <w:rtl w:val="0"/>
        </w:rPr>
        <w:t xml:space="preserve">8. To investigate counterfactual explanations and constrained actionable recourse for translating risk predictions into feasible educational support plans.</w:t>
      </w:r>
    </w:p>
    <w:p w:rsidR="00000000" w:rsidDel="00000000" w:rsidP="00000000" w:rsidRDefault="00000000" w:rsidRPr="00000000" w14:paraId="0000007B">
      <w:pPr>
        <w:rPr/>
      </w:pPr>
      <w:r w:rsidDel="00000000" w:rsidR="00000000" w:rsidRPr="00000000">
        <w:rPr>
          <w:b w:val="1"/>
          <w:bCs w:val="1"/>
          <w:rtl w:val="0"/>
        </w:rPr>
        <w:t xml:space="preserve">Research Questions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project is guided by four research questions:</w:t>
      </w:r>
    </w:p>
    <w:p w:rsidR="00000000" w:rsidDel="00000000" w:rsidP="00000000" w:rsidRDefault="00000000" w:rsidRPr="00000000" w14:paraId="0000007D">
      <w:pPr>
        <w:rPr/>
      </w:pPr>
      <w:r w:rsidDel="00000000" w:rsidR="00000000" w:rsidRPr="00000000">
        <w:rPr>
          <w:rtl w:val="0"/>
        </w:rPr>
        <w:t xml:space="preserve">- **RQ1:** At different course-progress checkpoints from 10% to 100%, which algorithm provides the most effective at-risk prediction on OULAD, and how early can the prediction be considered reliable?</w:t>
      </w:r>
    </w:p>
    <w:p w:rsidR="00000000" w:rsidDel="00000000" w:rsidP="00000000" w:rsidRDefault="00000000" w:rsidRPr="00000000" w14:paraId="0000007E">
      <w:pPr>
        <w:rPr/>
      </w:pPr>
      <w:r w:rsidDel="00000000" w:rsidR="00000000" w:rsidRPr="00000000">
        <w:rPr>
          <w:rtl w:val="0"/>
        </w:rPr>
        <w:t xml:space="preserve">- **RQ2:** How consistent are the explanations produced by SHAP and LIME for the same model, and how does explanation stability change across checkpoints and imbalance-handling strategies?</w:t>
      </w:r>
    </w:p>
    <w:p w:rsidR="00000000" w:rsidDel="00000000" w:rsidP="00000000" w:rsidRDefault="00000000" w:rsidRPr="00000000" w14:paraId="0000007F">
      <w:pPr>
        <w:rPr/>
      </w:pPr>
      <w:r w:rsidDel="00000000" w:rsidR="00000000" w:rsidRPr="00000000">
        <w:rPr>
          <w:rtl w:val="0"/>
        </w:rPr>
        <w:t xml:space="preserve">- **RQ3:** How do SMOTE, ADASYN, and class weighting affect predictive performance and explanation quality, particularly when the at-risk class is only mildly imbalanced?</w:t>
      </w:r>
    </w:p>
    <w:p w:rsidR="00000000" w:rsidDel="00000000" w:rsidP="00000000" w:rsidRDefault="00000000" w:rsidRPr="00000000" w14:paraId="00000080">
      <w:pPr>
        <w:rPr/>
      </w:pPr>
      <w:r w:rsidDel="00000000" w:rsidR="00000000" w:rsidRPr="00000000">
        <w:rPr>
          <w:rtl w:val="0"/>
        </w:rPr>
        <w:t xml:space="preserve">- **RQ4:** Can counterfactual explanations generate minimal and feasible intervention plans for at-risk students, subject to pedagogical actionability constraints, and how does the required recourse change across checkpoints?</w:t>
      </w:r>
    </w:p>
    <w:p w:rsidR="00000000" w:rsidDel="00000000" w:rsidP="00000000" w:rsidRDefault="00000000" w:rsidRPr="00000000" w14:paraId="00000081">
      <w:pPr>
        <w:rPr>
          <w:b w:val="1"/>
          <w:bCs w:val="1"/>
        </w:rPr>
      </w:pPr>
      <w:r w:rsidDel="00000000" w:rsidR="00000000" w:rsidRPr="00000000">
        <w:rPr>
          <w:b w:val="1"/>
          <w:bCs w:val="1"/>
          <w:rtl w:val="0"/>
        </w:rPr>
        <w:t xml:space="preserve">Expected Contribution</w:t>
      </w:r>
    </w:p>
    <w:p w:rsidR="00000000" w:rsidDel="00000000" w:rsidP="00000000" w:rsidRDefault="00000000" w:rsidRPr="00000000" w14:paraId="00000082">
      <w:pPr>
        <w:rPr/>
      </w:pPr>
      <w:r w:rsidDel="00000000" w:rsidR="00000000" w:rsidRPr="00000000">
        <w:rPr>
          <w:rtl w:val="0"/>
        </w:rPr>
        <w:t xml:space="preserve">The expected contribution is an integrated framework for educational early warning that connects prediction, explanation, population-aware evaluation, and intervention support. Unlike a conventional end-of-course classifier, EduGuard is designed to answer four practical questions: who is at risk, when the warning becomes reliable, why the student is flagged, and what feasible change may reduce the risk. The project also expects to provide reproducible evidence about the difference between historical outcome classification and intervention-oriented prediction.</w:t>
      </w:r>
    </w:p>
    <w:p w:rsidR="00000000" w:rsidDel="00000000" w:rsidP="00000000" w:rsidRDefault="00000000" w:rsidRPr="00000000" w14:paraId="00000083">
      <w:pPr>
        <w:rPr/>
      </w:pPr>
      <w:r w:rsidDel="00000000" w:rsidR="00000000" w:rsidRPr="00000000">
        <w:rPr>
          <w:b w:val="1"/>
          <w:bCs w:val="1"/>
          <w:rtl w:val="0"/>
        </w:rPr>
        <w:t xml:space="preserve">Methodological Contribution</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Methodologically, the project contributes a leakage-safe and reproducible experimental design for OULAD-based learning analytics. It uses a frozen student-level split, identical test students across checkpoints, train-only preprocessing, cutoff-based feature construction, and automated checks for post-cutoff records and student overlap. It further contributes quantitative explanation-stability measures, repeated group-aware validation, dual-cohort reporting, and a controlled comparison of imbalance-handling strategies. This design makes it possible to separate genuine model performance from gains caused by population definition, preprocessing leakage, or unstable explanations.</w:t>
      </w:r>
    </w:p>
    <w:p w:rsidR="00000000" w:rsidDel="00000000" w:rsidP="00000000" w:rsidRDefault="00000000" w:rsidRPr="00000000" w14:paraId="00000085">
      <w:pPr>
        <w:rPr/>
      </w:pPr>
      <w:r w:rsidDel="00000000" w:rsidR="00000000" w:rsidRPr="00000000">
        <w:rPr>
          <w:b w:val="1"/>
          <w:bCs w:val="1"/>
          <w:rtl w:val="0"/>
        </w:rPr>
        <w:t xml:space="preserve">Market-Specific Contribution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market-specific contribution is directed at online and blended higher-education environments where institutions already collect learning-management-system traces but lack a practical early-warning workflow. EduGuard is designed for settings in which instructors need timely signals from common data sources such as VLE activity, assessment submissions, and registration records. The framework is intentionally adaptable to institutional learning platforms, while its claims remain limited to the OULAD context until validated on local cohorts. The project therefore provides a transferable design pattern for education providers rather than claiming universal performance across all institutions.</w:t>
      </w:r>
    </w:p>
    <w:p w:rsidR="00000000" w:rsidDel="00000000" w:rsidP="00000000" w:rsidRDefault="00000000" w:rsidRPr="00000000" w14:paraId="00000087">
      <w:pPr>
        <w:rPr/>
      </w:pPr>
      <w:r w:rsidDel="00000000" w:rsidR="00000000" w:rsidRPr="00000000">
        <w:rPr>
          <w:b w:val="1"/>
          <w:bCs w:val="1"/>
          <w:rtl w:val="0"/>
        </w:rPr>
        <w:t xml:space="preserve">Practical Contribution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Practically, EduGuard provides model bundles, checkpoint-specific risk scores, SHAP/LIME explanations, an optional instructor dashboard, and a basis for actionable support recommendations. The system is intended to help instructors prioritise outreach, identify behavioural or academic warning signs, and select interventions such as contacting an inactive student, supporting assessment completion, or directing the student to academic assistance. The model does not replace instructor judgement: it proposes evidence and possible actions, while the final decision remains with qualified educational staff. Monitoring recommendations cover performance drift, calibration, data drift, and fairness gaps after deployment.</w:t>
      </w:r>
    </w:p>
    <w:p w:rsidR="00000000" w:rsidDel="00000000" w:rsidP="00000000" w:rsidRDefault="00000000" w:rsidRPr="00000000" w14:paraId="00000089">
      <w:pPr>
        <w:rPr/>
      </w:pPr>
      <w:r w:rsidDel="00000000" w:rsidR="00000000" w:rsidRPr="00000000">
        <w:rPr>
          <w:b w:val="1"/>
          <w:bCs w:val="1"/>
          <w:rtl w:val="0"/>
        </w:rPr>
        <w:t xml:space="preserve">Scope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project scope is defined as follows:</w:t>
      </w:r>
    </w:p>
    <w:p w:rsidR="00000000" w:rsidDel="00000000" w:rsidP="00000000" w:rsidRDefault="00000000" w:rsidRPr="00000000" w14:paraId="0000008B">
      <w:pPr>
        <w:rPr/>
      </w:pPr>
      <w:r w:rsidDel="00000000" w:rsidR="00000000" w:rsidRPr="00000000">
        <w:rPr>
          <w:rtl w:val="0"/>
        </w:rPr>
        <w:t xml:space="preserve">- **Dataset:** the public, anonymised Open University Learning Analytics Dataset, containing 32,593 enrolments, approximately 10.6 million VLE clickstream records, assessment data, registration information, and demographic context.</w:t>
      </w:r>
    </w:p>
    <w:p w:rsidR="00000000" w:rsidDel="00000000" w:rsidP="00000000" w:rsidRDefault="00000000" w:rsidRPr="00000000" w14:paraId="0000008C">
      <w:pPr>
        <w:rPr/>
      </w:pPr>
      <w:r w:rsidDel="00000000" w:rsidR="00000000" w:rsidRPr="00000000">
        <w:rPr>
          <w:rtl w:val="0"/>
        </w:rPr>
        <w:t xml:space="preserve">- **Unit of analysis:** one student-module-presentation enrolment, with all records for the same `id_student` kept in one data partition.</w:t>
      </w:r>
    </w:p>
    <w:p w:rsidR="00000000" w:rsidDel="00000000" w:rsidP="00000000" w:rsidRDefault="00000000" w:rsidRPr="00000000" w14:paraId="0000008D">
      <w:pPr>
        <w:rPr/>
      </w:pPr>
      <w:r w:rsidDel="00000000" w:rsidR="00000000" w:rsidRPr="00000000">
        <w:rPr>
          <w:rtl w:val="0"/>
        </w:rPr>
        <w:t xml:space="preserve">- **Prediction task:** binary classification of `at_risk`, where Fail and Withdrawn are mapped to the at-risk class and Pass and Distinction to the not-at-risk class.</w:t>
      </w:r>
    </w:p>
    <w:p w:rsidR="00000000" w:rsidDel="00000000" w:rsidP="00000000" w:rsidRDefault="00000000" w:rsidRPr="00000000" w14:paraId="0000008E">
      <w:pPr>
        <w:rPr/>
      </w:pPr>
      <w:r w:rsidDel="00000000" w:rsidR="00000000" w:rsidRPr="00000000">
        <w:rPr>
          <w:rtl w:val="0"/>
        </w:rPr>
        <w:t xml:space="preserve">- **Temporal scope:** cumulative information available at six relative course-progress checkpoints: 10%, 20%, 40%, 60%, 80%, and 100%.</w:t>
      </w:r>
    </w:p>
    <w:p w:rsidR="00000000" w:rsidDel="00000000" w:rsidP="00000000" w:rsidRDefault="00000000" w:rsidRPr="00000000" w14:paraId="0000008F">
      <w:pPr>
        <w:rPr/>
      </w:pPr>
      <w:r w:rsidDel="00000000" w:rsidR="00000000" w:rsidRPr="00000000">
        <w:rPr>
          <w:rtl w:val="0"/>
        </w:rPr>
        <w:t xml:space="preserve">- **Methods:** five supervised learning models, train-only preprocessing, group-aware validation, SHAP/LIME explanations, imbalance-handling comparisons, and constrained counterfactual analysis.</w:t>
      </w:r>
    </w:p>
    <w:p w:rsidR="00000000" w:rsidDel="00000000" w:rsidP="00000000" w:rsidRDefault="00000000" w:rsidRPr="00000000" w14:paraId="00000090">
      <w:pPr>
        <w:rPr/>
      </w:pPr>
      <w:r w:rsidDel="00000000" w:rsidR="00000000" w:rsidRPr="00000000">
        <w:rPr>
          <w:rtl w:val="0"/>
        </w:rPr>
        <w:t xml:space="preserve">- **Evaluation populations:** both the full enrolment cohort and the still-enrolled cohort at each checkpoint.</w:t>
      </w:r>
    </w:p>
    <w:p w:rsidR="00000000" w:rsidDel="00000000" w:rsidP="00000000" w:rsidRDefault="00000000" w:rsidRPr="00000000" w14:paraId="00000091">
      <w:pPr>
        <w:rPr/>
      </w:pPr>
      <w:r w:rsidDel="00000000" w:rsidR="00000000" w:rsidRPr="00000000">
        <w:rPr>
          <w:rtl w:val="0"/>
        </w:rPr>
        <w:t xml:space="preserve">- **Intended users:** instructors, academic advisors, and educational support teams who need prioritised and interpretable risk information.</w:t>
      </w:r>
    </w:p>
    <w:p w:rsidR="00000000" w:rsidDel="00000000" w:rsidP="00000000" w:rsidRDefault="00000000" w:rsidRPr="00000000" w14:paraId="00000092">
      <w:pPr>
        <w:rPr>
          <w:rFonts w:ascii="Courier New" w:cs="Courier New" w:eastAsia="Courier New" w:hAnsi="Courier New"/>
          <w:color w:val="bbbebf"/>
          <w:sz w:val="21"/>
          <w:szCs w:val="21"/>
        </w:rPr>
      </w:pPr>
      <w:r w:rsidDel="00000000" w:rsidR="00000000" w:rsidRPr="00000000">
        <w:rPr>
          <w:rtl w:val="0"/>
        </w:rPr>
        <w:t xml:space="preserve">- **Out of scope:** automatic decisions about students, fully autonomous intervention, detailed grade forecasting, causal claims about the effect of interventions, and deployment claims beyond the OULAD population without external validation.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4. Structure of the Thesis </w:t>
      </w:r>
    </w:p>
    <w:p w:rsidR="00000000" w:rsidDel="00000000" w:rsidP="00000000" w:rsidRDefault="00000000" w:rsidRPr="00000000" w14:paraId="00000095">
      <w:pPr>
        <w:rPr/>
      </w:pPr>
      <w:r w:rsidDel="00000000" w:rsidR="00000000" w:rsidRPr="00000000">
        <w:rPr>
          <w:rtl w:val="0"/>
        </w:rPr>
        <w:t xml:space="preserve">The remainder of this thesis is organised into six sections. Section 1 introduces the educational problem, explains the motivation for an AI-based early-warning system, defines the research questions, and summarises the main contributions of EduGuard. </w:t>
      </w:r>
    </w:p>
    <w:p w:rsidR="00000000" w:rsidDel="00000000" w:rsidP="00000000" w:rsidRDefault="00000000" w:rsidRPr="00000000" w14:paraId="00000096">
      <w:pPr>
        <w:rPr/>
      </w:pPr>
      <w:r w:rsidDel="00000000" w:rsidR="00000000" w:rsidRPr="00000000">
        <w:rPr>
          <w:rtl w:val="0"/>
        </w:rPr>
        <w:t xml:space="preserve">Section 2 reviews prior work on OULAD-based at-risk prediction, time-aware learning analytics, explainable AI, class-imbalance handling, and actionable recourse, and then identifies the research gaps addressed by this project.</w:t>
      </w:r>
    </w:p>
    <w:p w:rsidR="00000000" w:rsidDel="00000000" w:rsidP="00000000" w:rsidRDefault="00000000" w:rsidRPr="00000000" w14:paraId="00000097">
      <w:pPr>
        <w:rPr/>
      </w:pPr>
      <w:r w:rsidDel="00000000" w:rsidR="00000000" w:rsidRPr="00000000">
        <w:rPr>
          <w:rtl w:val="0"/>
        </w:rPr>
        <w:t xml:space="preserve">Section 3 presents the dataset and the experimental methodology. It describes the OULAD data sources, target definition, feature engineering, course-progress checkpoints, leakage-prevention rules, student-level train/test split, cross-validation design, and preprocessing pipeline. </w:t>
      </w:r>
    </w:p>
    <w:p w:rsidR="00000000" w:rsidDel="00000000" w:rsidP="00000000" w:rsidRDefault="00000000" w:rsidRPr="00000000" w14:paraId="00000098">
      <w:pPr>
        <w:rPr/>
      </w:pPr>
      <w:r w:rsidDel="00000000" w:rsidR="00000000" w:rsidRPr="00000000">
        <w:rPr>
          <w:rtl w:val="0"/>
        </w:rPr>
        <w:t xml:space="preserve">Section 4 reports the model benchmarking and time-aware prediction results for RQ1, including the comparison of five algorithms, ranking validation, hyperparameter analysis, and the difference between the full enrolment and still-enrolled cohorts.</w:t>
      </w:r>
    </w:p>
    <w:p w:rsidR="00000000" w:rsidDel="00000000" w:rsidP="00000000" w:rsidRDefault="00000000" w:rsidRPr="00000000" w14:paraId="00000099">
      <w:pPr>
        <w:rPr/>
      </w:pPr>
      <w:r w:rsidDel="00000000" w:rsidR="00000000" w:rsidRPr="00000000">
        <w:rPr>
          <w:rtl w:val="0"/>
        </w:rPr>
        <w:t xml:space="preserve">Section 5 examines the effects of imbalance-handling strategies and evaluates the stability and interpretability of SHAP and LIME explanations, addressing RQ2 and RQ3. It also discusses how the explanations can support educational decision-making and how their reliability should be monitored.</w:t>
      </w:r>
    </w:p>
    <w:p w:rsidR="00000000" w:rsidDel="00000000" w:rsidP="00000000" w:rsidRDefault="00000000" w:rsidRPr="00000000" w14:paraId="0000009A">
      <w:pPr>
        <w:rPr>
          <w:color w:val="bbbebf"/>
          <w:sz w:val="21"/>
          <w:szCs w:val="21"/>
        </w:rPr>
      </w:pPr>
      <w:r w:rsidDel="00000000" w:rsidR="00000000" w:rsidRPr="00000000">
        <w:rPr>
          <w:rtl w:val="0"/>
        </w:rPr>
        <w:t xml:space="preserve"> Section 6 discusses the limitations of the study, summarises the findings, presents deployment and monitoring recommendations, and outlines future work, including stronger validation across institutions and the development of actionable counterfactual recourse.</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