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fbfb85507fb8a9952ee7a1a4e9f1b3da71ec384"/>
    <w:p>
      <w:pPr>
        <w:pStyle w:val="Heading1"/>
      </w:pPr>
      <w:r>
        <w:t xml:space="preserve">Target Variable Definition and Withdrawn-over-Time Convention</w:t>
      </w:r>
    </w:p>
    <w:p>
      <w:pPr>
        <w:pStyle w:val="FirstParagraph"/>
      </w:pPr>
      <w:r>
        <w:rPr>
          <w:i/>
          <w:iCs/>
        </w:rPr>
        <w:t xml:space="preserve">Binary at-risk label for early student-risk prediction on OULAD</w:t>
      </w:r>
    </w:p>
    <w:p>
      <w:pPr>
        <w:pStyle w:val="BodyText"/>
      </w:pPr>
      <w:r>
        <w:t>DSP391m – Group 5 · Report 2 (Data Tasks), Chapter 3 · Work items STT 1 (whole team) &amp; STT 26 (Son) Reference: group agreement BB-B0-N1 (Step 0).</w:t>
      </w:r>
    </w:p>
    <w:p>
      <w:r>
        <w:pict>
          <v:rect style="width:0;height:1.5pt" o:hralign="center" o:hrstd="t" o:hr="t"/>
        </w:pict>
      </w:r>
    </w:p>
    <w:bookmarkStart w:id="9" w:name="problem-framing"/>
    <w:p>
      <w:pPr>
        <w:pStyle w:val="Heading2"/>
      </w:pPr>
      <w:r>
        <w:t xml:space="preserve">1. Problem framing</w:t>
      </w:r>
    </w:p>
    <w:p>
      <w:pPr>
        <w:pStyle w:val="FirstParagraph"/>
      </w:pPr>
      <w:r>
        <w:t xml:space="preserve">The project is a</w:t>
      </w:r>
      <w:r>
        <w:t xml:space="preserve"> </w:t>
      </w:r>
      <w:r>
        <w:rPr>
          <w:b/>
          <w:bCs/>
        </w:rPr>
        <w:t xml:space="preserve">binary classification</w:t>
      </w:r>
      <w:r>
        <w:t xml:space="preserve"> </w:t>
      </w:r>
      <w:r>
        <w:t xml:space="preserve">task: at each course-progress checkpoint, predict whether a student is</w:t>
      </w:r>
      <w:r>
        <w:t xml:space="preserve"> </w:t>
      </w:r>
      <w:r>
        <w:rPr>
          <w:b/>
          <w:bCs/>
        </w:rPr>
        <w:t xml:space="preserve">at-risk</w:t>
      </w:r>
      <w:r>
        <w:t xml:space="preserve">. No score regression is performed; only OULAD is used. The label is derived from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studentInfo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fixed across all six checkpoints</w:t>
      </w:r>
      <w:r>
        <w:t xml:space="preserve">.</w:t>
      </w:r>
    </w:p>
    <w:bookmarkEnd w:id="9"/>
    <w:bookmarkStart w:id="10" w:name="mapping-final_result-to-the-binary-label"/>
    <w:p>
      <w:pPr>
        <w:pStyle w:val="Heading2"/>
      </w:pPr>
      <w:r>
        <w:t xml:space="preserve">2. Mapping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to the binary label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final_result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Label (code)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Passed with distinction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not-at-risk 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not-at-risk 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Failed the module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at-risk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Withdrew from the module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at-risk (1)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"at_risk"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"final_result"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"Withdrawn"</w:t>
      </w:r>
      <w:r>
        <w:rPr>
          <w:rStyle w:val="NormalTok"/>
        </w:rPr>
        <w:t xml:space="preserve">]).astype(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1 = at-risk (positive class to detect); 0 = not-at-risk</w:t>
      </w:r>
    </w:p>
    <w:p>
      <w:pPr>
        <w:pStyle w:val="FirstParagraph"/>
      </w:pPr>
      <w:r>
        <w:rPr>
          <w:b/>
          <w:bCs/>
        </w:rPr>
        <w:t xml:space="preserve">Merging Distinction into Pass.</w:t>
      </w:r>
      <w:r>
        <w:t xml:space="preserve"> </w:t>
      </w:r>
      <w:r>
        <w:t xml:space="preserve">The task is binary; Distinction is a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outcome than Pass and is not a target for intervention. Merging keeps the class definition clear, avoids creating a tiny extra class, and stays aligned with the goal of</w:t>
      </w:r>
      <w:r>
        <w:t xml:space="preserve"> </w:t>
      </w:r>
      <w:r>
        <w:rPr>
          <w:i/>
          <w:iCs/>
        </w:rPr>
        <w:t xml:space="preserve">detecting risk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ranking achievement</w:t>
      </w:r>
      <w:r>
        <w:t xml:space="preserve">.</w:t>
      </w:r>
    </w:p>
    <w:bookmarkEnd w:id="10"/>
    <w:bookmarkStart w:id="11" w:name="Xd2ece6d6ad20aa30250afc976c350245c579270"/>
    <w:p>
      <w:pPr>
        <w:pStyle w:val="Heading2"/>
      </w:pPr>
      <w:r>
        <w:t xml:space="preserve">3. Observed class distribution (this dataset, not the illustrative slide)</w:t>
      </w:r>
    </w:p>
    <w:p>
      <w:pPr>
        <w:pStyle w:val="FirstParagraph"/>
      </w:pPr>
      <w:r>
        <w:t xml:space="preserve">Measured on the 32,593 student–module–presentation records of</w:t>
      </w:r>
      <w:r>
        <w:t xml:space="preserve"> </w:t>
      </w:r>
      <w:r>
        <w:rPr>
          <w:rStyle w:val="VerbatimChar"/>
        </w:rPr>
        <w:t xml:space="preserve">studentInfo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final_result</w:t>
            </w:r>
            <w:r>
              <w:t xml:space="preserve"> </w:t>
            </w: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not-at-risk (0)</w:t>
            </w:r>
          </w:p>
        </w:tc>
        <w:tc>
          <w:tcPr/>
          <w:p>
            <w:pPr>
              <w:pStyle w:val="Compact"/>
            </w:pPr>
            <w:r>
              <w:t xml:space="preserve">Pass (12,361) + Distinction (3,024)</w:t>
            </w:r>
          </w:p>
        </w:tc>
        <w:tc>
          <w:tcPr/>
          <w:p>
            <w:pPr>
              <w:pStyle w:val="Compact"/>
            </w:pPr>
            <w:r>
              <w:t xml:space="preserve">15,385</w:t>
            </w:r>
          </w:p>
        </w:tc>
        <w:tc>
          <w:tcPr/>
          <w:p>
            <w:pPr>
              <w:pStyle w:val="Compact"/>
            </w:pPr>
            <w:r>
              <w:t xml:space="preserve">47.2%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 (1)</w:t>
            </w:r>
          </w:p>
        </w:tc>
        <w:tc>
          <w:tcPr/>
          <w:p>
            <w:pPr>
              <w:pStyle w:val="Compact"/>
            </w:pPr>
            <w:r>
              <w:t xml:space="preserve">Fail (7,052) + Withdrawn (10,156)</w:t>
            </w:r>
          </w:p>
        </w:tc>
        <w:tc>
          <w:tcPr/>
          <w:p>
            <w:pPr>
              <w:pStyle w:val="Compact"/>
            </w:pPr>
            <w:r>
              <w:t xml:space="preserve">17,208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52.8%</w:t>
            </w:r>
          </w:p>
        </w:tc>
      </w:tr>
    </w:tbl>
    <w:p>
      <w:pPr>
        <w:pStyle w:val="BodyText"/>
      </w:pPr>
      <w:r>
        <w:t xml:space="preserve">The at-risk class is therefore a</w:t>
      </w:r>
      <w:r>
        <w:t xml:space="preserve"> </w:t>
      </w:r>
      <w:r>
        <w:rPr>
          <w:b/>
          <w:bCs/>
        </w:rPr>
        <w:t xml:space="preserve">slight majority</w:t>
      </w:r>
      <w:r>
        <w:t xml:space="preserve"> </w:t>
      </w:r>
      <w:r>
        <w:t xml:space="preserve">(≈52.8%); imbalance is</w:t>
      </w:r>
      <w:r>
        <w:t xml:space="preserve"> </w:t>
      </w:r>
      <w:r>
        <w:rPr>
          <w:b/>
          <w:bCs/>
        </w:rPr>
        <w:t xml:space="preserve">mild</w:t>
      </w:r>
      <w:r>
        <w:t xml:space="preserve">. The</w:t>
      </w:r>
      <w:r>
        <w:t xml:space="preserve"> </w:t>
      </w:r>
      <w:r>
        <w:t xml:space="preserve">“68/32”</w:t>
      </w:r>
      <w:r>
        <w:t xml:space="preserve"> </w:t>
      </w:r>
      <w:r>
        <w:t xml:space="preserve">figure sometimes shown on course slides is</w:t>
      </w:r>
      <w:r>
        <w:t xml:space="preserve"> </w:t>
      </w:r>
      <w:r>
        <w:rPr>
          <w:b/>
          <w:bCs/>
        </w:rPr>
        <w:t xml:space="preserve">illustrative only</w:t>
      </w:r>
      <w:r>
        <w:t xml:space="preserve"> </w:t>
      </w:r>
      <w:r>
        <w:t xml:space="preserve">and must not be quoted as the dataset statistic. Even with mild imbalance, evaluation uses</w:t>
      </w:r>
      <w:r>
        <w:t xml:space="preserve"> </w:t>
      </w:r>
      <w:r>
        <w:rPr>
          <w:b/>
          <w:bCs/>
        </w:rPr>
        <w:t xml:space="preserve">PR-AUC and recall on the at-risk class</w:t>
      </w:r>
      <w:r>
        <w:t xml:space="preserve">, because missing an at-risk student is the costly error (see STT 25).</w:t>
      </w:r>
    </w:p>
    <w:bookmarkEnd w:id="11"/>
    <w:bookmarkStart w:id="12" w:name="Xd6675ba969afcdcc6b3db0b14480850d4d87efe"/>
    <w:p>
      <w:pPr>
        <w:pStyle w:val="Heading2"/>
      </w:pPr>
      <w:r>
        <w:t xml:space="preserve">4. Withdrawn-over-time convention — Option A (chosen)</w:t>
      </w:r>
    </w:p>
    <w:p>
      <w:pPr>
        <w:pStyle w:val="FirstParagraph"/>
      </w:pPr>
      <w:r>
        <w:t xml:space="preserve">At a checkpoint</w:t>
      </w:r>
      <w:r>
        <w:t xml:space="preserve"> </w:t>
      </w:r>
      <w:r>
        <w:rPr>
          <w:i/>
          <w:iCs/>
        </w:rPr>
        <w:t xml:space="preserve">t%</w:t>
      </w:r>
      <w:r>
        <w:t xml:space="preserve">, a Withdrawn student may have left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checkpoint day. The group adopted</w:t>
      </w:r>
      <w:r>
        <w:t xml:space="preserve"> </w:t>
      </w:r>
      <w:r>
        <w:rPr>
          <w:b/>
          <w:bCs/>
        </w:rPr>
        <w:t xml:space="preserve">Option A — fixed label, fixed population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Each student’s label is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at every checkpoint (the label does not change with</w:t>
      </w:r>
      <w:r>
        <w:t xml:space="preserve"> </w:t>
      </w:r>
      <w:r>
        <w:rPr>
          <w:i/>
          <w:iCs/>
        </w:rPr>
        <w:t xml:space="preserve">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student set is identical</w:t>
      </w:r>
      <w:r>
        <w:t xml:space="preserve"> </w:t>
      </w:r>
      <w:r>
        <w:t xml:space="preserve">across all six checkpoints and the test set, satisfying the fixed-test-set requirement (STT 8).</w:t>
      </w:r>
    </w:p>
    <w:p>
      <w:pPr>
        <w:pStyle w:val="Compact"/>
        <w:numPr>
          <w:ilvl w:val="0"/>
          <w:numId w:val="1001"/>
        </w:numPr>
      </w:pPr>
      <w:r>
        <w:t xml:space="preserve">A Withdrawn student who left before checkpoint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kept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dataset and</w:t>
      </w:r>
      <w:r>
        <w:t xml:space="preserve"> </w:t>
      </w:r>
      <w:r>
        <w:rPr>
          <w:b/>
          <w:bCs/>
        </w:rPr>
        <w:t xml:space="preserve">still labelled at-risk</w:t>
      </w:r>
      <w:r>
        <w:t xml:space="preserve">. Their features naturally reflect only activity up to the withdrawal day, so engagement is very low — and this</w:t>
      </w:r>
      <w:r>
        <w:t xml:space="preserve"> </w:t>
      </w:r>
      <w:r>
        <w:rPr>
          <w:b/>
          <w:bCs/>
        </w:rPr>
        <w:t xml:space="preserve">decline in activity is the early-warning signal</w:t>
      </w:r>
      <w:r>
        <w:t xml:space="preserve">, not a data error.</w:t>
      </w:r>
    </w:p>
    <w:p>
      <w:pPr>
        <w:pStyle w:val="Compact"/>
        <w:numPr>
          <w:ilvl w:val="0"/>
          <w:numId w:val="1001"/>
        </w:numPr>
      </w:pPr>
      <w:r>
        <w:t xml:space="preserve">The time-aware cut function (STT 11) automatically removes any event dated after the checkpoint, so</w:t>
      </w:r>
      <w:r>
        <w:t xml:space="preserve"> </w:t>
      </w:r>
      <w:r>
        <w:rPr>
          <w:b/>
          <w:bCs/>
        </w:rPr>
        <w:t xml:space="preserve">no temporal leakage</w:t>
      </w:r>
      <w:r>
        <w:t xml:space="preserve"> </w:t>
      </w:r>
      <w:r>
        <w:t xml:space="preserve">is introduced.</w:t>
      </w:r>
    </w:p>
    <w:p>
      <w:pPr>
        <w:pStyle w:val="FirstParagraph"/>
      </w:pPr>
      <w:r>
        <w:rPr>
          <w:b/>
          <w:bCs/>
        </w:rPr>
        <w:t xml:space="preserve">Acknowledged limitation.</w:t>
      </w:r>
      <w:r>
        <w:t xml:space="preserve"> </w:t>
      </w:r>
      <w:r>
        <w:t xml:space="preserve">At late checkpoints, early-withdrawing students have almost no activity and are easy to detect, which can make recall and PR-AUC optimistic. The report quantifies this limitation with the sensitivity analysis on the still-enrolled subpopulation described in Section 5 — the evaluation-side counterpart of the alternative</w:t>
      </w:r>
      <w:r>
        <w:t xml:space="preserve"> </w:t>
      </w:r>
      <w:r>
        <w:rPr>
          <w:i/>
          <w:iCs/>
        </w:rPr>
        <w:t xml:space="preserve">Option B (per-checkpoint censoring)</w:t>
      </w:r>
      <w:r>
        <w:t xml:space="preserve">.</w:t>
      </w:r>
    </w:p>
    <w:bookmarkEnd w:id="12"/>
    <w:bookmarkStart w:id="13" w:name="Xe43f6e8e53dd3caf198d7fffbb8db82343ae0bc"/>
    <w:p>
      <w:pPr>
        <w:pStyle w:val="Heading2"/>
      </w:pPr>
      <w:r>
        <w:t xml:space="preserve">5. Two reading frames of the target (estimand clarification)</w:t>
      </w:r>
    </w:p>
    <w:p>
      <w:pPr>
        <w:pStyle w:val="FirstParagraph"/>
      </w:pPr>
      <w:r>
        <w:t xml:space="preserve">The fixed label of Option A supports two distinct estimands, and every headline metric must state which one it refers to.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End-of-course outcome classification — primary benchmark frame.</w:t>
      </w:r>
      <w:r>
        <w:t xml:space="preserve"> </w:t>
      </w:r>
      <w:r>
        <w:t xml:space="preserve">The question</w:t>
      </w:r>
      <w:r>
        <w:t xml:space="preserve"> </w:t>
      </w:r>
      <w:r>
        <w:t xml:space="preserve">“will this enrolment end in Fail or Withdrawn?”</w:t>
      </w:r>
      <w:r>
        <w:t xml:space="preserve"> </w:t>
      </w:r>
      <w:r>
        <w:t xml:space="preserve">is well defined on all 32,593 enrolment records at every checkpoint. This is the frame in which results are comparable with the baseline literature (Adnan et al., 2021; Tomasevic et al., 2020), which likewise retains the full cohort, and it is the frame of the project’s primary benchmark tables.</w:t>
      </w:r>
    </w:p>
    <w:p>
      <w:pPr>
        <w:numPr>
          <w:ilvl w:val="0"/>
          <w:numId w:val="1002"/>
        </w:numPr>
      </w:pPr>
      <w:r>
        <w:t>Early warning for intervention — still-enrolled frame. Sang intervention can only reach students who have not yet withdrawn, so the operational question “whom should a tutor contact at checkpoint t?” is meaningful only on the subpopulation still enrolled at the cutoff. Already at t = 10%, 4,833 of 32,593 enrolments have withdrawn before the cutoff (923 of them in the test set); for these records there is nothing left to predict — only to record.</w:t>
      </w:r>
    </w:p>
    <w:p>
      <w:pPr>
        <w:pStyle w:val="FirstParagraph"/>
      </w:pPr>
      <w:r>
        <w:rPr>
          <w:b/>
          <w:bCs/>
        </w:rPr>
        <w:t xml:space="preserve">Measured consequence.</w:t>
      </w:r>
      <w:r>
        <w:t xml:space="preserve"> </w:t>
      </w:r>
      <w:r>
        <w:t xml:space="preserve">XGBoost recall on the at-risk class at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40/80/100% is 0.81/0.90/0.93 on the full cohort but 0.678/0.779/0.841 on the still-enrolled subgroup (</w:t>
      </w:r>
      <w:r>
        <w:rPr>
          <w:rStyle w:val="VerbatimChar"/>
        </w:rPr>
        <w:t xml:space="preserve">reports/tables/sensitivity_active_xgb.csv</w:t>
      </w:r>
      <w:r>
        <w:t xml:space="preserve">, produced by</w:t>
      </w:r>
      <w:r>
        <w:t xml:space="preserve"> </w:t>
      </w:r>
      <w:r>
        <w:rPr>
          <w:rStyle w:val="VerbatimChar"/>
        </w:rPr>
        <w:t xml:space="preserve">tools/sensitivity_active.py</w:t>
      </w:r>
      <w:r>
        <w:t xml:space="preserve">). Against the recall ≥ 0.80 criterion of RQ1, the full cohort qualifies from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40%, whereas the still-enrolled subgroup qualifies only at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100%. Consistently, the strongest SHAP feature is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 </w:t>
      </w:r>
      <w:r>
        <w:t xml:space="preserve">(mean |SHAP| 3.57): on the full cohort, part of the model’s strength is</w:t>
      </w:r>
      <w:r>
        <w:t xml:space="preserve"> </w:t>
      </w:r>
      <w:r>
        <w:rPr>
          <w:i/>
          <w:iCs/>
        </w:rPr>
        <w:t xml:space="preserve">detecting students who have already left</w:t>
      </w:r>
      <w:r>
        <w:t xml:space="preserve">, not only</w:t>
      </w:r>
      <w:r>
        <w:t xml:space="preserve"> </w:t>
      </w:r>
      <w:r>
        <w:rPr>
          <w:i/>
          <w:iCs/>
        </w:rPr>
        <w:t xml:space="preserve">forecasting future risk</w:t>
      </w:r>
      <w:r>
        <w:t xml:space="preserve">. This is</w:t>
      </w:r>
      <w:r>
        <w:t xml:space="preserve"> </w:t>
      </w:r>
      <w:r>
        <w:rPr>
          <w:b/>
          <w:bCs/>
        </w:rPr>
        <w:t xml:space="preserve">not leakage</w:t>
      </w:r>
      <w:r>
        <w:t xml:space="preserve"> </w:t>
      </w:r>
      <w:r>
        <w:t xml:space="preserve">— the label never enters the features, and the low activity of withdrawn students is genuine behaviour — it is a</w:t>
      </w:r>
      <w:r>
        <w:t xml:space="preserve"> </w:t>
      </w:r>
      <w:r>
        <w:rPr>
          <w:b/>
          <w:bCs/>
        </w:rPr>
        <w:t xml:space="preserve">population-definition issue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Reporting rule.</w:t>
      </w:r>
      <w:r>
        <w:t xml:space="preserve"> </w:t>
      </w:r>
      <w:r>
        <w:t xml:space="preserve">Any statement of the form</w:t>
      </w:r>
      <w:r>
        <w:t xml:space="preserve"> </w:t>
      </w:r>
      <w:r>
        <w:t xml:space="preserve">“predictions are reliable from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40%”</w:t>
      </w:r>
      <w:r>
        <w:t xml:space="preserve"> </w:t>
      </w:r>
      <w:r>
        <w:t xml:space="preserve">must state the cohort it refers to. The project therefore reports both frames side by side: full-cohort results as the primary benchmark, still-enrolled results as the intervention-oriented sensitivity analysis.</w:t>
      </w:r>
    </w:p>
    <w:bookmarkEnd w:id="13"/>
    <w:bookmarkStart w:id="14" w:name="consequences-for-downstream-work"/>
    <w:p>
      <w:pPr>
        <w:pStyle w:val="Heading2"/>
      </w:pPr>
      <w:r>
        <w:t xml:space="preserve">6. Consequences for downstream work</w:t>
      </w:r>
    </w:p>
    <w:p>
      <w:pPr>
        <w:pStyle w:val="FirstParagraph"/>
      </w:pPr>
      <w:r>
        <w:t xml:space="preserve">Every work item that depends on</w:t>
      </w:r>
      <w:r>
        <w:t xml:space="preserve"> </w:t>
      </w:r>
      <w:r>
        <w:t xml:space="preserve">“Step 0”</w:t>
      </w:r>
      <w:r>
        <w:t xml:space="preserve"> </w:t>
      </w:r>
      <w:r>
        <w:t xml:space="preserve">inherits this definition: leakage rules (STT 12), schema and checkpoint map (STT 9, 10), split design (STT 21), and the documentation of source/ethics (STT 30). The target column name is</w:t>
      </w:r>
      <w:r>
        <w:t xml:space="preserve"> </w:t>
      </w:r>
      <w:r>
        <w:rPr>
          <w:rStyle w:val="VerbatimChar"/>
        </w:rPr>
        <w:t xml:space="preserve">at_risk</w:t>
      </w:r>
      <w:r>
        <w:t xml:space="preserve">;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is retained only as the raw source of the label.</w:t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M. Adnan et al.,</w:t>
      </w:r>
      <w:r>
        <w:t xml:space="preserve"> </w:t>
      </w:r>
      <w:r>
        <w:t xml:space="preserve">“Predicting at-Risk Students at Different Percentages of Course Length for Early Intervention,”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pp. 7519–7539, 2021.</w:t>
      </w:r>
    </w:p>
    <w:p>
      <w:pPr>
        <w:pStyle w:val="Compact"/>
        <w:numPr>
          <w:ilvl w:val="0"/>
          <w:numId w:val="1003"/>
        </w:numPr>
      </w:pPr>
      <w:r>
        <w:t xml:space="preserve">N. Tomasevic, N. Gvozdenovic, S. Vranes,</w:t>
      </w:r>
      <w:r>
        <w:t xml:space="preserve"> </w:t>
      </w:r>
      <w:r>
        <w:t xml:space="preserve">“An overview and comparison of supervised data mining techniques for student exam performance prediction,”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vol. 143, art. 103676, 2020.</w:t>
      </w:r>
    </w:p>
    <w:p>
      <w:pPr>
        <w:pStyle w:val="Compact"/>
        <w:numPr>
          <w:ilvl w:val="0"/>
          <w:numId w:val="1003"/>
        </w:numPr>
      </w:pPr>
      <w:r>
        <w:t xml:space="preserve">J. Kuzilek, M. Hlosta, Z. Zdrahal,</w:t>
      </w:r>
      <w:r>
        <w:t xml:space="preserve"> </w:t>
      </w:r>
      <w:r>
        <w:t xml:space="preserve">“Open University Learning Analytics dataset,”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vol. 4, art. 170171, 2017.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2026-07-23T05:43:06Z</dcterms:created>
  <dcterms:modified xsi:type="dcterms:W3CDTF">2026-07-23T05:43:06Z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