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page" w:horzAnchor="page" w:tblpX="691.2" w:tblpY="1497.6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7.7496671105196"/>
        <w:gridCol w:w="1515.9786950732357"/>
        <w:gridCol w:w="4368.774966711052"/>
        <w:gridCol w:w="2177.496671105193"/>
        <w:tblGridChange w:id="0">
          <w:tblGrid>
            <w:gridCol w:w="2287.7496671105196"/>
            <w:gridCol w:w="1515.9786950732357"/>
            <w:gridCol w:w="4368.774966711052"/>
            <w:gridCol w:w="2177.496671105193"/>
          </w:tblGrid>
        </w:tblGridChange>
      </w:tblGrid>
      <w:tr>
        <w:trPr>
          <w:cantSplit w:val="1"/>
          <w:trHeight w:val="650.92529296875" w:hRule="atLeast"/>
          <w:tblHeader w:val="0"/>
        </w:trPr>
        <w:tc>
          <w:tcPr>
            <w:gridSpan w:val="3"/>
            <w:tcBorders>
              <w:bottom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SOP-XXX-XXX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373e"/>
                <w:sz w:val="24"/>
                <w:szCs w:val="24"/>
                <w:highlight w:val="white"/>
                <w:rtl w:val="0"/>
              </w:rPr>
              <w:t xml:space="preserve">Repair &amp; Maintenance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define standardized procedures for safe, effective, and consistent repair and maintenance of kiosks by IT personnel.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SOP applies to all IT staff and interns involved in the assembly, maintenance, repair, or modification of company-owned kiosk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40" w:lineRule="auto"/>
        <w:ind w:left="-1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Technicians: Compliance with this SOP and documentation of work performed.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Manager: Ensures resources for adherence to these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Owner Department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Department: Overall management and implementation of this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 Requirements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Assemble kiosks according to manufacturer and company specifications.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Take inventory of each assembled kiosk.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ETL Certfication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Always disconnect power from the kiosk before servicing or modifying any internal hardware.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 external surfaces, screens, keyboards, input devices, and printers with approved cleaning agents. Use only approved tools and cleaning agents.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Follow ESD (Electrostatic Discharge) precautions when handling internal components.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 all maintenance and repairs.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Inspect all hardware components for visible damage, cable integrity, loose connections, or external debris.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vents and fans are free of dust and obstructions.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 any damage or issues identified during inspection.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1Valet assembly document is attached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resources located in the Maintenance folder by topic</w:t>
      </w:r>
    </w:p>
    <w:p w:rsidR="00000000" w:rsidDel="00000000" w:rsidP="00000000" w:rsidRDefault="00000000" w:rsidRPr="00000000" w14:paraId="00000039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3B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  <w:t xml:space="preserve">List any associated forms to be used along with this SOP - example shipping checklist</w:t>
      </w:r>
    </w:p>
    <w:tbl>
      <w:tblPr>
        <w:tblStyle w:val="Table2"/>
        <w:tblW w:w="1014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8370"/>
        <w:tblGridChange w:id="0">
          <w:tblGrid>
            <w:gridCol w:w="1770"/>
            <w:gridCol w:w="8370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0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41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Each time a change is made to the SOP we need to list what we changed and why</w:t>
      </w: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5355"/>
        <w:gridCol w:w="3000"/>
        <w:tblGridChange w:id="0">
          <w:tblGrid>
            <w:gridCol w:w="1770"/>
            <w:gridCol w:w="5355"/>
            <w:gridCol w:w="30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Change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8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900" w:right="99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after="240" w:before="240" w:lineRule="auto"/>
      <w:rPr>
        <w:b w:val="1"/>
        <w:bCs w:val="1"/>
      </w:rPr>
    </w:pPr>
    <w:r w:rsidDel="00000000" w:rsidR="00000000" w:rsidRPr="00000000">
      <w:rPr/>
      <w:drawing>
        <wp:inline distB="114300" distT="114300" distL="114300" distR="114300">
          <wp:extent cx="1854200" cy="482600"/>
          <wp:effectExtent b="0" l="0" r="0" t="0"/>
          <wp:docPr descr="A red letter on a black background&#10;&#10;AI-generated content may be incorrect." id="1" name="image1.png"/>
          <a:graphic>
            <a:graphicData uri="http://schemas.openxmlformats.org/drawingml/2006/picture">
              <pic:pic>
                <pic:nvPicPr>
                  <pic:cNvPr descr="A red letter on a black background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4200" cy="482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rtl w:val="0"/>
      </w:rPr>
      <w:t xml:space="preserve">                                                      STANDARD OPERATING PROCEDURE</w:t>
    </w:r>
  </w:p>
  <w:p w:rsidR="00000000" w:rsidDel="00000000" w:rsidP="00000000" w:rsidRDefault="00000000" w:rsidRPr="00000000" w14:paraId="0000004B">
    <w:pPr>
      <w:spacing w:after="240" w:before="240" w:lineRule="auto"/>
      <w:rPr/>
    </w:pPr>
    <w:r w:rsidDel="00000000" w:rsidR="00000000" w:rsidRPr="00000000">
      <w:rPr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