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VPAT — City of Providence</w:t>
      </w:r>
    </w:p>
    <w:p>
      <w:r>
        <w:t xml:space="preserve">Author: Sonde</w:t>
      </w:r>
    </w:p>
    <w:p>
      <w:r>
        <w:t xml:space="preserve">Company: Sonde</w:t>
      </w:r>
    </w:p>
    <w:p/>
    <w:p>
      <w:r>
        <w:t xml:space="preserve">Sonde Daylight</w:t>
      </w:r>
    </w:p>
    <w:p>
      <w:pPr>
        <w:pStyle w:val="Heading1"/>
      </w:pPr>
      <w:r>
        <w:t xml:space="preserve">Plantilla voluntaria de accesibilidad de productos (VPAT)</w:t>
      </w:r>
    </w:p>
    <w:p>
      <w:pPr>
        <w:pStyle w:val="Heading2"/>
      </w:pPr>
      <w:r>
        <w:t xml:space="preserve">Informe de cumplimiento WCAG 2.1</w:t>
      </w:r>
    </w:p>
    <w:p>
      <w:pPr>
        <w:pStyle w:val="Heading3"/>
      </w:pPr>
      <w:r>
        <w:t xml:space="preserve">Información del producto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rPr>
                <w:b/>
                <w:bCs/>
              </w:rPr>
              <w:t xml:space="preserve">Campo</w:t>
            </w:r>
          </w:p>
        </w:tc>
        <w:tc>
          <w:p>
            <w:r>
              <w:rPr>
                <w:b/>
                <w:bCs/>
              </w:rPr>
              <w:t xml:space="preserve">Valor</w:t>
            </w:r>
          </w:p>
        </w:tc>
      </w:tr>
      <w:tr>
        <w:tc>
          <w:p>
            <w:r>
              <w:t xml:space="preserve">Nombre del producto/versión</w:t>
            </w:r>
          </w:p>
        </w:tc>
        <w:tc>
          <w:p>
            <w:r>
              <w:t xml:space="preserve">City of Providence</w:t>
            </w:r>
          </w:p>
        </w:tc>
      </w:tr>
      <w:tr>
        <w:tc>
          <w:p>
            <w:r>
              <w:t xml:space="preserve">URL del producto</w:t>
            </w:r>
          </w:p>
        </w:tc>
        <w:tc>
          <w:p>
            <w:r>
              <w:t xml:space="preserve">https://providenceri.gov</w:t>
            </w:r>
          </w:p>
        </w:tc>
      </w:tr>
      <w:tr>
        <w:tc>
          <w:p>
            <w:r>
              <w:t xml:space="preserve">Fecha del informe</w:t>
            </w:r>
          </w:p>
        </w:tc>
        <w:tc>
          <w:p>
            <w:r>
              <w:t xml:space="preserve">22 de mayo de 2026</w:t>
            </w:r>
          </w:p>
        </w:tc>
      </w:tr>
      <w:tr>
        <w:tc>
          <w:p>
            <w:r>
              <w:t xml:space="preserve">Sonde Score</w:t>
            </w:r>
          </w:p>
        </w:tc>
        <w:tc>
          <w:p>
            <w:r>
              <w:t xml:space="preserve">934/1000</w:t>
            </w:r>
          </w:p>
        </w:tc>
      </w:tr>
      <w:tr>
        <w:tc>
          <w:p>
            <w:r>
              <w:t xml:space="preserve">Información de contacto</w:t>
            </w:r>
          </w:p>
        </w:tc>
        <w:tc>
          <w:p>
            <w:r>
              <w:t xml:space="preserve">Generado por Sonde (sonde.life)</w:t>
            </w:r>
          </w:p>
        </w:tc>
      </w:tr>
      <w:tr>
        <w:tc>
          <w:p>
            <w:r>
              <w:t xml:space="preserve">Notas</w:t>
            </w:r>
          </w:p>
        </w:tc>
        <w:tc>
          <w:p>
            <w:r>
              <w:t xml:space="preserve">Este VPAT se generó automáticamente a partir de un escaneo automatizado de accesibilidad. Cubre los criterios de éxito WCAG 2.1 Nivel A y Nivel AA. Las pruebas manuales pueden revelar problemas de conformidad adicionales que las herramientas automatizadas no detectan.</w:t>
            </w:r>
          </w:p>
        </w:tc>
      </w:tr>
    </w:tbl>
    <w:p/>
    <w:p/>
    <w:p>
      <w:pPr>
        <w:pStyle w:val="Heading3"/>
      </w:pPr>
      <w:r>
        <w:t xml:space="preserve">Métodos de Evaluación Utilizados</w:t>
      </w:r>
    </w:p>
    <w:p>
      <w:r>
        <w:t xml:space="preserve">La conformidad se evaluó mediante escaneo automatizado con la plataforma de análisis de accesibilidad Sonde. La evaluación incluyó:</w:t>
      </w:r>
    </w:p>
    <w:p>
      <w:r>
        <w:rPr>
          <w:i/>
          <w:iCs/>
        </w:rPr>
        <w:t xml:space="preserve">[Unsupported element type: bullets]</w:t>
      </w:r>
    </w:p>
    <w:p>
      <w:r>
        <w:t xml:space="preserve">Limitaciones: las pruebas automatizadas no pueden evaluar por completo los criterios que requieren juicio humano (por ejemplo, características sensoriales o el umbral de tres destellos). Los criterios marcados como "Admite" indican que no se detectaron infracciones automatizadas, no que el criterio se cumpla por completo.</w:t>
      </w:r>
    </w:p>
    <w:p/>
    <w:p>
      <w:pPr>
        <w:pStyle w:val="Heading3"/>
      </w:pPr>
      <w:r>
        <w:t xml:space="preserve">Estándares/Guías Aplicables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rPr>
                <w:b/>
                <w:bCs/>
              </w:rPr>
              <w:t xml:space="preserve">Estándar/Guía</w:t>
            </w:r>
          </w:p>
        </w:tc>
        <w:tc>
          <w:p>
            <w:r>
              <w:rPr>
                <w:b/>
                <w:bCs/>
              </w:rPr>
              <w:t xml:space="preserve">Incluido en el Informe</w:t>
            </w:r>
          </w:p>
        </w:tc>
      </w:tr>
      <w:tr>
        <w:tc>
          <w:p>
            <w:r>
              <w:t xml:space="preserve">Guías de Accesibilidad para Contenido Web 2.1</w:t>
            </w:r>
          </w:p>
        </w:tc>
        <w:tc>
          <w:p>
            <w:r>
              <w:t xml:space="preserve">Nivel A &amp; Nivel AA</w:t>
            </w:r>
          </w:p>
        </w:tc>
      </w:tr>
      <w:tr>
        <w:tc>
          <w:p>
            <w:r>
              <w:t xml:space="preserve">Revised Section 508 Standards</w:t>
            </w:r>
          </w:p>
        </w:tc>
        <w:tc>
          <w:p>
            <w:r>
              <w:t xml:space="preserve">via WCAG 2.1</w:t>
            </w:r>
          </w:p>
        </w:tc>
      </w:tr>
      <w:tr>
        <w:tc>
          <w:p>
            <w:r>
              <w:t xml:space="preserve">Requisitos de accesibilidad EN 301 549</w:t>
            </w:r>
          </w:p>
        </w:tc>
        <w:tc>
          <w:p>
            <w:r>
              <w:t xml:space="preserve">Criterios aplicables (mediante alineación WCAG)</w:t>
            </w:r>
          </w:p>
        </w:tc>
      </w:tr>
      <w:tr>
        <w:tc>
          <w:p>
            <w:r>
              <w:t xml:space="preserve">NIST SP 800-53 Rev 5</w:t>
            </w:r>
          </w:p>
        </w:tc>
        <w:tc>
          <w:p>
            <w:r>
              <w:t xml:space="preserve">11 controles — FedRAMP Rev 5 Moderate baseline + NIST PRIVACY overlay (mediante correspondencia WCAG)</w:t>
            </w:r>
          </w:p>
        </w:tc>
      </w:tr>
    </w:tbl>
    <w:p/>
    <w:p/>
    <w:p>
      <w:pPr>
        <w:pStyle w:val="Heading3"/>
      </w:pPr>
      <w:r>
        <w:t xml:space="preserve">Resumen de Conformidad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rPr>
                <w:b/>
                <w:bCs/>
              </w:rPr>
              <w:t xml:space="preserve">Estado</w:t>
            </w:r>
          </w:p>
        </w:tc>
        <w:tc>
          <w:p>
            <w:r>
              <w:rPr>
                <w:b/>
                <w:bCs/>
              </w:rPr>
              <w:t xml:space="preserve">Cantidad</w:t>
            </w:r>
          </w:p>
        </w:tc>
      </w:tr>
      <w:tr>
        <w:tc>
          <w:p>
            <w:r>
              <w:t xml:space="preserve">Admite</w:t>
            </w:r>
          </w:p>
        </w:tc>
        <w:tc>
          <w:p>
            <w:r>
              <w:t xml:space="preserve">43</w:t>
            </w:r>
          </w:p>
        </w:tc>
      </w:tr>
      <w:tr>
        <w:tc>
          <w:p>
            <w:r>
              <w:t xml:space="preserve">Admite parcialmente</w:t>
            </w:r>
          </w:p>
        </w:tc>
        <w:tc>
          <w:p>
            <w:r>
              <w:t xml:space="preserve">0</w:t>
            </w:r>
          </w:p>
        </w:tc>
      </w:tr>
      <w:tr>
        <w:tc>
          <w:p>
            <w:r>
              <w:t xml:space="preserve">No admite</w:t>
            </w:r>
          </w:p>
        </w:tc>
        <w:tc>
          <w:p>
            <w:r>
              <w:t xml:space="preserve">3</w:t>
            </w:r>
          </w:p>
        </w:tc>
      </w:tr>
      <w:tr>
        <w:tc>
          <w:p>
            <w:r>
              <w:t xml:space="preserve">No evaluado</w:t>
            </w:r>
          </w:p>
        </w:tc>
        <w:tc>
          <w:p>
            <w:r>
              <w:t xml:space="preserve">4</w:t>
            </w:r>
          </w:p>
        </w:tc>
      </w:tr>
    </w:tbl>
    <w:p/>
    <w:p/>
    <w:p>
      <w:pPr>
        <w:pStyle w:val="Heading3"/>
      </w:pPr>
      <w:r>
        <w:t xml:space="preserve">Tabla 1: criterios de éxito, Nivel 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Criterios</w:t>
            </w:r>
          </w:p>
        </w:tc>
        <w:tc>
          <w:p>
            <w:r>
              <w:rPr>
                <w:b/>
                <w:bCs/>
              </w:rPr>
              <w:t xml:space="preserve">Nivel de conformidad</w:t>
            </w:r>
          </w:p>
        </w:tc>
        <w:tc>
          <w:p>
            <w:r>
              <w:rPr>
                <w:b/>
                <w:bCs/>
              </w:rPr>
              <w:t xml:space="preserve">Observaciones y explicaciones</w:t>
            </w:r>
          </w:p>
        </w:tc>
      </w:tr>
      <w:tr>
        <w:tc>
          <w:p>
            <w:r>
              <w:t xml:space="preserve">1.1.1 Non-text Content (§1194.22(a)) [NIST: PT-5]</w:t>
            </w:r>
          </w:p>
        </w:tc>
        <w:tc>
          <w:p>
            <w:r>
              <w:t xml:space="preserve">✗ No admite</w:t>
            </w:r>
          </w:p>
        </w:tc>
        <w:tc>
          <w:p>
            <w:r>
              <w:t xml:space="preserve">3 resultados en todas las páginas 1. Detecta: a11y-tree.</w:t>
            </w:r>
          </w:p>
        </w:tc>
      </w:tr>
      <w:tr>
        <w:tc>
          <w:p>
            <w:r>
              <w:t xml:space="preserve">1.2.1 Audio-only and Video-only (Prerecorded) (§1194.22(b))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1.2.2 Captions (Prerecorded) (§1194.22(b))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1.2.3 Audio Description or Media Alternative (Prerecorded) (§1194.22(b))</w:t>
            </w:r>
          </w:p>
        </w:tc>
        <w:tc>
          <w:p>
            <w:r>
              <w:t xml:space="preserve">— No evaluado</w:t>
            </w:r>
          </w:p>
        </w:tc>
        <w:tc>
          <w:p>
            <w:r>
              <w:t xml:space="preserve">Este criterio requiere juicio humano más allá de las pruebas automatizadas.</w:t>
            </w:r>
          </w:p>
        </w:tc>
      </w:tr>
      <w:tr>
        <w:tc>
          <w:p>
            <w:r>
              <w:t xml:space="preserve">1.3.1 Info and Relationships (§1194.22(c)) [NIST: AU-6, PT-5, SC-28, SI-4]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1.3.2 Meaningful Sequence (§1194.22(c)) [NIST: AU-6]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1.3.3 Sensory Characteristics (§1194.22(c))</w:t>
            </w:r>
          </w:p>
        </w:tc>
        <w:tc>
          <w:p>
            <w:r>
              <w:t xml:space="preserve">— No evaluado</w:t>
            </w:r>
          </w:p>
        </w:tc>
        <w:tc>
          <w:p>
            <w:r>
              <w:t xml:space="preserve">Este criterio requiere juicio humano más allá de las pruebas automatizadas.</w:t>
            </w:r>
          </w:p>
        </w:tc>
      </w:tr>
      <w:tr>
        <w:tc>
          <w:p>
            <w:r>
              <w:t xml:space="preserve">1.4.1 Use of Color (§1194.22(c))</w:t>
            </w:r>
          </w:p>
        </w:tc>
        <w:tc>
          <w:p>
            <w:r>
              <w:t xml:space="preserve">✗ No admite</w:t>
            </w:r>
          </w:p>
        </w:tc>
        <w:tc>
          <w:p>
            <w:r>
              <w:t xml:space="preserve">10 resultados en todas las páginas 1. Detecta: color-as-indicator.</w:t>
            </w:r>
          </w:p>
        </w:tc>
      </w:tr>
      <w:tr>
        <w:tc>
          <w:p>
            <w:r>
              <w:t xml:space="preserve">1.4.2 Audio Control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2.1.1 Keyboard (§1194.22(d)) [NIST: IA-2]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2.1.2 No Keyboard Trap (§1194.22(d))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2.1.4 Character Key Shortcuts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2.2.1 Timing Adjustable (§1194.22(e))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2.2.2 Pause, Stop, Hide (§1194.22(e))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2.3.1 Three Flashes or Below Threshold (§1194.22(j))</w:t>
            </w:r>
          </w:p>
        </w:tc>
        <w:tc>
          <w:p>
            <w:r>
              <w:t xml:space="preserve">— No evaluado</w:t>
            </w:r>
          </w:p>
        </w:tc>
        <w:tc>
          <w:p>
            <w:r>
              <w:t xml:space="preserve">Este criterio requiere juicio humano más allá de las pruebas automatizadas.</w:t>
            </w:r>
          </w:p>
        </w:tc>
      </w:tr>
      <w:tr>
        <w:tc>
          <w:p>
            <w:r>
              <w:t xml:space="preserve">2.4.1 Bypass Blocks (§1194.22(o))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2.4.2 Page Titled (§1194.22(i))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2.4.3 Focus Order (§1194.22(o))</w:t>
            </w:r>
          </w:p>
        </w:tc>
        <w:tc>
          <w:p>
            <w:r>
              <w:t xml:space="preserve">✗ No admite</w:t>
            </w:r>
          </w:p>
        </w:tc>
        <w:tc>
          <w:p>
            <w:r>
              <w:t xml:space="preserve">2 resultados en todas las páginas 1. Detecta: focus-order.</w:t>
            </w:r>
          </w:p>
        </w:tc>
      </w:tr>
      <w:tr>
        <w:tc>
          <w:p>
            <w:r>
              <w:t xml:space="preserve">2.4.4 Link Purpose (In Context) (§1194.22(o)) [NIST: PT-5]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2.5.1 Pointer Gestures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2.5.2 Pointer Cancellation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2.5.3 Label in Name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2.5.4 Motion Actuation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3.1.1 Language of Page (§1194.22(m))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3.2.1 On Focus (§1194.22(n))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3.2.2 On Input (§1194.22(n))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3.3.1 Error Identification (§1194.22(g)) [NIST: AC-2, AC-7, IA-2, IA-6, SI-10]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3.3.2 Labels or Instructions (§1194.22(h)) [NIST: AC-2, IA-2, SI-10]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4.1.1 Parsing (§1194.22(k))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Este criterio se considera siempre cumplido, pero no se considera obsoleto en WCAG 2.2.</w:t>
            </w:r>
          </w:p>
        </w:tc>
      </w:tr>
      <w:tr>
        <w:tc>
          <w:p>
            <w:r>
              <w:t xml:space="preserve">4.1.2 Name, Role, Value (§1194.22(l)) [NIST: AC-3]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</w:tbl>
    <w:p/>
    <w:p/>
    <w:p>
      <w:pPr>
        <w:pStyle w:val="Heading3"/>
      </w:pPr>
      <w:r>
        <w:t xml:space="preserve">Tabla 2: criterios de éxito, Nivel AA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Criterios</w:t>
            </w:r>
          </w:p>
        </w:tc>
        <w:tc>
          <w:p>
            <w:r>
              <w:rPr>
                <w:b/>
                <w:bCs/>
              </w:rPr>
              <w:t xml:space="preserve">Nivel de conformidad</w:t>
            </w:r>
          </w:p>
        </w:tc>
        <w:tc>
          <w:p>
            <w:r>
              <w:rPr>
                <w:b/>
                <w:bCs/>
              </w:rPr>
              <w:t xml:space="preserve">Observaciones y explicaciones</w:t>
            </w:r>
          </w:p>
        </w:tc>
      </w:tr>
      <w:tr>
        <w:tc>
          <w:p>
            <w:r>
              <w:t xml:space="preserve">1.2.4 Captions (Live)</w:t>
            </w:r>
          </w:p>
        </w:tc>
        <w:tc>
          <w:p>
            <w:r>
              <w:t xml:space="preserve">— No evaluado</w:t>
            </w:r>
          </w:p>
        </w:tc>
        <w:tc>
          <w:p>
            <w:r>
              <w:t xml:space="preserve">Este criterio requiere juicio humano más allá de las pruebas automatizadas.</w:t>
            </w:r>
          </w:p>
        </w:tc>
      </w:tr>
      <w:tr>
        <w:tc>
          <w:p>
            <w:r>
              <w:t xml:space="preserve">1.2.5 Audio Description (Prerecorded) (§1194.22(b))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1.3.4 Orientation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1.3.5 Identify Input Purpose [NIST: IA-2]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1.4.3 Contrast (Minimum) (§1194.22(c))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1.4.4 Resize Text (§1194.22(c))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1.4.5 Images of Text (§1194.22(c))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1.4.10 Reflow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1.4.11 Non-text Contrast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1.4.12 Text Spacing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1.4.13 Content on Hover or Focus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2.4.5 Multiple Ways (§1194.22(o))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2.4.6 Headings and Labels (§1194.22(f)) [NIST: PT-5]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2.4.7 Focus Visible (§1194.22(f))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3.1.2 Language of Parts (§1194.22(m))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3.2.3 Consistent Navigation (§1194.22(n))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3.2.4 Consistent Identification (§1194.22(n))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3.3.3 Error Suggestion (§1194.22(g)) [NIST: AC-2, AC-7, SI-10]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3.3.4 Error Prevention (Legal, Financial, Data) (§1194.22(g)) [NIST: AC-2, IA-2]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4.1.3 Status Messages [NIST: AC-3, IA-6, SI-3, SI-4]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</w:tbl>
    <w:p/>
    <w:p/>
    <w:p>
      <w:pPr>
        <w:pStyle w:val="Heading3"/>
      </w:pPr>
      <w:r>
        <w:t xml:space="preserve">Cobertura NIST SP 800-53 Rev. 5 — FedRAMP Rev 5 Moderate baseline + NIST PRIVACY overlay</w:t>
      </w:r>
    </w:p>
    <w:p>
      <w:r>
        <w:t xml:space="preserve">Esta evaluación proporciona evidencia relevante para 11 controles NIST 800-53 dentro de FedRAMP Rev 5 Moderate baseline + NIST PRIVACY overlay mediante la correspondencia WCAG. Las referencias de controles NIST aparecen entre corchetes junto a los criterios WCAG aplicables anteriores.</w:t>
      </w:r>
    </w:p>
    <w:p>
      <w:r>
        <w:t xml:space="preserve">Controles cubiertos: AC-2, AC-3, AC-7, AU-6, IA-2, IA-6, PT-5, SC-28, SI-10, SI-3, SI-4</w:t>
      </w:r>
    </w:p>
    <w:p>
      <w:r>
        <w:rPr>
          <w:i/>
          <w:iCs/>
        </w:rPr>
        <w:t xml:space="preserve">[Unsupported element type: callout]</w:t>
      </w:r>
    </w:p>
    <w:p/>
    <w:p>
      <w:pPr>
        <w:pStyle w:val="Heading3"/>
      </w:pPr>
      <w:r>
        <w:t xml:space="preserve">Definiciones de nivel de conformidad</w:t>
      </w:r>
    </w:p>
    <w:p>
      <w:r>
        <w:rPr>
          <w:i/>
          <w:iCs/>
        </w:rPr>
        <w:t xml:space="preserve">[Unsupported element type: bullets]</w:t>
      </w:r>
    </w:p>
    <w:p/>
    <w:p>
      <w:pPr>
        <w:pStyle w:val="Heading3"/>
      </w:pPr>
      <w:r>
        <w:t xml:space="preserve">Procedencia de la metodología</w:t>
      </w:r>
    </w:p>
    <w:p>
      <w:r>
        <w:t xml:space="preserve">Las líneas base y superposiciones de este informe se derivan de perfiles OSCAL ascendentes. Active baseline selector: FedRAMP Rev 5 Moderate baseline + NIST PRIVACY overlay.</w:t>
      </w:r>
    </w:p>
    <w:p>
      <w:r>
        <w:rPr>
          <w:i/>
          <w:iCs/>
        </w:rPr>
        <w:t xml:space="preserve">[Unsupported element type: bullets]</w:t>
      </w:r>
    </w:p>
    <w:p>
      <w:r>
        <w:rPr>
          <w:i/>
          <w:iCs/>
        </w:rPr>
        <w:t xml:space="preserve">[Unsupported element type: callout]</w:t>
      </w:r>
    </w:p>
    <w:p/>
    <w:p>
      <w:r>
        <w:t xml:space="preserve">Este VPAT fue generado por Sonde el 22 de mayo de 2026. La metodología completa está publicada en daylight.sonde.life.</w:t>
      </w:r>
    </w:p>
    <w:p>
      <w:r>
        <w:t xml:space="preserve">Este informe presenta los resultados de un análisis automatizado de accesibilidad y se proporciona gratis, tal cual, sin garantía de ningún tipo. Los hallazgos son generados por software, no por expertos humanos en accesibilidad, y pueden contener errores u omisiones. Las pruebas automatizadas pueden detectar aproximadamente el 30-40 % de los problemas de accesibilidad; se recomienda una evaluación manual de expertos para una evaluación completa del cumplimiento. Las puntuaciones reflejan un análisis algorítmico bajo una metodología publicada y abierta a revisión pública; no son determinaciones legales de cumplimiento. Los resultados reflejan el estado del sitio web en el momento del escaneo y pueden cambiar a medida que se actualiza el sitio. Nada en este informe constituye asesoramiento legal. Sonde no asume responsabilidad por decisiones tomadas con base en estos resultados.</w:t>
      </w:r>
    </w:p>
    <w:p/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2026-05-24T20:54:07.146Z</dcterms:created>
  <dcterms:modified xsi:type="dcterms:W3CDTF">2026-05-24T20:54:07.146Z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