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rFonts w:ascii="Times New Roman" w:cs="Times New Roman" w:eastAsia="Times New Roman" w:hAnsi="Times New Roman"/>
          <w:b/>
          <w:bCs/>
          <w:color w:val="1B6B73"/>
          <w:sz w:val="44"/>
          <w:szCs w:val="44"/>
        </w:rPr>
        <w:t xml:space="preserve">INFORME TÉCNICO DE DESARROLLO</w:t>
      </w:r>
    </w:p>
    <w:p>
      <w:pPr>
        <w:pBdr>
          <w:bottom w:val="single" w:color="1B6B73" w:sz="12" w:space="6"/>
        </w:pBdr>
        <w:spacing w:after="400"/>
      </w:pPr>
      <w:r>
        <w:rPr>
          <w:rFonts w:ascii="Times New Roman" w:cs="Times New Roman" w:eastAsia="Times New Roman" w:hAnsi="Times New Roman"/>
          <w:color w:val="333333"/>
          <w:sz w:val="32"/>
          <w:szCs w:val="32"/>
        </w:rPr>
        <w:t xml:space="preserve">Recomendador de Inversión / Portafolio Personal</w:t>
      </w:r>
    </w:p>
    <w:p>
      <w:pPr>
        <w:spacing w:after="120" w:line="276"/>
        <w:jc w:val="left"/>
      </w:pPr>
      <w:r>
        <w:rPr>
          <w:rFonts w:ascii="Times New Roman" w:cs="Times New Roman" w:eastAsia="Times New Roman" w:hAnsi="Times New Roman"/>
          <w:b/>
          <w:bCs/>
          <w:sz w:val="22"/>
          <w:szCs w:val="22"/>
        </w:rPr>
        <w:t xml:space="preserve">Curso:</w:t>
      </w:r>
      <w:r>
        <w:rPr>
          <w:rFonts w:ascii="Times New Roman" w:cs="Times New Roman" w:eastAsia="Times New Roman" w:hAnsi="Times New Roman"/>
          <w:sz w:val="22"/>
          <w:szCs w:val="22"/>
        </w:rPr>
        <w:t xml:space="preserve"> Software Inteligente — Propuesta 4</w:t>
      </w:r>
    </w:p>
    <w:p>
      <w:pPr>
        <w:spacing w:after="120" w:line="276"/>
        <w:jc w:val="left"/>
      </w:pPr>
      <w:r>
        <w:rPr>
          <w:rFonts w:ascii="Times New Roman" w:cs="Times New Roman" w:eastAsia="Times New Roman" w:hAnsi="Times New Roman"/>
          <w:b/>
          <w:bCs/>
          <w:sz w:val="22"/>
          <w:szCs w:val="22"/>
        </w:rPr>
        <w:t xml:space="preserve">Entregable:</w:t>
      </w:r>
      <w:r>
        <w:rPr>
          <w:rFonts w:ascii="Times New Roman" w:cs="Times New Roman" w:eastAsia="Times New Roman" w:hAnsi="Times New Roman"/>
          <w:sz w:val="22"/>
          <w:szCs w:val="22"/>
        </w:rPr>
        <w:t xml:space="preserve"> Avance de Trabajo Parcial — Semana 5 (30%)</w:t>
      </w:r>
    </w:p>
    <w:p>
      <w:pPr>
        <w:spacing w:after="120" w:line="276"/>
        <w:jc w:val="left"/>
      </w:pPr>
      <w:r>
        <w:rPr>
          <w:rFonts w:ascii="Times New Roman" w:cs="Times New Roman" w:eastAsia="Times New Roman" w:hAnsi="Times New Roman"/>
          <w:b/>
          <w:bCs/>
          <w:sz w:val="22"/>
          <w:szCs w:val="22"/>
        </w:rPr>
        <w:t xml:space="preserve">Versión del documento:</w:t>
      </w:r>
      <w:r>
        <w:rPr>
          <w:rFonts w:ascii="Times New Roman" w:cs="Times New Roman" w:eastAsia="Times New Roman" w:hAnsi="Times New Roman"/>
          <w:sz w:val="22"/>
          <w:szCs w:val="22"/>
        </w:rPr>
        <w:t xml:space="preserve"> 1.1 — Setiembre 2026 (incorpora lógica difusa y reglas de contexto)</w:t>
      </w:r>
    </w:p>
    <w:p>
      <w:pPr>
        <w:spacing w:after="100"/>
      </w:pPr>
    </w:p>
    <w:p>
      <w:pPr>
        <w:pStyle w:val="Heading3"/>
        <w:keepNext/>
      </w:pPr>
      <w:r>
        <w:rPr>
          <w:rFonts w:ascii="Times New Roman" w:cs="Times New Roman" w:eastAsia="Times New Roman" w:hAnsi="Times New Roman"/>
        </w:rPr>
        <w:t xml:space="preserve">Integrantes del equipo</w:t>
      </w:r>
    </w:p>
    <w:p>
      <w:pPr>
        <w:pStyle w:val="ListParagraph"/>
        <w:numPr>
          <w:ilvl w:val="0"/>
          <w:numId w:val="2"/>
        </w:numPr>
        <w:spacing w:after="60" w:line="276"/>
      </w:pPr>
      <w:r>
        <w:rPr>
          <w:rFonts w:ascii="Times New Roman" w:cs="Times New Roman" w:eastAsia="Times New Roman" w:hAnsi="Times New Roman"/>
          <w:sz w:val="22"/>
          <w:szCs w:val="22"/>
        </w:rPr>
        <w:t xml:space="preserve">Gutierrez Campos Edson Luis</w:t>
      </w:r>
    </w:p>
    <w:p>
      <w:pPr>
        <w:pStyle w:val="ListParagraph"/>
        <w:numPr>
          <w:ilvl w:val="0"/>
          <w:numId w:val="2"/>
        </w:numPr>
        <w:spacing w:after="60" w:line="276"/>
      </w:pPr>
      <w:r>
        <w:rPr>
          <w:rFonts w:ascii="Times New Roman" w:cs="Times New Roman" w:eastAsia="Times New Roman" w:hAnsi="Times New Roman"/>
          <w:sz w:val="22"/>
          <w:szCs w:val="22"/>
        </w:rPr>
        <w:t xml:space="preserve">Arias Chumpitaz, Giovanni Alexander</w:t>
      </w:r>
    </w:p>
    <w:p>
      <w:pPr>
        <w:pStyle w:val="ListParagraph"/>
        <w:numPr>
          <w:ilvl w:val="0"/>
          <w:numId w:val="2"/>
        </w:numPr>
        <w:spacing w:after="60" w:line="276"/>
      </w:pPr>
      <w:r>
        <w:rPr>
          <w:rFonts w:ascii="Times New Roman" w:cs="Times New Roman" w:eastAsia="Times New Roman" w:hAnsi="Times New Roman"/>
          <w:sz w:val="22"/>
          <w:szCs w:val="22"/>
        </w:rPr>
        <w:t xml:space="preserve">Chavez Gave, Jose Luis</w:t>
      </w:r>
    </w:p>
    <w:p>
      <w:pPr>
        <w:pStyle w:val="ListParagraph"/>
        <w:numPr>
          <w:ilvl w:val="0"/>
          <w:numId w:val="2"/>
        </w:numPr>
        <w:spacing w:after="60" w:line="276"/>
      </w:pPr>
      <w:r>
        <w:rPr>
          <w:rFonts w:ascii="Times New Roman" w:cs="Times New Roman" w:eastAsia="Times New Roman" w:hAnsi="Times New Roman"/>
          <w:sz w:val="22"/>
          <w:szCs w:val="22"/>
        </w:rPr>
        <w:t xml:space="preserve">Limachi Sarmiento Jose Luis</w:t>
      </w:r>
    </w:p>
    <w:p>
      <w:pPr>
        <w:pStyle w:val="ListParagraph"/>
        <w:numPr>
          <w:ilvl w:val="0"/>
          <w:numId w:val="2"/>
        </w:numPr>
        <w:spacing w:after="60" w:line="276"/>
      </w:pPr>
      <w:r>
        <w:rPr>
          <w:rFonts w:ascii="Times New Roman" w:cs="Times New Roman" w:eastAsia="Times New Roman" w:hAnsi="Times New Roman"/>
          <w:sz w:val="22"/>
          <w:szCs w:val="22"/>
        </w:rPr>
        <w:t xml:space="preserve">Leon Robles, Illary Marcelo</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rPr>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bCs/>
                <w:sz w:val="19"/>
                <w:szCs w:val="19"/>
              </w:rPr>
              <w:t xml:space="preserve">Nombre del proyecto</w:t>
            </w:r>
          </w:p>
        </w:tc>
        <w:tc>
          <w:tcPr>
            <w:tcW w:type="dxa" w:w="68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InvestWise - Recomendador de inversiones con IA</w:t>
            </w:r>
          </w:p>
        </w:tc>
      </w:tr>
      <w:tr>
        <w:trPr>
          <w:cantSplit/>
        </w:trPr>
        <w:tc>
          <w:tcPr>
            <w:tcW w:type="dxa" w:w="2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bCs/>
                <w:sz w:val="19"/>
                <w:szCs w:val="19"/>
              </w:rPr>
              <w:t xml:space="preserve">Docente</w:t>
            </w:r>
          </w:p>
        </w:tc>
        <w:tc>
          <w:tcPr>
            <w:tcW w:type="dxa" w:w="68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HUGO DAVID CALDERON VILCA</w:t>
            </w:r>
          </w:p>
        </w:tc>
      </w:tr>
      <w:tr>
        <w:trPr>
          <w:cantSplit/>
        </w:trPr>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bCs/>
                <w:sz w:val="19"/>
                <w:szCs w:val="19"/>
              </w:rPr>
              <w:t xml:space="preserve">Repositorio de código</w:t>
            </w:r>
          </w:p>
        </w:tc>
        <w:tc>
          <w:tcPr>
            <w:tcW w:type="dxa" w:w="68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https://github.com/sonedxe/investment-recommender-ai</w:t>
            </w:r>
          </w:p>
        </w:tc>
      </w:tr>
    </w:tbl>
    <w:p>
      <w:pPr>
        <w:pageBreakBefore/>
      </w:pPr>
    </w:p>
    <w:p>
      <w:pPr>
        <w:pStyle w:val="Heading1"/>
        <w:keepNext/>
      </w:pPr>
      <w:r>
        <w:rPr>
          <w:rFonts w:ascii="Times New Roman" w:cs="Times New Roman" w:eastAsia="Times New Roman" w:hAnsi="Times New Roman"/>
        </w:rPr>
        <w:t xml:space="preserve">Resumen de cambios de la versión 1.1</w:t>
      </w:r>
    </w:p>
    <w:p>
      <w:pPr>
        <w:spacing w:after="120" w:line="276"/>
        <w:jc w:val="both"/>
      </w:pPr>
      <w:r>
        <w:rPr>
          <w:rFonts w:ascii="Times New Roman" w:cs="Times New Roman" w:eastAsia="Times New Roman" w:hAnsi="Times New Roman"/>
          <w:sz w:val="22"/>
          <w:szCs w:val="22"/>
        </w:rPr>
        <w:t xml:space="preserve">Esta versión añade dos aportes al informe de la semana 5: (1) </w:t>
      </w:r>
      <w:r>
        <w:rPr>
          <w:rFonts w:ascii="Times New Roman" w:cs="Times New Roman" w:eastAsia="Times New Roman" w:hAnsi="Times New Roman"/>
          <w:b/>
          <w:bCs/>
          <w:sz w:val="22"/>
          <w:szCs w:val="22"/>
        </w:rPr>
        <w:t xml:space="preserve">lógica difusa</w:t>
      </w:r>
      <w:r>
        <w:rPr>
          <w:rFonts w:ascii="Times New Roman" w:cs="Times New Roman" w:eastAsia="Times New Roman" w:hAnsi="Times New Roman"/>
          <w:sz w:val="22"/>
          <w:szCs w:val="22"/>
        </w:rPr>
        <w:t xml:space="preserve"> aplicada a dos conceptos imprecisos del perfil del usuario —el horizonte temporal y la capacidad de absorción— y (2) </w:t>
      </w:r>
      <w:r>
        <w:rPr>
          <w:rFonts w:ascii="Times New Roman" w:cs="Times New Roman" w:eastAsia="Times New Roman" w:hAnsi="Times New Roman"/>
          <w:b/>
          <w:bCs/>
          <w:sz w:val="22"/>
          <w:szCs w:val="22"/>
        </w:rPr>
        <w:t xml:space="preserve">reglas de contexto</w:t>
      </w:r>
      <w:r>
        <w:rPr>
          <w:rFonts w:ascii="Times New Roman" w:cs="Times New Roman" w:eastAsia="Times New Roman" w:hAnsi="Times New Roman"/>
          <w:sz w:val="22"/>
          <w:szCs w:val="22"/>
        </w:rPr>
        <w:t xml:space="preserve"> (factores ambientales) que influyen de forma directa en la función de aptitud. También corrige dos errores de la versión 1.0 en la sección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blHeader/>
        </w:trPr>
        <w:tc>
          <w:tcPr>
            <w:tcW w:type="dxa" w:w="19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Sección</w:t>
            </w:r>
          </w:p>
        </w:tc>
        <w:tc>
          <w:tcPr>
            <w:tcW w:type="dxa" w:w="77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Cambio</w:t>
            </w:r>
          </w:p>
        </w:tc>
      </w:tr>
      <w:tr>
        <w:trPr>
          <w:cantSplit/>
        </w:trPr>
        <w:tc>
          <w:tcPr>
            <w:tcW w:type="dxa" w:w="19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1, 3</w:t>
            </w:r>
          </w:p>
        </w:tc>
        <w:tc>
          <w:tcPr>
            <w:tcW w:type="dxa" w:w="7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Se menciona la lógica difusa y el ajuste contextual como parte del sistema y de sus funcionalidades.</w:t>
            </w:r>
          </w:p>
        </w:tc>
      </w:tr>
      <w:tr>
        <w:trPr>
          <w:cantSplit/>
        </w:trPr>
        <w:tc>
          <w:tcPr>
            <w:tcW w:type="dxa" w:w="19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4.1</w:t>
            </w:r>
          </w:p>
        </w:tc>
        <w:tc>
          <w:tcPr>
            <w:tcW w:type="dxa" w:w="7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Flujo de datos actualizado (8 etapas) con nuevo diagrama.</w:t>
            </w:r>
          </w:p>
        </w:tc>
      </w:tr>
      <w:tr>
        <w:trPr>
          <w:cantSplit/>
        </w:trPr>
        <w:tc>
          <w:tcPr>
            <w:tcW w:type="dxa" w:w="19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4.2, 4.7</w:t>
            </w:r>
          </w:p>
        </w:tc>
        <w:tc>
          <w:tcPr>
            <w:tcW w:type="dxa" w:w="7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Nuevos campos que la IA generativa debe extraer (ahorro total y cobertura de emergencia) y contratos de datos de los nuevos módulos.</w:t>
            </w:r>
          </w:p>
        </w:tc>
      </w:tr>
      <w:tr>
        <w:trPr>
          <w:cantSplit/>
        </w:trPr>
        <w:tc>
          <w:tcPr>
            <w:tcW w:type="dxa" w:w="19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4.3</w:t>
            </w:r>
          </w:p>
        </w:tc>
        <w:tc>
          <w:tcPr>
            <w:tcW w:type="dxa" w:w="7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El módulo bayesiano entrega además un indicador de tendencia reciente por categoría.</w:t>
            </w:r>
          </w:p>
        </w:tc>
      </w:tr>
      <w:tr>
        <w:trPr>
          <w:cantSplit/>
        </w:trPr>
        <w:tc>
          <w:tcPr>
            <w:tcW w:type="dxa" w:w="19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4.5 (nueva)</w:t>
            </w:r>
          </w:p>
        </w:tc>
        <w:tc>
          <w:tcPr>
            <w:tcW w:type="dxa" w:w="7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Módulo 4 — Lógica difusa: horizonte temporal y capacidad de absorción.</w:t>
            </w:r>
          </w:p>
        </w:tc>
      </w:tr>
      <w:tr>
        <w:trPr>
          <w:cantSplit/>
        </w:trPr>
        <w:tc>
          <w:tcPr>
            <w:tcW w:type="dxa" w:w="19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4.6 (nueva)</w:t>
            </w:r>
          </w:p>
        </w:tc>
        <w:tc>
          <w:tcPr>
            <w:tcW w:type="dxa" w:w="7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Módulo 5 — Reglas de contexto: panorama político, estabilidad macroeconómica, tendencia y precedente por categoría.</w:t>
            </w:r>
          </w:p>
        </w:tc>
      </w:tr>
      <w:tr>
        <w:trPr>
          <w:cantSplit/>
        </w:trPr>
        <w:tc>
          <w:tcPr>
            <w:tcW w:type="dxa" w:w="19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5.1</w:t>
            </w:r>
          </w:p>
        </w:tc>
        <w:tc>
          <w:tcPr>
            <w:tcW w:type="dxa" w:w="7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bCs/>
                <w:sz w:val="19"/>
                <w:szCs w:val="19"/>
              </w:rPr>
              <w:t xml:space="preserve">Corrección:</w:t>
            </w:r>
            <w:r>
              <w:rPr>
                <w:rFonts w:ascii="Times New Roman" w:cs="Times New Roman" w:eastAsia="Times New Roman" w:hAnsi="Times New Roman"/>
                <w:b w:val="false"/>
                <w:bCs w:val="false"/>
                <w:sz w:val="19"/>
                <w:szCs w:val="19"/>
              </w:rPr>
              <w:t xml:space="preserve"> la fórmula de σ(P) omitía el subíndice j y la covarianza σ</w:t>
            </w:r>
            <w:r>
              <w:rPr>
                <w:rFonts w:ascii="Times New Roman" w:cs="Times New Roman" w:eastAsia="Times New Roman" w:hAnsi="Times New Roman"/>
                <w:b w:val="false"/>
                <w:bCs w:val="false"/>
                <w:sz w:val="19"/>
                <w:szCs w:val="19"/>
                <w:vertAlign w:val="subscript"/>
              </w:rPr>
              <w:t xml:space="preserve">ij</w:t>
            </w:r>
            <w:r>
              <w:rPr>
                <w:rFonts w:ascii="Times New Roman" w:cs="Times New Roman" w:eastAsia="Times New Roman" w:hAnsi="Times New Roman"/>
                <w:b w:val="false"/>
                <w:bCs w:val="false"/>
                <w:sz w:val="19"/>
                <w:szCs w:val="19"/>
              </w:rPr>
              <w:t xml:space="preserve">; y el ejemplo ilustrativo daba fitness = −4 para λ = 2, cuando el valor correcto es −14.</w:t>
            </w:r>
          </w:p>
        </w:tc>
      </w:tr>
      <w:tr>
        <w:trPr>
          <w:cantSplit/>
        </w:trPr>
        <w:tc>
          <w:tcPr>
            <w:tcW w:type="dxa" w:w="19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5.2 (nueva)</w:t>
            </w:r>
          </w:p>
        </w:tc>
        <w:tc>
          <w:tcPr>
            <w:tcW w:type="dxa" w:w="7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Función de aptitud ampliada (fitness′) con λ efectivo, ajuste contextual y penalización por capacidad de absorción.</w:t>
            </w:r>
          </w:p>
        </w:tc>
      </w:tr>
      <w:tr>
        <w:trPr>
          <w:cantSplit/>
        </w:trPr>
        <w:tc>
          <w:tcPr>
            <w:tcW w:type="dxa" w:w="19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6, 8, 9, 10, 11</w:t>
            </w:r>
          </w:p>
        </w:tc>
        <w:tc>
          <w:tcPr>
            <w:tcW w:type="dxa" w:w="7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Reglas de explicación, ventajas, estado, plan de trabajo y glosario actualizados.</w:t>
            </w:r>
          </w:p>
        </w:tc>
      </w:tr>
      <w:tr>
        <w:trPr>
          <w:cantSplit/>
        </w:trPr>
        <w:tc>
          <w:tcPr>
            <w:tcW w:type="dxa" w:w="19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Anexo C (nuevo)</w:t>
            </w:r>
          </w:p>
        </w:tc>
        <w:tc>
          <w:tcPr>
            <w:tcW w:type="dxa" w:w="7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Parámetros iniciales del módulo difuso y de las reglas de contexto.</w:t>
            </w:r>
          </w:p>
        </w:tc>
      </w:tr>
    </w:tbl>
    <w:p>
      <w:pPr>
        <w:spacing w:after="100"/>
      </w:pPr>
    </w:p>
    <w:p>
      <w:pPr>
        <w:pStyle w:val="Heading1"/>
        <w:keepNext/>
      </w:pPr>
      <w:r>
        <w:rPr>
          <w:rFonts w:ascii="Times New Roman" w:cs="Times New Roman" w:eastAsia="Times New Roman" w:hAnsi="Times New Roman"/>
        </w:rPr>
        <w:t xml:space="preserve">Tabla de Contenidos</w:t>
      </w:r>
    </w:p>
    <w:p>
      <w:pPr>
        <w:pStyle w:val="ListParagraph"/>
        <w:numPr>
          <w:ilvl w:val="0"/>
          <w:numId w:val="2"/>
        </w:numPr>
        <w:spacing w:after="60" w:line="276"/>
      </w:pPr>
      <w:r>
        <w:rPr>
          <w:rFonts w:ascii="Times New Roman" w:cs="Times New Roman" w:eastAsia="Times New Roman" w:hAnsi="Times New Roman"/>
          <w:sz w:val="22"/>
          <w:szCs w:val="22"/>
        </w:rPr>
        <w:t xml:space="preserve">1. Introducción y Objetivo del Proyecto</w:t>
      </w:r>
    </w:p>
    <w:p>
      <w:pPr>
        <w:pStyle w:val="ListParagraph"/>
        <w:numPr>
          <w:ilvl w:val="0"/>
          <w:numId w:val="2"/>
        </w:numPr>
        <w:spacing w:after="60" w:line="276"/>
      </w:pPr>
      <w:r>
        <w:rPr>
          <w:rFonts w:ascii="Times New Roman" w:cs="Times New Roman" w:eastAsia="Times New Roman" w:hAnsi="Times New Roman"/>
          <w:sz w:val="22"/>
          <w:szCs w:val="22"/>
        </w:rPr>
        <w:t xml:space="preserve">2. Alcance y Delimitación del Proyecto</w:t>
      </w:r>
    </w:p>
    <w:p>
      <w:pPr>
        <w:pStyle w:val="ListParagraph"/>
        <w:numPr>
          <w:ilvl w:val="0"/>
          <w:numId w:val="2"/>
        </w:numPr>
        <w:spacing w:after="60" w:line="276"/>
      </w:pPr>
      <w:r>
        <w:rPr>
          <w:rFonts w:ascii="Times New Roman" w:cs="Times New Roman" w:eastAsia="Times New Roman" w:hAnsi="Times New Roman"/>
          <w:sz w:val="22"/>
          <w:szCs w:val="22"/>
        </w:rPr>
        <w:t xml:space="preserve">3. Descripción General de Funcionalidades</w:t>
      </w:r>
    </w:p>
    <w:p>
      <w:pPr>
        <w:pStyle w:val="ListParagraph"/>
        <w:numPr>
          <w:ilvl w:val="0"/>
          <w:numId w:val="2"/>
        </w:numPr>
        <w:spacing w:after="60" w:line="276"/>
      </w:pPr>
      <w:r>
        <w:rPr>
          <w:rFonts w:ascii="Times New Roman" w:cs="Times New Roman" w:eastAsia="Times New Roman" w:hAnsi="Times New Roman"/>
          <w:sz w:val="22"/>
          <w:szCs w:val="22"/>
        </w:rPr>
        <w:t xml:space="preserve">4. Arquitectura de Software Inteligente</w:t>
      </w:r>
    </w:p>
    <w:p>
      <w:pPr>
        <w:pStyle w:val="ListParagraph"/>
        <w:numPr>
          <w:ilvl w:val="0"/>
          <w:numId w:val="2"/>
        </w:numPr>
        <w:spacing w:after="60" w:line="276"/>
      </w:pPr>
      <w:r>
        <w:rPr>
          <w:rFonts w:ascii="Times New Roman" w:cs="Times New Roman" w:eastAsia="Times New Roman" w:hAnsi="Times New Roman"/>
          <w:sz w:val="22"/>
          <w:szCs w:val="22"/>
        </w:rPr>
        <w:t xml:space="preserve">5. Modelo Matemático Formal</w:t>
      </w:r>
    </w:p>
    <w:p>
      <w:pPr>
        <w:pStyle w:val="ListParagraph"/>
        <w:numPr>
          <w:ilvl w:val="0"/>
          <w:numId w:val="2"/>
        </w:numPr>
        <w:spacing w:after="60" w:line="276"/>
      </w:pPr>
      <w:r>
        <w:rPr>
          <w:rFonts w:ascii="Times New Roman" w:cs="Times New Roman" w:eastAsia="Times New Roman" w:hAnsi="Times New Roman"/>
          <w:sz w:val="22"/>
          <w:szCs w:val="22"/>
        </w:rPr>
        <w:t xml:space="preserve">6. Capa de Explicación en Lenguaje Simple (Diseño UX)</w:t>
      </w:r>
    </w:p>
    <w:p>
      <w:pPr>
        <w:pStyle w:val="ListParagraph"/>
        <w:numPr>
          <w:ilvl w:val="0"/>
          <w:numId w:val="2"/>
        </w:numPr>
        <w:spacing w:after="60" w:line="276"/>
      </w:pPr>
      <w:r>
        <w:rPr>
          <w:rFonts w:ascii="Times New Roman" w:cs="Times New Roman" w:eastAsia="Times New Roman" w:hAnsi="Times New Roman"/>
          <w:sz w:val="22"/>
          <w:szCs w:val="22"/>
        </w:rPr>
        <w:t xml:space="preserve">7. Población Objetivo y Casos de Uso</w:t>
      </w:r>
    </w:p>
    <w:p>
      <w:pPr>
        <w:pStyle w:val="ListParagraph"/>
        <w:numPr>
          <w:ilvl w:val="0"/>
          <w:numId w:val="2"/>
        </w:numPr>
        <w:spacing w:after="60" w:line="276"/>
      </w:pPr>
      <w:r>
        <w:rPr>
          <w:rFonts w:ascii="Times New Roman" w:cs="Times New Roman" w:eastAsia="Times New Roman" w:hAnsi="Times New Roman"/>
          <w:sz w:val="22"/>
          <w:szCs w:val="22"/>
        </w:rPr>
        <w:t xml:space="preserve">8. Ventajas frente a Otros Softwares Existentes</w:t>
      </w:r>
    </w:p>
    <w:p>
      <w:pPr>
        <w:pStyle w:val="ListParagraph"/>
        <w:numPr>
          <w:ilvl w:val="0"/>
          <w:numId w:val="2"/>
        </w:numPr>
        <w:spacing w:after="60" w:line="276"/>
      </w:pPr>
      <w:r>
        <w:rPr>
          <w:rFonts w:ascii="Times New Roman" w:cs="Times New Roman" w:eastAsia="Times New Roman" w:hAnsi="Times New Roman"/>
          <w:sz w:val="22"/>
          <w:szCs w:val="22"/>
        </w:rPr>
        <w:t xml:space="preserve">9. Estado Actual del Proyecto (Avance 30% — Semana 5)</w:t>
      </w:r>
    </w:p>
    <w:p>
      <w:pPr>
        <w:pStyle w:val="ListParagraph"/>
        <w:numPr>
          <w:ilvl w:val="0"/>
          <w:numId w:val="2"/>
        </w:numPr>
        <w:spacing w:after="60" w:line="276"/>
      </w:pPr>
      <w:r>
        <w:rPr>
          <w:rFonts w:ascii="Times New Roman" w:cs="Times New Roman" w:eastAsia="Times New Roman" w:hAnsi="Times New Roman"/>
          <w:sz w:val="22"/>
          <w:szCs w:val="22"/>
        </w:rPr>
        <w:t xml:space="preserve">10. Plan de Trabajo Restante</w:t>
      </w:r>
    </w:p>
    <w:p>
      <w:pPr>
        <w:pStyle w:val="ListParagraph"/>
        <w:numPr>
          <w:ilvl w:val="0"/>
          <w:numId w:val="2"/>
        </w:numPr>
        <w:spacing w:after="60" w:line="276"/>
      </w:pPr>
      <w:r>
        <w:rPr>
          <w:rFonts w:ascii="Times New Roman" w:cs="Times New Roman" w:eastAsia="Times New Roman" w:hAnsi="Times New Roman"/>
          <w:sz w:val="22"/>
          <w:szCs w:val="22"/>
        </w:rPr>
        <w:t xml:space="preserve">11. Glosario</w:t>
      </w:r>
    </w:p>
    <w:p>
      <w:pPr>
        <w:pStyle w:val="ListParagraph"/>
        <w:numPr>
          <w:ilvl w:val="0"/>
          <w:numId w:val="2"/>
        </w:numPr>
        <w:spacing w:after="60" w:line="276"/>
      </w:pPr>
      <w:r>
        <w:rPr>
          <w:rFonts w:ascii="Times New Roman" w:cs="Times New Roman" w:eastAsia="Times New Roman" w:hAnsi="Times New Roman"/>
          <w:sz w:val="22"/>
          <w:szCs w:val="22"/>
        </w:rPr>
        <w:t xml:space="preserve">Anexo A — Tabla de Categorías de Inversión de Referencia</w:t>
      </w:r>
    </w:p>
    <w:p>
      <w:pPr>
        <w:pStyle w:val="ListParagraph"/>
        <w:numPr>
          <w:ilvl w:val="0"/>
          <w:numId w:val="2"/>
        </w:numPr>
        <w:spacing w:after="60" w:line="276"/>
      </w:pPr>
      <w:r>
        <w:rPr>
          <w:rFonts w:ascii="Times New Roman" w:cs="Times New Roman" w:eastAsia="Times New Roman" w:hAnsi="Times New Roman"/>
          <w:sz w:val="22"/>
          <w:szCs w:val="22"/>
        </w:rPr>
        <w:t xml:space="preserve">Anexo B — Archivos del Proyecto</w:t>
      </w:r>
    </w:p>
    <w:p>
      <w:pPr>
        <w:pStyle w:val="ListParagraph"/>
        <w:numPr>
          <w:ilvl w:val="0"/>
          <w:numId w:val="2"/>
        </w:numPr>
        <w:spacing w:after="60" w:line="276"/>
      </w:pPr>
      <w:r>
        <w:rPr>
          <w:rFonts w:ascii="Times New Roman" w:cs="Times New Roman" w:eastAsia="Times New Roman" w:hAnsi="Times New Roman"/>
          <w:sz w:val="22"/>
          <w:szCs w:val="22"/>
        </w:rPr>
        <w:t xml:space="preserve">Anexo C — Parámetros del Módulo Difuso y de las Reglas de Contexto</w:t>
      </w:r>
    </w:p>
    <w:p>
      <w:pPr>
        <w:pageBreakBefore/>
      </w:pPr>
    </w:p>
    <w:p>
      <w:pPr>
        <w:pStyle w:val="Heading1"/>
        <w:keepNext/>
      </w:pPr>
      <w:r>
        <w:rPr>
          <w:rFonts w:ascii="Times New Roman" w:cs="Times New Roman" w:eastAsia="Times New Roman" w:hAnsi="Times New Roman"/>
        </w:rPr>
        <w:t xml:space="preserve">1. Introducción y Objetivo del Proyecto</w:t>
      </w:r>
    </w:p>
    <w:p>
      <w:pPr>
        <w:spacing w:after="120" w:line="276"/>
        <w:jc w:val="both"/>
      </w:pPr>
      <w:r>
        <w:rPr>
          <w:rFonts w:ascii="Times New Roman" w:cs="Times New Roman" w:eastAsia="Times New Roman" w:hAnsi="Times New Roman"/>
          <w:sz w:val="22"/>
          <w:szCs w:val="22"/>
        </w:rPr>
        <w:t xml:space="preserve">Este documento constituye el informe técnico del proyecto “Recomendador de Inversión / Portafolio Personal”, desarrollado para el curso de Software Inteligente. Su propósito es doble: (1) cumplir con el entregable formal solicitado por el enunciado del trabajo parcial —descripción de funcionalidades, arquitectura, población objetivo y ventajas del software— y (2) servir como documento de referencia técnica lo suficientemente preciso para que cualquier integrante del equipo, o una herramienta de generación de código asistida por IA, pueda implementar cada componente sin ambigüedad.</w:t>
      </w:r>
    </w:p>
    <w:p>
      <w:pPr>
        <w:spacing w:after="120" w:line="276"/>
        <w:jc w:val="both"/>
      </w:pPr>
      <w:r>
        <w:rPr>
          <w:rFonts w:ascii="Times New Roman" w:cs="Times New Roman" w:eastAsia="Times New Roman" w:hAnsi="Times New Roman"/>
          <w:sz w:val="22"/>
          <w:szCs w:val="22"/>
        </w:rPr>
        <w:t xml:space="preserve">El sistema integra en una sola aplicación con interfaz gráfica las siguientes técnicas de inteligencia artificial:</w:t>
      </w:r>
    </w:p>
    <w:p>
      <w:pPr>
        <w:pStyle w:val="ListParagraph"/>
        <w:numPr>
          <w:ilvl w:val="0"/>
          <w:numId w:val="2"/>
        </w:numPr>
        <w:spacing w:after="60" w:line="276"/>
      </w:pPr>
      <w:r>
        <w:rPr>
          <w:rFonts w:ascii="Times New Roman" w:cs="Times New Roman" w:eastAsia="Times New Roman" w:hAnsi="Times New Roman"/>
          <w:sz w:val="22"/>
          <w:szCs w:val="22"/>
        </w:rPr>
        <w:t xml:space="preserve">Un módulo de </w:t>
      </w:r>
      <w:r>
        <w:rPr>
          <w:rFonts w:ascii="Times New Roman" w:cs="Times New Roman" w:eastAsia="Times New Roman" w:hAnsi="Times New Roman"/>
          <w:b/>
          <w:bCs/>
          <w:sz w:val="22"/>
          <w:szCs w:val="22"/>
        </w:rPr>
        <w:t xml:space="preserve">IA generativa</w:t>
      </w:r>
      <w:r>
        <w:rPr>
          <w:rFonts w:ascii="Times New Roman" w:cs="Times New Roman" w:eastAsia="Times New Roman" w:hAnsi="Times New Roman"/>
          <w:sz w:val="22"/>
          <w:szCs w:val="22"/>
        </w:rPr>
        <w:t xml:space="preserve">, conectado mediante API, que interpreta la solicitud del usuario en lenguaje natural y explica los resultados en lenguaje simple.</w:t>
      </w:r>
    </w:p>
    <w:p>
      <w:pPr>
        <w:pStyle w:val="ListParagraph"/>
        <w:numPr>
          <w:ilvl w:val="0"/>
          <w:numId w:val="2"/>
        </w:numPr>
        <w:spacing w:after="60" w:line="276"/>
      </w:pPr>
      <w:r>
        <w:rPr>
          <w:rFonts w:ascii="Times New Roman" w:cs="Times New Roman" w:eastAsia="Times New Roman" w:hAnsi="Times New Roman"/>
          <w:sz w:val="22"/>
          <w:szCs w:val="22"/>
        </w:rPr>
        <w:t xml:space="preserve">Un módulo de </w:t>
      </w:r>
      <w:r>
        <w:rPr>
          <w:rFonts w:ascii="Times New Roman" w:cs="Times New Roman" w:eastAsia="Times New Roman" w:hAnsi="Times New Roman"/>
          <w:b/>
          <w:bCs/>
          <w:sz w:val="22"/>
          <w:szCs w:val="22"/>
        </w:rPr>
        <w:t xml:space="preserve">razonamiento bajo incertidumbre</w:t>
      </w:r>
      <w:r>
        <w:rPr>
          <w:rFonts w:ascii="Times New Roman" w:cs="Times New Roman" w:eastAsia="Times New Roman" w:hAnsi="Times New Roman"/>
          <w:sz w:val="22"/>
          <w:szCs w:val="22"/>
        </w:rPr>
        <w:t xml:space="preserve">, basado en inferencia bayesiana, que estima el retorno y riesgo de cada clase de activo a partir de datos históricos.</w:t>
      </w:r>
    </w:p>
    <w:p>
      <w:pPr>
        <w:pStyle w:val="ListParagraph"/>
        <w:numPr>
          <w:ilvl w:val="0"/>
          <w:numId w:val="2"/>
        </w:numPr>
        <w:spacing w:after="60" w:line="276"/>
      </w:pPr>
      <w:r>
        <w:rPr>
          <w:rFonts w:ascii="Times New Roman" w:cs="Times New Roman" w:eastAsia="Times New Roman" w:hAnsi="Times New Roman"/>
          <w:sz w:val="22"/>
          <w:szCs w:val="22"/>
        </w:rPr>
        <w:t xml:space="preserve">Un módulo de </w:t>
      </w:r>
      <w:r>
        <w:rPr>
          <w:rFonts w:ascii="Times New Roman" w:cs="Times New Roman" w:eastAsia="Times New Roman" w:hAnsi="Times New Roman"/>
          <w:b/>
          <w:bCs/>
          <w:sz w:val="22"/>
          <w:szCs w:val="22"/>
        </w:rPr>
        <w:t xml:space="preserve">algoritmo heurístico</w:t>
      </w:r>
      <w:r>
        <w:rPr>
          <w:rFonts w:ascii="Times New Roman" w:cs="Times New Roman" w:eastAsia="Times New Roman" w:hAnsi="Times New Roman"/>
          <w:sz w:val="22"/>
          <w:szCs w:val="22"/>
        </w:rPr>
        <w:t xml:space="preserve"> (algoritmo genético) que resuelve el problema de optimización de portafolio, es decir, encuentra la combinación de pesos que maximiza el retorno esperado ajustado al riesgo que el usuario está dispuesto a asumir.</w:t>
      </w:r>
    </w:p>
    <w:p>
      <w:pPr>
        <w:pStyle w:val="ListParagraph"/>
        <w:numPr>
          <w:ilvl w:val="0"/>
          <w:numId w:val="2"/>
        </w:numPr>
        <w:spacing w:after="60" w:line="276"/>
      </w:pPr>
      <w:r>
        <w:rPr>
          <w:rFonts w:ascii="Times New Roman" w:cs="Times New Roman" w:eastAsia="Times New Roman" w:hAnsi="Times New Roman"/>
          <w:sz w:val="22"/>
          <w:szCs w:val="22"/>
        </w:rPr>
        <w:t xml:space="preserve">Un módulo de </w:t>
      </w:r>
      <w:r>
        <w:rPr>
          <w:rFonts w:ascii="Times New Roman" w:cs="Times New Roman" w:eastAsia="Times New Roman" w:hAnsi="Times New Roman"/>
          <w:b/>
          <w:bCs/>
          <w:sz w:val="22"/>
          <w:szCs w:val="22"/>
        </w:rPr>
        <w:t xml:space="preserve">lógica difusa</w:t>
      </w:r>
      <w:r>
        <w:rPr>
          <w:rFonts w:ascii="Times New Roman" w:cs="Times New Roman" w:eastAsia="Times New Roman" w:hAnsi="Times New Roman"/>
          <w:sz w:val="22"/>
          <w:szCs w:val="22"/>
        </w:rPr>
        <w:t xml:space="preserve"> que modela dos conceptos imprecisos del perfil del usuario —su horizonte temporal y su capacidad de absorber pérdidas— mediante conjuntos difusos, y los traduce en parámetros que modulan la optimización.</w:t>
      </w:r>
    </w:p>
    <w:p>
      <w:pPr>
        <w:spacing w:after="120" w:line="276"/>
        <w:jc w:val="both"/>
      </w:pPr>
      <w:r>
        <w:rPr>
          <w:rFonts w:ascii="Times New Roman" w:cs="Times New Roman" w:eastAsia="Times New Roman" w:hAnsi="Times New Roman"/>
          <w:sz w:val="22"/>
          <w:szCs w:val="22"/>
        </w:rPr>
        <w:t xml:space="preserve">De forma complementaria, un conjunto de </w:t>
      </w:r>
      <w:r>
        <w:rPr>
          <w:rFonts w:ascii="Times New Roman" w:cs="Times New Roman" w:eastAsia="Times New Roman" w:hAnsi="Times New Roman"/>
          <w:b/>
          <w:bCs/>
          <w:sz w:val="22"/>
          <w:szCs w:val="22"/>
        </w:rPr>
        <w:t xml:space="preserve">reglas de contexto</w:t>
      </w:r>
      <w:r>
        <w:rPr>
          <w:rFonts w:ascii="Times New Roman" w:cs="Times New Roman" w:eastAsia="Times New Roman" w:hAnsi="Times New Roman"/>
          <w:sz w:val="22"/>
          <w:szCs w:val="22"/>
        </w:rPr>
        <w:t xml:space="preserve"> (panorama político, estabilidad macroeconómica, tendencia y precedente de cada categoría de inversión) ajusta directamente la función de aptitud del algoritmo genético, de modo que la recomendación no dependa únicamente del pasado estadístico sino también del entorno en que se invierte.</w:t>
      </w:r>
    </w:p>
    <w:p>
      <w:pPr>
        <w:spacing w:after="120" w:line="276"/>
        <w:jc w:val="both"/>
      </w:pPr>
      <w:r>
        <w:rPr>
          <w:rFonts w:ascii="Times New Roman" w:cs="Times New Roman" w:eastAsia="Times New Roman" w:hAnsi="Times New Roman"/>
          <w:sz w:val="22"/>
          <w:szCs w:val="22"/>
        </w:rPr>
        <w:t xml:space="preserve">El problema específico que resuelve el sistema es: dado un monto de dinero, un horizonte temporal, una tolerancia al riesgo y una capacidad de absorber pérdidas, ¿cómo debe una persona repartir ese dinero entre distintas categorías de inversión para obtener el mejor balance posible entre retorno esperado y riesgo asumido, en el contexto actual?</w:t>
      </w:r>
    </w:p>
    <w:p>
      <w:pPr>
        <w:pBdr>
          <w:left w:val="single" w:color="1B6B73" w:sz="24" w:space="8"/>
        </w:pBdr>
        <w:shd w:fill="F3F8F8" w:color="auto" w:val="clear"/>
        <w:spacing w:after="140" w:before="60" w:line="270"/>
        <w:ind w:left="200" w:right="100"/>
        <w:jc w:val="both"/>
      </w:pPr>
      <w:r>
        <w:rPr>
          <w:rFonts w:ascii="Times New Roman" w:cs="Times New Roman" w:eastAsia="Times New Roman" w:hAnsi="Times New Roman"/>
          <w:b/>
          <w:bCs/>
          <w:sz w:val="21"/>
          <w:szCs w:val="21"/>
        </w:rPr>
        <w:t xml:space="preserve">Declaración de alcance:</w:t>
      </w:r>
      <w:r>
        <w:rPr>
          <w:rFonts w:ascii="Times New Roman" w:cs="Times New Roman" w:eastAsia="Times New Roman" w:hAnsi="Times New Roman"/>
          <w:sz w:val="21"/>
          <w:szCs w:val="21"/>
        </w:rPr>
        <w:t xml:space="preserve"> este es un proyecto académico diseñado para demostrar la integración de técnicas de inteligencia artificial del curso. No constituye asesoría financiera real ni debe usarse para tomar decisiones de inversión efectivas. Esta advertencia se muestra también dentro de la interfaz de la aplicación, en todo momento visible para el usuario final.</w:t>
      </w:r>
    </w:p>
    <w:p>
      <w:pPr>
        <w:pStyle w:val="Heading1"/>
        <w:keepNext/>
      </w:pPr>
      <w:r>
        <w:rPr>
          <w:rFonts w:ascii="Times New Roman" w:cs="Times New Roman" w:eastAsia="Times New Roman" w:hAnsi="Times New Roman"/>
        </w:rPr>
        <w:t xml:space="preserve">2. Alcance y Delimitación del Proyecto</w:t>
      </w:r>
    </w:p>
    <w:p>
      <w:pPr>
        <w:spacing w:after="120" w:line="276"/>
        <w:jc w:val="both"/>
      </w:pPr>
      <w:r>
        <w:rPr>
          <w:rFonts w:ascii="Times New Roman" w:cs="Times New Roman" w:eastAsia="Times New Roman" w:hAnsi="Times New Roman"/>
          <w:sz w:val="22"/>
          <w:szCs w:val="22"/>
        </w:rPr>
        <w:t xml:space="preserve">Definir el alcance con precisión es un requisito de diseño, no un detalle secundario: un sistema que promete generalidad sin poder sustentarla (por ejemplo, funcionar para cualquier país sin datos ni lógica que lo respalden) termina siendo menos confiable que uno que declara honestamente sus límites. Por eso esta sección fija explícitamente qué cubre el sistema y qué no.</w:t>
      </w:r>
    </w:p>
    <w:p>
      <w:pPr>
        <w:pStyle w:val="Heading2"/>
        <w:keepNext/>
      </w:pPr>
      <w:r>
        <w:rPr>
          <w:rFonts w:ascii="Times New Roman" w:cs="Times New Roman" w:eastAsia="Times New Roman" w:hAnsi="Times New Roman"/>
        </w:rPr>
        <w:t xml:space="preserve">2.1. Alcance geográfico y de mercado</w:t>
      </w:r>
    </w:p>
    <w:p>
      <w:pPr>
        <w:spacing w:after="120" w:line="276"/>
        <w:jc w:val="both"/>
      </w:pPr>
      <w:r>
        <w:rPr>
          <w:rFonts w:ascii="Times New Roman" w:cs="Times New Roman" w:eastAsia="Times New Roman" w:hAnsi="Times New Roman"/>
          <w:sz w:val="22"/>
          <w:szCs w:val="22"/>
        </w:rPr>
        <w:t xml:space="preserve">El sistema opera sobre el mercado financiero peruano. Todas las categorías de inversión, tasas de referencia y terminología utilizadas corresponden a instrumentos y datos disponibles en el Perú (fondos mutuos reportados por la Asociación de Fondos Mutuos del Perú — AAFMP, bonos soberanos y depósitos del sistema bancario peruano). Esta decisión se tomó deliberadamente en lugar de intentar generalizar a múltiples países en esta entrega, por dos razones:</w:t>
      </w:r>
    </w:p>
    <w:p>
      <w:pPr>
        <w:pStyle w:val="ListParagraph"/>
        <w:numPr>
          <w:ilvl w:val="0"/>
          <w:numId w:val="2"/>
        </w:numPr>
        <w:spacing w:after="60" w:line="276"/>
      </w:pPr>
      <w:r>
        <w:rPr>
          <w:rFonts w:ascii="Times New Roman" w:cs="Times New Roman" w:eastAsia="Times New Roman" w:hAnsi="Times New Roman"/>
          <w:sz w:val="22"/>
          <w:szCs w:val="22"/>
        </w:rPr>
        <w:t xml:space="preserve">Generalizar el mercado sin datos reales por país produciría recomendaciones genéricas o inventadas, lo cual es peor que acotar el alcance.</w:t>
      </w:r>
    </w:p>
    <w:p>
      <w:pPr>
        <w:pStyle w:val="ListParagraph"/>
        <w:numPr>
          <w:ilvl w:val="0"/>
          <w:numId w:val="2"/>
        </w:numPr>
        <w:spacing w:after="60" w:line="276"/>
      </w:pPr>
      <w:r>
        <w:rPr>
          <w:rFonts w:ascii="Times New Roman" w:cs="Times New Roman" w:eastAsia="Times New Roman" w:hAnsi="Times New Roman"/>
          <w:sz w:val="22"/>
          <w:szCs w:val="22"/>
        </w:rPr>
        <w:t xml:space="preserve">El foco de evaluación del curso son los módulos de IA (heurística, incertidumbre, lógica difusa e IA generativa) y su integración, no la cobertura geográfica del dominio de aplicación.</w:t>
      </w:r>
    </w:p>
    <w:p>
      <w:pPr>
        <w:spacing w:after="120" w:line="276"/>
        <w:jc w:val="both"/>
      </w:pPr>
      <w:r>
        <w:rPr>
          <w:rFonts w:ascii="Times New Roman" w:cs="Times New Roman" w:eastAsia="Times New Roman" w:hAnsi="Times New Roman"/>
          <w:sz w:val="22"/>
          <w:szCs w:val="22"/>
        </w:rPr>
        <w:t xml:space="preserve">La extensión a otros mercados (por ejemplo, agregando un parámetro de país y una tabla o API de instrumentos financieros locales) queda documentada como trabajo futuro en la sección 10.</w:t>
      </w:r>
    </w:p>
    <w:p>
      <w:pPr>
        <w:pStyle w:val="Heading2"/>
        <w:keepNext/>
      </w:pPr>
      <w:r>
        <w:rPr>
          <w:rFonts w:ascii="Times New Roman" w:cs="Times New Roman" w:eastAsia="Times New Roman" w:hAnsi="Times New Roman"/>
        </w:rPr>
        <w:t xml:space="preserve">2.2. Categorías de inversión: representativas, no productos específicos</w:t>
      </w:r>
    </w:p>
    <w:p>
      <w:pPr>
        <w:spacing w:after="120" w:line="276"/>
        <w:jc w:val="both"/>
      </w:pPr>
      <w:r>
        <w:rPr>
          <w:rFonts w:ascii="Times New Roman" w:cs="Times New Roman" w:eastAsia="Times New Roman" w:hAnsi="Times New Roman"/>
          <w:sz w:val="22"/>
          <w:szCs w:val="22"/>
        </w:rPr>
        <w:t xml:space="preserve">Un error conceptual detectado y corregido durante el diseño: el documento de referencia inicial del equipo mezclaba un instrumento específico y real (el Bono Soberano Peruano, BTP) con categorías genéricas sin producto definido (“Fondo Mutuo de Acciones”, que en realidad agrupa decenas de fondos distintos, cada uno con su propio retorno y riesgo real). Para eliminar esa ambigüedad, el sistema trata las cinco clases de inversión como categorías representativas de clase de activo, no como productos financieros específicos y comprables. Cada categoría usa como referencia numérica el promedio histórico reportado para ese tipo de instrumento en el mercado peruano (ver Anexo A), y esto se comunica explícitamente al usuario dentro de la propia respuesta del sistema, para no sugerir una precisión que los datos no tienen.</w:t>
      </w:r>
    </w:p>
    <w:p>
      <w:pPr>
        <w:pStyle w:val="Heading2"/>
        <w:keepNext/>
      </w:pPr>
      <w:r>
        <w:rPr>
          <w:rFonts w:ascii="Times New Roman" w:cs="Times New Roman" w:eastAsia="Times New Roman" w:hAnsi="Times New Roman"/>
        </w:rPr>
        <w:t xml:space="preserve">2.3. Fuera de alcance (explícitamente)</w:t>
      </w:r>
    </w:p>
    <w:p>
      <w:pPr>
        <w:pStyle w:val="ListParagraph"/>
        <w:numPr>
          <w:ilvl w:val="0"/>
          <w:numId w:val="2"/>
        </w:numPr>
        <w:spacing w:after="60" w:line="276"/>
      </w:pPr>
      <w:r>
        <w:rPr>
          <w:rFonts w:ascii="Times New Roman" w:cs="Times New Roman" w:eastAsia="Times New Roman" w:hAnsi="Times New Roman"/>
          <w:sz w:val="22"/>
          <w:szCs w:val="22"/>
        </w:rPr>
        <w:t xml:space="preserve">Recomendaciones sobre productos financieros específicos de una entidad (un fondo mutuo de un banco en particular, por ejemplo).</w:t>
      </w:r>
    </w:p>
    <w:p>
      <w:pPr>
        <w:pStyle w:val="ListParagraph"/>
        <w:numPr>
          <w:ilvl w:val="0"/>
          <w:numId w:val="2"/>
        </w:numPr>
        <w:spacing w:after="60" w:line="276"/>
      </w:pPr>
      <w:r>
        <w:rPr>
          <w:rFonts w:ascii="Times New Roman" w:cs="Times New Roman" w:eastAsia="Times New Roman" w:hAnsi="Times New Roman"/>
          <w:sz w:val="22"/>
          <w:szCs w:val="22"/>
        </w:rPr>
        <w:t xml:space="preserve">Ejecución real de órdenes de inversión o conexión a cuentas bancarias/de corretaje.</w:t>
      </w:r>
    </w:p>
    <w:p>
      <w:pPr>
        <w:pStyle w:val="ListParagraph"/>
        <w:numPr>
          <w:ilvl w:val="0"/>
          <w:numId w:val="2"/>
        </w:numPr>
        <w:spacing w:after="60" w:line="276"/>
      </w:pPr>
      <w:r>
        <w:rPr>
          <w:rFonts w:ascii="Times New Roman" w:cs="Times New Roman" w:eastAsia="Times New Roman" w:hAnsi="Times New Roman"/>
          <w:sz w:val="22"/>
          <w:szCs w:val="22"/>
        </w:rPr>
        <w:t xml:space="preserve">Datos de mercado en tiempo real (se usan datos históricos de referencia, actualizables manualmente o mediante el módulo bayesiano).</w:t>
      </w:r>
    </w:p>
    <w:p>
      <w:pPr>
        <w:pStyle w:val="ListParagraph"/>
        <w:numPr>
          <w:ilvl w:val="0"/>
          <w:numId w:val="2"/>
        </w:numPr>
        <w:spacing w:after="60" w:line="276"/>
      </w:pPr>
      <w:r>
        <w:rPr>
          <w:rFonts w:ascii="Times New Roman" w:cs="Times New Roman" w:eastAsia="Times New Roman" w:hAnsi="Times New Roman"/>
          <w:sz w:val="22"/>
          <w:szCs w:val="22"/>
        </w:rPr>
        <w:t xml:space="preserve">Soporte multi-idioma o multi-moneda (la interfaz y los cálculos se manejan en soles, S/).</w:t>
      </w:r>
    </w:p>
    <w:p>
      <w:pPr>
        <w:pStyle w:val="ListParagraph"/>
        <w:numPr>
          <w:ilvl w:val="0"/>
          <w:numId w:val="2"/>
        </w:numPr>
        <w:spacing w:after="60" w:line="276"/>
      </w:pPr>
      <w:r>
        <w:rPr>
          <w:rFonts w:ascii="Times New Roman" w:cs="Times New Roman" w:eastAsia="Times New Roman" w:hAnsi="Times New Roman"/>
          <w:sz w:val="22"/>
          <w:szCs w:val="22"/>
        </w:rPr>
        <w:t xml:space="preserve">Obtención automática de los factores de contexto: el panorama político, la estabilidad macroeconómica y las tendencias se manejan como parámetros configurables desde un panel (por defecto neutrales), no se extraen de noticias ni de fuentes en tiempo real.</w:t>
      </w:r>
    </w:p>
    <w:p>
      <w:pPr>
        <w:pStyle w:val="Heading1"/>
        <w:keepNext/>
      </w:pPr>
      <w:r>
        <w:rPr>
          <w:rFonts w:ascii="Times New Roman" w:cs="Times New Roman" w:eastAsia="Times New Roman" w:hAnsi="Times New Roman"/>
        </w:rPr>
        <w:t xml:space="preserve">3. Descripción General de Funcionalidades</w:t>
      </w:r>
    </w:p>
    <w:p>
      <w:pPr>
        <w:spacing w:after="120" w:line="276"/>
        <w:jc w:val="both"/>
      </w:pPr>
      <w:r>
        <w:rPr>
          <w:rFonts w:ascii="Times New Roman" w:cs="Times New Roman" w:eastAsia="Times New Roman" w:hAnsi="Times New Roman"/>
          <w:sz w:val="22"/>
          <w:szCs w:val="22"/>
        </w:rPr>
        <w:t xml:space="preserve">Desde la perspectiva del usuario final, el sistema ofrece las siguientes funcionalidades:</w:t>
      </w:r>
    </w:p>
    <w:p>
      <w:pPr>
        <w:pStyle w:val="ListParagraph"/>
        <w:numPr>
          <w:ilvl w:val="0"/>
          <w:numId w:val="2"/>
        </w:numPr>
        <w:spacing w:after="60" w:line="276"/>
      </w:pPr>
      <w:r>
        <w:rPr>
          <w:rFonts w:ascii="Times New Roman" w:cs="Times New Roman" w:eastAsia="Times New Roman" w:hAnsi="Times New Roman"/>
          <w:sz w:val="22"/>
          <w:szCs w:val="22"/>
        </w:rPr>
        <w:t xml:space="preserve">Ingreso de la situación financiera del usuario en lenguaje natural (texto libre), sin formularios rígidos ni términos técnicos obligatorios.</w:t>
      </w:r>
    </w:p>
    <w:p>
      <w:pPr>
        <w:pStyle w:val="ListParagraph"/>
        <w:numPr>
          <w:ilvl w:val="0"/>
          <w:numId w:val="2"/>
        </w:numPr>
        <w:spacing w:after="60" w:line="276"/>
      </w:pPr>
      <w:r>
        <w:rPr>
          <w:rFonts w:ascii="Times New Roman" w:cs="Times New Roman" w:eastAsia="Times New Roman" w:hAnsi="Times New Roman"/>
          <w:sz w:val="22"/>
          <w:szCs w:val="22"/>
        </w:rPr>
        <w:t xml:space="preserve">Detección automática de información faltante o ambigua, con preguntas de aclaración dirigidas al usuario antes de calcular una recomendación (ver sección 4.2).</w:t>
      </w:r>
    </w:p>
    <w:p>
      <w:pPr>
        <w:pStyle w:val="ListParagraph"/>
        <w:numPr>
          <w:ilvl w:val="0"/>
          <w:numId w:val="2"/>
        </w:numPr>
        <w:spacing w:after="60" w:line="276"/>
      </w:pPr>
      <w:r>
        <w:rPr>
          <w:rFonts w:ascii="Times New Roman" w:cs="Times New Roman" w:eastAsia="Times New Roman" w:hAnsi="Times New Roman"/>
          <w:sz w:val="22"/>
          <w:szCs w:val="22"/>
        </w:rPr>
        <w:t xml:space="preserve">Interpretación difusa del horizonte temporal: el sistema maneja transiciones graduales entre corto, mediano y largo plazo, en lugar de umbrales rígidos, y entiende expresiones imprecisas (ver sección 4.5).</w:t>
      </w:r>
    </w:p>
    <w:p>
      <w:pPr>
        <w:pStyle w:val="ListParagraph"/>
        <w:numPr>
          <w:ilvl w:val="0"/>
          <w:numId w:val="2"/>
        </w:numPr>
        <w:spacing w:after="60" w:line="276"/>
      </w:pPr>
      <w:r>
        <w:rPr>
          <w:rFonts w:ascii="Times New Roman" w:cs="Times New Roman" w:eastAsia="Times New Roman" w:hAnsi="Times New Roman"/>
          <w:sz w:val="22"/>
          <w:szCs w:val="22"/>
        </w:rPr>
        <w:t xml:space="preserve">Estimación difusa de la capacidad de absorción de pérdidas del usuario, a partir de qué parte de sus ahorros compromete y de cuánto fondo de emergencia tiene (ver sección 4.5).</w:t>
      </w:r>
    </w:p>
    <w:p>
      <w:pPr>
        <w:pStyle w:val="ListParagraph"/>
        <w:numPr>
          <w:ilvl w:val="0"/>
          <w:numId w:val="2"/>
        </w:numPr>
        <w:spacing w:after="60" w:line="276"/>
      </w:pPr>
      <w:r>
        <w:rPr>
          <w:rFonts w:ascii="Times New Roman" w:cs="Times New Roman" w:eastAsia="Times New Roman" w:hAnsi="Times New Roman"/>
          <w:sz w:val="22"/>
          <w:szCs w:val="22"/>
        </w:rPr>
        <w:t xml:space="preserve">Cálculo automático de un portafolio recomendado (distribución porcentual entre las 5 categorías de inversión) mediante algoritmo genético.</w:t>
      </w:r>
    </w:p>
    <w:p>
      <w:pPr>
        <w:pStyle w:val="ListParagraph"/>
        <w:numPr>
          <w:ilvl w:val="0"/>
          <w:numId w:val="2"/>
        </w:numPr>
        <w:spacing w:after="60" w:line="276"/>
      </w:pPr>
      <w:r>
        <w:rPr>
          <w:rFonts w:ascii="Times New Roman" w:cs="Times New Roman" w:eastAsia="Times New Roman" w:hAnsi="Times New Roman"/>
          <w:sz w:val="22"/>
          <w:szCs w:val="22"/>
        </w:rPr>
        <w:t xml:space="preserve">Estimación de retorno y riesgo de cada categoría de inversión mediante razonamiento bayesiano sobre datos históricos.</w:t>
      </w:r>
    </w:p>
    <w:p>
      <w:pPr>
        <w:pStyle w:val="ListParagraph"/>
        <w:numPr>
          <w:ilvl w:val="0"/>
          <w:numId w:val="2"/>
        </w:numPr>
        <w:spacing w:after="60" w:line="276"/>
      </w:pPr>
      <w:r>
        <w:rPr>
          <w:rFonts w:ascii="Times New Roman" w:cs="Times New Roman" w:eastAsia="Times New Roman" w:hAnsi="Times New Roman"/>
          <w:sz w:val="22"/>
          <w:szCs w:val="22"/>
        </w:rPr>
        <w:t xml:space="preserve">Ajuste contextual del portafolio mediante reglas ambientales (panorama político, estabilidad macroeconómica, tendencia y precedente de cada categoría), configurables desde un panel y neutrales por defecto (ver sección 4.6).</w:t>
      </w:r>
    </w:p>
    <w:p>
      <w:pPr>
        <w:pStyle w:val="ListParagraph"/>
        <w:numPr>
          <w:ilvl w:val="0"/>
          <w:numId w:val="2"/>
        </w:numPr>
        <w:spacing w:after="60" w:line="276"/>
      </w:pPr>
      <w:r>
        <w:rPr>
          <w:rFonts w:ascii="Times New Roman" w:cs="Times New Roman" w:eastAsia="Times New Roman" w:hAnsi="Times New Roman"/>
          <w:sz w:val="22"/>
          <w:szCs w:val="22"/>
        </w:rPr>
        <w:t xml:space="preserve">Explicación del resultado en lenguaje simple, sin jerga financiera sin traducir, con ejemplos numéricos concretos en soles, escenarios de riesgo y una mención de cómo influyeron el horizonte, la capacidad de absorción y el contexto (ver sección 6).</w:t>
      </w:r>
    </w:p>
    <w:p>
      <w:pPr>
        <w:pStyle w:val="ListParagraph"/>
        <w:numPr>
          <w:ilvl w:val="0"/>
          <w:numId w:val="2"/>
        </w:numPr>
        <w:spacing w:after="60" w:line="276"/>
      </w:pPr>
      <w:r>
        <w:rPr>
          <w:rFonts w:ascii="Times New Roman" w:cs="Times New Roman" w:eastAsia="Times New Roman" w:hAnsi="Times New Roman"/>
          <w:sz w:val="22"/>
          <w:szCs w:val="22"/>
        </w:rPr>
        <w:t xml:space="preserve">Visualización gráfica del portafolio recomendado y de la evolución del algoritmo genético (convergencia por generación).</w:t>
      </w:r>
    </w:p>
    <w:p>
      <w:pPr>
        <w:pStyle w:val="ListParagraph"/>
        <w:numPr>
          <w:ilvl w:val="0"/>
          <w:numId w:val="2"/>
        </w:numPr>
        <w:spacing w:after="60" w:line="276"/>
      </w:pPr>
      <w:r>
        <w:rPr>
          <w:rFonts w:ascii="Times New Roman" w:cs="Times New Roman" w:eastAsia="Times New Roman" w:hAnsi="Times New Roman"/>
          <w:sz w:val="22"/>
          <w:szCs w:val="22"/>
        </w:rPr>
        <w:t xml:space="preserve">Aviso permanente y visible de que se trata de una herramienta educativa/académica, no de asesoría financiera real.</w:t>
      </w:r>
    </w:p>
    <w:p>
      <w:pPr>
        <w:pStyle w:val="Heading1"/>
        <w:keepNext/>
      </w:pPr>
      <w:r>
        <w:rPr>
          <w:rFonts w:ascii="Times New Roman" w:cs="Times New Roman" w:eastAsia="Times New Roman" w:hAnsi="Times New Roman"/>
        </w:rPr>
        <w:t xml:space="preserve">4. Arquitectura de Software Inteligente</w:t>
      </w:r>
    </w:p>
    <w:p>
      <w:pPr>
        <w:pStyle w:val="Heading2"/>
        <w:keepNext/>
      </w:pPr>
      <w:r>
        <w:rPr>
          <w:rFonts w:ascii="Times New Roman" w:cs="Times New Roman" w:eastAsia="Times New Roman" w:hAnsi="Times New Roman"/>
        </w:rPr>
        <w:t xml:space="preserve">4.1. Visión general y flujo de datos</w:t>
      </w:r>
    </w:p>
    <w:p>
      <w:pPr>
        <w:spacing w:after="120" w:line="276"/>
        <w:jc w:val="both"/>
      </w:pPr>
      <w:r>
        <w:rPr>
          <w:rFonts w:ascii="Times New Roman" w:cs="Times New Roman" w:eastAsia="Times New Roman" w:hAnsi="Times New Roman"/>
          <w:sz w:val="22"/>
          <w:szCs w:val="22"/>
        </w:rPr>
        <w:t xml:space="preserve">La arquitectura conecta los módulos mediante un flujo de datos coordinado. El módulo bayesiano es independiente del usuario (puede ejecutarse antes, después o en paralelo a la interacción, porque solo usa datos de mercado). El módulo difuso depende únicamente del perfil del usuario. El módulo de reglas de contexto depende de las estimaciones bayesianas y de los factores configurados. El algoritmo genético, en cambio, requiere que todos los anteriores estén disponibles antes de ejecutarse, porque combina sus salidas en la función de aptitud. La IA generativa participa dos veces: al inicio, para interpretar al usuario, y al final, para explicar el resultado; en el tramo intermedio no interviene.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Etapa</w:t>
            </w:r>
          </w:p>
        </w:tc>
        <w:tc>
          <w:tcPr>
            <w:tcW w:type="dxa" w:w="87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Descripción</w:t>
            </w:r>
          </w:p>
        </w:tc>
      </w:tr>
      <w:tr>
        <w:trPr>
          <w:cantSplit/>
        </w:trPr>
        <w:tc>
          <w:tcPr>
            <w:tcW w:type="dxa" w:w="9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w:t>
            </w:r>
          </w:p>
        </w:tc>
        <w:tc>
          <w:tcPr>
            <w:tcW w:type="dxa" w:w="8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El usuario describe su situación en texto libre (ej. “Tengo 30 años, quiero invertir S/ 5000 de mis S/ 20000 de ahorro, no me gusta arriesgar mucho y no los necesitaré por unos 3 años”).</w:t>
            </w:r>
          </w:p>
        </w:tc>
      </w:tr>
      <w:tr>
        <w:trPr>
          <w:cantSplit/>
        </w:trPr>
        <w:tc>
          <w:tcPr>
            <w:tcW w:type="dxa" w:w="9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2</w:t>
            </w:r>
          </w:p>
        </w:tc>
        <w:tc>
          <w:tcPr>
            <w:tcW w:type="dxa" w:w="8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La IA generativa interpreta el texto y extrae datos estructurados. Si falta información crítica o es ambigua, el sistema pregunta de vuelta al usuario antes de continuar (loop de clarificación, ver 4.2).</w:t>
            </w:r>
          </w:p>
        </w:tc>
      </w:tr>
      <w:tr>
        <w:trPr>
          <w:cantSplit/>
        </w:trPr>
        <w:tc>
          <w:tcPr>
            <w:tcW w:type="dxa" w:w="9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3</w:t>
            </w:r>
          </w:p>
        </w:tc>
        <w:tc>
          <w:tcPr>
            <w:tcW w:type="dxa" w:w="8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En paralelo, el módulo bayesiano calcula (o recupera, si ya fue calculado) el retorno esperado (μ) y riesgo (σ) de cada una de las 5 categorías, junto con la covarianza entre ellas y un indicador de tendencia reciente.</w:t>
            </w:r>
          </w:p>
        </w:tc>
      </w:tr>
      <w:tr>
        <w:trPr>
          <w:cantSplit/>
        </w:trPr>
        <w:tc>
          <w:tcPr>
            <w:tcW w:type="dxa" w:w="9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4</w:t>
            </w:r>
          </w:p>
        </w:tc>
        <w:tc>
          <w:tcPr>
            <w:tcW w:type="dxa" w:w="8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El módulo difuso convierte el horizonte temporal y la capacidad de absorción del usuario en dos parámetros: la aversión al riesgo efectiva (λ</w:t>
            </w:r>
            <w:r>
              <w:rPr>
                <w:rFonts w:ascii="Times New Roman" w:cs="Times New Roman" w:eastAsia="Times New Roman" w:hAnsi="Times New Roman"/>
                <w:b w:val="false"/>
                <w:bCs w:val="false"/>
                <w:sz w:val="19"/>
                <w:szCs w:val="19"/>
                <w:vertAlign w:val="subscript"/>
              </w:rPr>
              <w:t xml:space="preserve">ef</w:t>
            </w:r>
            <w:r>
              <w:rPr>
                <w:rFonts w:ascii="Times New Roman" w:cs="Times New Roman" w:eastAsia="Times New Roman" w:hAnsi="Times New Roman"/>
                <w:b w:val="false"/>
                <w:bCs w:val="false"/>
                <w:sz w:val="19"/>
                <w:szCs w:val="19"/>
              </w:rPr>
              <w:t xml:space="preserve">) y la volatilidad máxima tolerable (σ</w:t>
            </w:r>
            <w:r>
              <w:rPr>
                <w:rFonts w:ascii="Times New Roman" w:cs="Times New Roman" w:eastAsia="Times New Roman" w:hAnsi="Times New Roman"/>
                <w:b w:val="false"/>
                <w:bCs w:val="false"/>
                <w:sz w:val="19"/>
                <w:szCs w:val="19"/>
                <w:vertAlign w:val="subscript"/>
              </w:rPr>
              <w:t xml:space="preserve">max</w:t>
            </w:r>
            <w:r>
              <w:rPr>
                <w:rFonts w:ascii="Times New Roman" w:cs="Times New Roman" w:eastAsia="Times New Roman" w:hAnsi="Times New Roman"/>
                <w:b w:val="false"/>
                <w:bCs w:val="false"/>
                <w:sz w:val="19"/>
                <w:szCs w:val="19"/>
              </w:rPr>
              <w:t xml:space="preserve">).</w:t>
            </w:r>
          </w:p>
        </w:tc>
      </w:tr>
      <w:tr>
        <w:trPr>
          <w:cantSplit/>
        </w:trPr>
        <w:tc>
          <w:tcPr>
            <w:tcW w:type="dxa" w:w="9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5</w:t>
            </w:r>
          </w:p>
        </w:tc>
        <w:tc>
          <w:tcPr>
            <w:tcW w:type="dxa" w:w="8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El módulo de reglas de contexto combina los factores ambientales (político, macroeconómico, tendencia) con los valores por defecto de cada categoría y produce μ′, σ′ y covarianzas ajustados.</w:t>
            </w:r>
          </w:p>
        </w:tc>
      </w:tr>
      <w:tr>
        <w:trPr>
          <w:cantSplit/>
        </w:trPr>
        <w:tc>
          <w:tcPr>
            <w:tcW w:type="dxa" w:w="9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6</w:t>
            </w:r>
          </w:p>
        </w:tc>
        <w:tc>
          <w:tcPr>
            <w:tcW w:type="dxa" w:w="8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Con λ</w:t>
            </w:r>
            <w:r>
              <w:rPr>
                <w:rFonts w:ascii="Times New Roman" w:cs="Times New Roman" w:eastAsia="Times New Roman" w:hAnsi="Times New Roman"/>
                <w:b w:val="false"/>
                <w:bCs w:val="false"/>
                <w:sz w:val="19"/>
                <w:szCs w:val="19"/>
                <w:vertAlign w:val="subscript"/>
              </w:rPr>
              <w:t xml:space="preserve">ef</w:t>
            </w:r>
            <w:r>
              <w:rPr>
                <w:rFonts w:ascii="Times New Roman" w:cs="Times New Roman" w:eastAsia="Times New Roman" w:hAnsi="Times New Roman"/>
                <w:b w:val="false"/>
                <w:bCs w:val="false"/>
                <w:sz w:val="19"/>
                <w:szCs w:val="19"/>
              </w:rPr>
              <w:t xml:space="preserve">, σ</w:t>
            </w:r>
            <w:r>
              <w:rPr>
                <w:rFonts w:ascii="Times New Roman" w:cs="Times New Roman" w:eastAsia="Times New Roman" w:hAnsi="Times New Roman"/>
                <w:b w:val="false"/>
                <w:bCs w:val="false"/>
                <w:sz w:val="19"/>
                <w:szCs w:val="19"/>
                <w:vertAlign w:val="subscript"/>
              </w:rPr>
              <w:t xml:space="preserve">max</w:t>
            </w:r>
            <w:r>
              <w:rPr>
                <w:rFonts w:ascii="Times New Roman" w:cs="Times New Roman" w:eastAsia="Times New Roman" w:hAnsi="Times New Roman"/>
                <w:b w:val="false"/>
                <w:bCs w:val="false"/>
                <w:sz w:val="19"/>
                <w:szCs w:val="19"/>
              </w:rPr>
              <w:t xml:space="preserve"> y las estimaciones ajustadas, el algoritmo genético evoluciona una población de portafolios candidatos hasta converger en el mejor portafolio para ese usuario en ese contexto.</w:t>
            </w:r>
          </w:p>
        </w:tc>
      </w:tr>
      <w:tr>
        <w:trPr>
          <w:cantSplit/>
        </w:trPr>
        <w:tc>
          <w:tcPr>
            <w:tcW w:type="dxa" w:w="9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7</w:t>
            </w:r>
          </w:p>
        </w:tc>
        <w:tc>
          <w:tcPr>
            <w:tcW w:type="dxa" w:w="8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La IA generativa recibe el portafolio final y redacta una explicación en lenguaje simple, con ejemplos numéricos, escenarios de riesgo y los supuestos de contexto aplicados, dirigida a un usuario sin conocimientos financieros.</w:t>
            </w:r>
          </w:p>
        </w:tc>
      </w:tr>
      <w:tr>
        <w:trPr>
          <w:cantSplit/>
        </w:trPr>
        <w:tc>
          <w:tcPr>
            <w:tcW w:type="dxa" w:w="9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8</w:t>
            </w:r>
          </w:p>
        </w:tc>
        <w:tc>
          <w:tcPr>
            <w:tcW w:type="dxa" w:w="8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La interfaz gráfica muestra el portafolio (tabla y gráfico), la explicación en lenguaje simple, el panel de factores de contexto y el detalle técnico disponible bajo un panel opcional “ver detalle técnico”.</w:t>
            </w:r>
          </w:p>
        </w:tc>
      </w:tr>
    </w:tbl>
    <w:p>
      <w:pPr>
        <w:spacing w:after="100"/>
      </w:pPr>
    </w:p>
    <w:p>
      <w:pPr>
        <w:pStyle w:val="Heading3"/>
        <w:keepNext/>
      </w:pPr>
      <w:r>
        <w:rPr>
          <w:rFonts w:ascii="Times New Roman" w:cs="Times New Roman" w:eastAsia="Times New Roman" w:hAnsi="Times New Roman"/>
        </w:rPr>
        <w:t xml:space="preserve">Diagrama de flujo</w:t>
      </w:r>
    </w:p>
    <w:p>
      <w:pPr>
        <w:spacing w:after="80" w:before="80"/>
        <w:jc w:val="center"/>
      </w:pPr>
      <w:r>
        <w:drawing>
          <wp:inline distT="0" distB="0" distL="0" distR="0">
            <wp:extent cx="5143500" cy="3676650"/>
            <wp:effectExtent t="0" r="0" b="0" l="0"/>
            <wp:docPr id="1" name="fig_flujo.png" descr="fig_flujo.png" title="fig_fluj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67665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19"/>
          <w:szCs w:val="19"/>
        </w:rPr>
        <w:t xml:space="preserve">Figura 1. Flujo de datos del sistema (versión 1.1). En naranja, los componentes incorporados en esta versión.</w:t>
      </w:r>
    </w:p>
    <w:p>
      <w:pPr>
        <w:pStyle w:val="Heading2"/>
        <w:keepNext/>
      </w:pPr>
      <w:r>
        <w:rPr>
          <w:rFonts w:ascii="Times New Roman" w:cs="Times New Roman" w:eastAsia="Times New Roman" w:hAnsi="Times New Roman"/>
        </w:rPr>
        <w:t xml:space="preserve">4.2. Módulo 1 — IA Generativa</w:t>
      </w:r>
    </w:p>
    <w:p>
      <w:pPr>
        <w:spacing w:after="120" w:line="276"/>
        <w:jc w:val="both"/>
      </w:pPr>
      <w:r>
        <w:rPr>
          <w:rFonts w:ascii="Times New Roman" w:cs="Times New Roman" w:eastAsia="Times New Roman" w:hAnsi="Times New Roman"/>
          <w:b/>
          <w:bCs/>
          <w:sz w:val="22"/>
          <w:szCs w:val="22"/>
        </w:rPr>
        <w:t xml:space="preserve">Responsabilidad:</w:t>
      </w:r>
      <w:r>
        <w:rPr>
          <w:rFonts w:ascii="Times New Roman" w:cs="Times New Roman" w:eastAsia="Times New Roman" w:hAnsi="Times New Roman"/>
          <w:sz w:val="22"/>
          <w:szCs w:val="22"/>
        </w:rPr>
        <w:t xml:space="preserve"> puente en lenguaje natural entre el usuario y los módulos técnicos, en ambos sentidos (entrada y salida).</w:t>
      </w:r>
    </w:p>
    <w:p>
      <w:pPr>
        <w:pStyle w:val="Heading3"/>
        <w:keepNext/>
      </w:pPr>
      <w:r>
        <w:rPr>
          <w:rFonts w:ascii="Times New Roman" w:cs="Times New Roman" w:eastAsia="Times New Roman" w:hAnsi="Times New Roman"/>
        </w:rPr>
        <w:t xml:space="preserve">Entrada (interpretación)</w:t>
      </w:r>
    </w:p>
    <w:p>
      <w:pPr>
        <w:spacing w:after="120" w:line="276"/>
        <w:jc w:val="both"/>
      </w:pPr>
      <w:r>
        <w:rPr>
          <w:rFonts w:ascii="Times New Roman" w:cs="Times New Roman" w:eastAsia="Times New Roman" w:hAnsi="Times New Roman"/>
          <w:sz w:val="22"/>
          <w:szCs w:val="22"/>
        </w:rPr>
        <w:t xml:space="preserve">Recibe el texto libre del usuario y debe devolver datos estructurados (formato JSON) con, como mínimo:</w:t>
      </w:r>
    </w:p>
    <w:p>
      <w:pPr>
        <w:pStyle w:val="ListParagraph"/>
        <w:numPr>
          <w:ilvl w:val="0"/>
          <w:numId w:val="2"/>
        </w:numPr>
        <w:spacing w:after="60" w:line="276"/>
      </w:pPr>
      <w:r>
        <w:rPr>
          <w:rFonts w:ascii="Times New Roman" w:cs="Times New Roman" w:eastAsia="Times New Roman" w:hAnsi="Times New Roman"/>
          <w:sz w:val="22"/>
          <w:szCs w:val="22"/>
        </w:rPr>
        <w:t xml:space="preserve">monto_invertir (numérico, en soles)</w:t>
      </w:r>
    </w:p>
    <w:p>
      <w:pPr>
        <w:pStyle w:val="ListParagraph"/>
        <w:numPr>
          <w:ilvl w:val="0"/>
          <w:numId w:val="2"/>
        </w:numPr>
        <w:spacing w:after="60" w:line="276"/>
      </w:pPr>
      <w:r>
        <w:rPr>
          <w:rFonts w:ascii="Times New Roman" w:cs="Times New Roman" w:eastAsia="Times New Roman" w:hAnsi="Times New Roman"/>
          <w:sz w:val="22"/>
          <w:szCs w:val="22"/>
        </w:rPr>
        <w:t xml:space="preserve">horizonte_anios (numérico, en años) u horizonte_etiqueta (corto / mediano / largo plazo) si el usuario solo dio una expresión cualitativa; el módulo difuso acepta ambos (ver 4.5.1)</w:t>
      </w:r>
    </w:p>
    <w:p>
      <w:pPr>
        <w:pStyle w:val="ListParagraph"/>
        <w:numPr>
          <w:ilvl w:val="0"/>
          <w:numId w:val="2"/>
        </w:numPr>
        <w:spacing w:after="60" w:line="276"/>
      </w:pPr>
      <w:r>
        <w:rPr>
          <w:rFonts w:ascii="Times New Roman" w:cs="Times New Roman" w:eastAsia="Times New Roman" w:hAnsi="Times New Roman"/>
          <w:sz w:val="22"/>
          <w:szCs w:val="22"/>
        </w:rPr>
        <w:t xml:space="preserve">tolerancia_riesgo (extraída del lenguaje del usuario, traducida al parámetro numérico λ</w:t>
      </w:r>
      <w:r>
        <w:rPr>
          <w:rFonts w:ascii="Times New Roman" w:cs="Times New Roman" w:eastAsia="Times New Roman" w:hAnsi="Times New Roman"/>
          <w:sz w:val="22"/>
          <w:szCs w:val="22"/>
          <w:vertAlign w:val="subscript"/>
        </w:rPr>
        <w:t xml:space="preserve">base</w:t>
      </w:r>
      <w:r>
        <w:rPr>
          <w:rFonts w:ascii="Times New Roman" w:cs="Times New Roman" w:eastAsia="Times New Roman" w:hAnsi="Times New Roman"/>
          <w:sz w:val="22"/>
          <w:szCs w:val="22"/>
        </w:rPr>
        <w:t xml:space="preserve"> que usa el algoritmo genético antes de la modulación difusa)</w:t>
      </w:r>
    </w:p>
    <w:p>
      <w:pPr>
        <w:pStyle w:val="ListParagraph"/>
        <w:numPr>
          <w:ilvl w:val="0"/>
          <w:numId w:val="2"/>
        </w:numPr>
        <w:spacing w:after="60" w:line="276"/>
      </w:pPr>
      <w:r>
        <w:rPr>
          <w:rFonts w:ascii="Times New Roman" w:cs="Times New Roman" w:eastAsia="Times New Roman" w:hAnsi="Times New Roman"/>
          <w:sz w:val="22"/>
          <w:szCs w:val="22"/>
        </w:rPr>
        <w:t xml:space="preserve">ahorro_total (numérico, en soles): ahorros totales del usuario, necesarios para calcular qué proporción compromete</w:t>
      </w:r>
    </w:p>
    <w:p>
      <w:pPr>
        <w:pStyle w:val="ListParagraph"/>
        <w:numPr>
          <w:ilvl w:val="0"/>
          <w:numId w:val="2"/>
        </w:numPr>
        <w:spacing w:after="60" w:line="276"/>
      </w:pPr>
      <w:r>
        <w:rPr>
          <w:rFonts w:ascii="Times New Roman" w:cs="Times New Roman" w:eastAsia="Times New Roman" w:hAnsi="Times New Roman"/>
          <w:sz w:val="22"/>
          <w:szCs w:val="22"/>
        </w:rPr>
        <w:t xml:space="preserve">cobertura_emergencia_meses (numérico): cuántos meses de gastos puede cubrir con un fondo aparte de lo que va a invertir</w:t>
      </w:r>
    </w:p>
    <w:p>
      <w:pPr>
        <w:spacing w:after="120" w:line="276"/>
        <w:jc w:val="both"/>
      </w:pPr>
      <w:r>
        <w:rPr>
          <w:rFonts w:ascii="Times New Roman" w:cs="Times New Roman" w:eastAsia="Times New Roman" w:hAnsi="Times New Roman"/>
          <w:b/>
          <w:bCs/>
          <w:sz w:val="22"/>
          <w:szCs w:val="22"/>
        </w:rPr>
        <w:t xml:space="preserve">Requisito formal — loop de clarificación:</w:t>
      </w:r>
      <w:r>
        <w:rPr>
          <w:rFonts w:ascii="Times New Roman" w:cs="Times New Roman" w:eastAsia="Times New Roman" w:hAnsi="Times New Roman"/>
          <w:sz w:val="22"/>
          <w:szCs w:val="22"/>
        </w:rPr>
        <w:t xml:space="preserve"> si el texto del usuario no permite completar alguno de estos campos con confianza razonable, el sistema NO debe asumir valores por defecto en silencio. En su lugar, debe generar una pregunta de aclaración específica (por ejemplo: “¿Por cuánto tiempo aproximadamente no necesitarías este dinero?” o “Aparte de este dinero, ¿tienes ahorros para cubrir varios meses de tus gastos?”) y esperar la respuesta del usuario antes de continuar. Este comportamiento se formaliza como requisito del módulo, no como mejora opcional, porque es la principal defensa del sistema contra recomendaciones basadas en suposiciones incorrectas.</w:t>
      </w:r>
    </w:p>
    <w:p>
      <w:pPr>
        <w:spacing w:after="120" w:line="276"/>
        <w:jc w:val="both"/>
      </w:pPr>
      <w:r>
        <w:rPr>
          <w:rFonts w:ascii="Times New Roman" w:cs="Times New Roman" w:eastAsia="Times New Roman" w:hAnsi="Times New Roman"/>
          <w:sz w:val="22"/>
          <w:szCs w:val="22"/>
        </w:rPr>
        <w:t xml:space="preserve">Si el usuario declina explícitamente responder por los campos de capacidad de absorción, el sistema puede continuar con la categoría difusa “Media” para esa variable, pero debe declararlo de forma visible en la explicación final (“como no indicaste tus ahorros totales, asumimos una capacidad media para asumir pérdidas”). Así se preserva el principio de no asumir en silencio.</w:t>
      </w:r>
    </w:p>
    <w:p>
      <w:pPr>
        <w:pStyle w:val="Heading3"/>
        <w:keepNext/>
      </w:pPr>
      <w:r>
        <w:rPr>
          <w:rFonts w:ascii="Times New Roman" w:cs="Times New Roman" w:eastAsia="Times New Roman" w:hAnsi="Times New Roman"/>
        </w:rPr>
        <w:t xml:space="preserve">Salida (explicación)</w:t>
      </w:r>
    </w:p>
    <w:p>
      <w:pPr>
        <w:spacing w:after="120" w:line="276"/>
        <w:jc w:val="both"/>
      </w:pPr>
      <w:r>
        <w:rPr>
          <w:rFonts w:ascii="Times New Roman" w:cs="Times New Roman" w:eastAsia="Times New Roman" w:hAnsi="Times New Roman"/>
          <w:sz w:val="22"/>
          <w:szCs w:val="22"/>
        </w:rPr>
        <w:t xml:space="preserve">Recibe el portafolio final calculado (los 5 pesos) junto con μ, σ del portafolio, el perfil del usuario, las pertenencias difusas calculadas y los factores de contexto activos, y redacta una explicación siguiendo las reglas de la sección 6 (capa de lenguaje simple). Esta es la segunda y última intervención de la IA generativa en el flujo.</w:t>
      </w:r>
    </w:p>
    <w:p>
      <w:pPr>
        <w:pStyle w:val="Heading2"/>
        <w:keepNext/>
      </w:pPr>
      <w:r>
        <w:rPr>
          <w:rFonts w:ascii="Times New Roman" w:cs="Times New Roman" w:eastAsia="Times New Roman" w:hAnsi="Times New Roman"/>
        </w:rPr>
        <w:t xml:space="preserve">4.3. Módulo 2 — Razonamiento bajo Incertidumbre (Bayesiano)</w:t>
      </w:r>
    </w:p>
    <w:p>
      <w:pPr>
        <w:spacing w:after="120" w:line="276"/>
        <w:jc w:val="both"/>
      </w:pPr>
      <w:r>
        <w:rPr>
          <w:rFonts w:ascii="Times New Roman" w:cs="Times New Roman" w:eastAsia="Times New Roman" w:hAnsi="Times New Roman"/>
          <w:b/>
          <w:bCs/>
          <w:sz w:val="22"/>
          <w:szCs w:val="22"/>
        </w:rPr>
        <w:t xml:space="preserve">Responsabilidad:</w:t>
      </w:r>
      <w:r>
        <w:rPr>
          <w:rFonts w:ascii="Times New Roman" w:cs="Times New Roman" w:eastAsia="Times New Roman" w:hAnsi="Times New Roman"/>
          <w:sz w:val="22"/>
          <w:szCs w:val="22"/>
        </w:rPr>
        <w:t xml:space="preserve"> estimar, para cada una de las 5 categorías de inversión, el retorno esperado (μ) y el riesgo (σ), junto con la covarianza entre categorías, a partir de datos históricos del mercado peruano. Este cálculo no depende del usuario ni del portafolio que arme el algoritmo genético después; se realiza una vez por categoría y se reutiliza.</w:t>
      </w:r>
    </w:p>
    <w:p>
      <w:pPr>
        <w:spacing w:after="120" w:line="276"/>
        <w:jc w:val="both"/>
      </w:pPr>
      <w:r>
        <w:rPr>
          <w:rFonts w:ascii="Times New Roman" w:cs="Times New Roman" w:eastAsia="Times New Roman" w:hAnsi="Times New Roman"/>
          <w:sz w:val="22"/>
          <w:szCs w:val="22"/>
        </w:rPr>
        <w:t xml:space="preserve">El componente “bayesiano” del módulo consiste en permitir que estas estimaciones se actualicen cuando llega información nueva, combinando la estimación previa con el dato nuevo (en vez de mantener valores fijos indefinidamente). Para esta entrega, se implementa una actualización bayesiana simple sobre una distribución normal (media y varianza conocidas, actualizadas de forma conjugada), suficiente para demostrar el concepto sin requerir un modelo más sofisticado.</w:t>
      </w:r>
    </w:p>
    <w:p>
      <w:pPr>
        <w:spacing w:after="120" w:line="276"/>
        <w:jc w:val="both"/>
      </w:pPr>
      <w:r>
        <w:rPr>
          <w:rFonts w:ascii="Times New Roman" w:cs="Times New Roman" w:eastAsia="Times New Roman" w:hAnsi="Times New Roman"/>
          <w:b/>
          <w:bCs/>
          <w:sz w:val="22"/>
          <w:szCs w:val="22"/>
        </w:rPr>
        <w:t xml:space="preserve">Indicador de tendencia (nuevo en v1.1).</w:t>
      </w:r>
      <w:r>
        <w:rPr>
          <w:rFonts w:ascii="Times New Roman" w:cs="Times New Roman" w:eastAsia="Times New Roman" w:hAnsi="Times New Roman"/>
          <w:sz w:val="22"/>
          <w:szCs w:val="22"/>
        </w:rPr>
        <w:t xml:space="preserve"> Para alimentar las reglas de contexto (sección 4.6), el módulo entrega también, para cada categoría i, un indicador de tendencia reciente s</w:t>
      </w:r>
      <w:r>
        <w:rPr>
          <w:rFonts w:ascii="Times New Roman" w:cs="Times New Roman" w:eastAsia="Times New Roman" w:hAnsi="Times New Roman"/>
          <w:sz w:val="22"/>
          <w:szCs w:val="22"/>
          <w:vertAlign w:val="subscript"/>
        </w:rPr>
        <w:t xml:space="preserve">tend,i</w:t>
      </w:r>
      <w:r>
        <w:rPr>
          <w:rFonts w:ascii="Times New Roman" w:cs="Times New Roman" w:eastAsia="Times New Roman" w:hAnsi="Times New Roman"/>
          <w:sz w:val="22"/>
          <w:szCs w:val="22"/>
        </w:rPr>
        <w:t xml:space="preserve"> ∈ [−1, +1], que compara el retorno de los últimos 12 meses con el promedio histórico de la categoría:</w:t>
      </w:r>
    </w:p>
    <w:p>
      <w:pPr>
        <w:pBdr>
          <w:top w:val="single" w:color="C9DDE0" w:sz="4" w:space="4"/>
          <w:bottom w:val="single" w:color="C9DDE0" w:sz="4" w:space="4"/>
        </w:pBdr>
        <w:shd w:fill="EEF5F6" w:color="auto" w:val="clear"/>
        <w:spacing w:after="120" w:before="60"/>
        <w:jc w:val="center"/>
      </w:pP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vertAlign w:val="subscript"/>
        </w:rPr>
        <w:t xml:space="preserve">tend,i</w:t>
      </w:r>
      <w:r>
        <w:rPr>
          <w:rFonts w:ascii="Times New Roman" w:cs="Times New Roman" w:eastAsia="Times New Roman" w:hAnsi="Times New Roman"/>
          <w:sz w:val="22"/>
          <w:szCs w:val="22"/>
        </w:rPr>
        <w:t xml:space="preserve"> = clip( (r</w:t>
      </w:r>
      <w:r>
        <w:rPr>
          <w:rFonts w:ascii="Times New Roman" w:cs="Times New Roman" w:eastAsia="Times New Roman" w:hAnsi="Times New Roman"/>
          <w:sz w:val="22"/>
          <w:szCs w:val="22"/>
          <w:vertAlign w:val="subscript"/>
        </w:rPr>
        <w:t xml:space="preserve">12m,i</w:t>
      </w:r>
      <w:r>
        <w:rPr>
          <w:rFonts w:ascii="Times New Roman" w:cs="Times New Roman" w:eastAsia="Times New Roman" w:hAnsi="Times New Roman"/>
          <w:sz w:val="22"/>
          <w:szCs w:val="22"/>
        </w:rPr>
        <w:t xml:space="preserve"> − μ</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−1 , +1 )</w:t>
      </w:r>
    </w:p>
    <w:p>
      <w:pPr>
        <w:spacing w:after="120" w:line="276"/>
        <w:jc w:val="both"/>
      </w:pPr>
      <w:r>
        <w:rPr>
          <w:rFonts w:ascii="Times New Roman" w:cs="Times New Roman" w:eastAsia="Times New Roman" w:hAnsi="Times New Roman"/>
          <w:sz w:val="22"/>
          <w:szCs w:val="22"/>
        </w:rPr>
        <w:t xml:space="preserve">Un valor positivo indica que la categoría viene rindiendo por encima de su promedio; uno negativo, por debajo; cero, en línea con su historia. Si no hay datos suficientes, s</w:t>
      </w:r>
      <w:r>
        <w:rPr>
          <w:rFonts w:ascii="Times New Roman" w:cs="Times New Roman" w:eastAsia="Times New Roman" w:hAnsi="Times New Roman"/>
          <w:sz w:val="22"/>
          <w:szCs w:val="22"/>
          <w:vertAlign w:val="subscript"/>
        </w:rPr>
        <w:t xml:space="preserve">tend,i</w:t>
      </w:r>
      <w:r>
        <w:rPr>
          <w:rFonts w:ascii="Times New Roman" w:cs="Times New Roman" w:eastAsia="Times New Roman" w:hAnsi="Times New Roman"/>
          <w:sz w:val="22"/>
          <w:szCs w:val="22"/>
        </w:rPr>
        <w:t xml:space="preserve"> = 0 (neutral).</w:t>
      </w:r>
    </w:p>
    <w:p>
      <w:pPr>
        <w:pStyle w:val="Heading2"/>
        <w:keepNext/>
      </w:pPr>
      <w:r>
        <w:rPr>
          <w:rFonts w:ascii="Times New Roman" w:cs="Times New Roman" w:eastAsia="Times New Roman" w:hAnsi="Times New Roman"/>
        </w:rPr>
        <w:t xml:space="preserve">4.4. Módulo 3 — Algoritmo Heurístico (Genético)</w:t>
      </w:r>
    </w:p>
    <w:p>
      <w:pPr>
        <w:spacing w:after="120" w:line="276"/>
        <w:jc w:val="both"/>
      </w:pPr>
      <w:r>
        <w:rPr>
          <w:rFonts w:ascii="Times New Roman" w:cs="Times New Roman" w:eastAsia="Times New Roman" w:hAnsi="Times New Roman"/>
          <w:b/>
          <w:bCs/>
          <w:sz w:val="22"/>
          <w:szCs w:val="22"/>
        </w:rPr>
        <w:t xml:space="preserve">Responsabilidad:</w:t>
      </w:r>
      <w:r>
        <w:rPr>
          <w:rFonts w:ascii="Times New Roman" w:cs="Times New Roman" w:eastAsia="Times New Roman" w:hAnsi="Times New Roman"/>
          <w:sz w:val="22"/>
          <w:szCs w:val="22"/>
        </w:rPr>
        <w:t xml:space="preserve"> resolver el problema de optimización combinatoria de encontrar los pesos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…w</w:t>
      </w:r>
      <w:r>
        <w:rPr>
          <w:rFonts w:ascii="Times New Roman" w:cs="Times New Roman" w:eastAsia="Times New Roman" w:hAnsi="Times New Roman"/>
          <w:sz w:val="22"/>
          <w:szCs w:val="22"/>
          <w:vertAlign w:val="subscript"/>
        </w:rPr>
        <w:t xml:space="preserve">5</w:t>
      </w:r>
      <w:r>
        <w:rPr>
          <w:rFonts w:ascii="Times New Roman" w:cs="Times New Roman" w:eastAsia="Times New Roman" w:hAnsi="Times New Roman"/>
          <w:sz w:val="22"/>
          <w:szCs w:val="22"/>
        </w:rPr>
        <w:t xml:space="preserve"> que maximizan la función de aptitud (fitness) definida en la sección 5, sujeta a que los pesos sumen 1 y sean no negativos. En la versión 1.1 la estructura del algoritmo no cambia: los nuevos aportes (lógica difusa y reglas de contexto) modifican únicamente los parámetros y los términos de la función de aptitud que el algoritmo evalúa.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Concepto</w:t>
            </w:r>
          </w:p>
        </w:tc>
        <w:tc>
          <w:tcPr>
            <w:tcW w:type="dxa" w:w="74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Definición en este proyecto</w:t>
            </w:r>
          </w:p>
        </w:tc>
      </w:tr>
      <w:tr>
        <w:trPr>
          <w:cantSplit/>
        </w:trPr>
        <w:tc>
          <w:tcPr>
            <w:tcW w:type="dxa" w:w="2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Gen</w:t>
            </w:r>
          </w:p>
        </w:tc>
        <w:tc>
          <w:tcPr>
            <w:tcW w:type="dxa" w:w="74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Un número: el peso (%) asignado a una categoría de inversión.</w:t>
            </w:r>
          </w:p>
        </w:tc>
      </w:tr>
      <w:tr>
        <w:trPr>
          <w:cantSplit/>
        </w:trPr>
        <w:tc>
          <w:tcPr>
            <w:tcW w:type="dxa" w:w="22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Cromosoma</w:t>
            </w:r>
          </w:p>
        </w:tc>
        <w:tc>
          <w:tcPr>
            <w:tcW w:type="dxa" w:w="74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Un portafolio completo: los 5 genes juntos, sumando 100%.</w:t>
            </w:r>
          </w:p>
        </w:tc>
      </w:tr>
      <w:tr>
        <w:trPr>
          <w:cantSplit/>
        </w:trPr>
        <w:tc>
          <w:tcPr>
            <w:tcW w:type="dxa" w:w="2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Población</w:t>
            </w:r>
          </w:p>
        </w:tc>
        <w:tc>
          <w:tcPr>
            <w:tcW w:type="dxa" w:w="74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Conjunto de 50 a 100 portafolios distintos generados aleatoriamente, que compiten entre sí.</w:t>
            </w:r>
          </w:p>
        </w:tc>
      </w:tr>
      <w:tr>
        <w:trPr>
          <w:cantSplit/>
        </w:trPr>
        <w:tc>
          <w:tcPr>
            <w:tcW w:type="dxa" w:w="22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Generación</w:t>
            </w:r>
          </w:p>
        </w:tc>
        <w:tc>
          <w:tcPr>
            <w:tcW w:type="dxa" w:w="74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Una vuelta completa del ciclo evaluar → seleccionar → cruzar → mutar. Se repite un número fijo de veces (100 por defecto).</w:t>
            </w:r>
          </w:p>
        </w:tc>
      </w:tr>
      <w:tr>
        <w:trPr>
          <w:cantSplit/>
        </w:trPr>
        <w:tc>
          <w:tcPr>
            <w:tcW w:type="dxa" w:w="2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Fitness</w:t>
            </w:r>
          </w:p>
        </w:tc>
        <w:tc>
          <w:tcPr>
            <w:tcW w:type="dxa" w:w="74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Puntaje de calidad de un portafolio, calculado con la fórmula ampliada de la sección 5.2.</w:t>
            </w:r>
          </w:p>
        </w:tc>
      </w:tr>
    </w:tbl>
    <w:p>
      <w:pPr>
        <w:spacing w:after="100"/>
      </w:pPr>
    </w:p>
    <w:p>
      <w:pPr>
        <w:spacing w:after="120" w:line="276"/>
        <w:jc w:val="both"/>
      </w:pPr>
      <w:r>
        <w:rPr>
          <w:rFonts w:ascii="Times New Roman" w:cs="Times New Roman" w:eastAsia="Times New Roman" w:hAnsi="Times New Roman"/>
          <w:b/>
          <w:bCs/>
          <w:sz w:val="22"/>
          <w:szCs w:val="22"/>
        </w:rPr>
        <w:t xml:space="preserve">Parámetros por defecto</w:t>
      </w:r>
      <w:r>
        <w:rPr>
          <w:rFonts w:ascii="Times New Roman" w:cs="Times New Roman" w:eastAsia="Times New Roman" w:hAnsi="Times New Roman"/>
          <w:sz w:val="22"/>
          <w:szCs w:val="22"/>
        </w:rPr>
        <w:t xml:space="preserve"> (ajustables empíricamente durante las pruebas):</w:t>
      </w:r>
    </w:p>
    <w:p>
      <w:pPr>
        <w:pStyle w:val="ListParagraph"/>
        <w:numPr>
          <w:ilvl w:val="0"/>
          <w:numId w:val="2"/>
        </w:numPr>
        <w:spacing w:after="60" w:line="276"/>
      </w:pPr>
      <w:r>
        <w:rPr>
          <w:rFonts w:ascii="Times New Roman" w:cs="Times New Roman" w:eastAsia="Times New Roman" w:hAnsi="Times New Roman"/>
          <w:sz w:val="22"/>
          <w:szCs w:val="22"/>
        </w:rPr>
        <w:t xml:space="preserve">Tamaño de población: 50–100 individuos.</w:t>
      </w:r>
    </w:p>
    <w:p>
      <w:pPr>
        <w:pStyle w:val="ListParagraph"/>
        <w:numPr>
          <w:ilvl w:val="0"/>
          <w:numId w:val="2"/>
        </w:numPr>
        <w:spacing w:after="60" w:line="276"/>
      </w:pPr>
      <w:r>
        <w:rPr>
          <w:rFonts w:ascii="Times New Roman" w:cs="Times New Roman" w:eastAsia="Times New Roman" w:hAnsi="Times New Roman"/>
          <w:sz w:val="22"/>
          <w:szCs w:val="22"/>
        </w:rPr>
        <w:t xml:space="preserve">Número de generaciones: 100.</w:t>
      </w:r>
    </w:p>
    <w:p>
      <w:pPr>
        <w:pStyle w:val="ListParagraph"/>
        <w:numPr>
          <w:ilvl w:val="0"/>
          <w:numId w:val="2"/>
        </w:numPr>
        <w:spacing w:after="60" w:line="276"/>
      </w:pPr>
      <w:r>
        <w:rPr>
          <w:rFonts w:ascii="Times New Roman" w:cs="Times New Roman" w:eastAsia="Times New Roman" w:hAnsi="Times New Roman"/>
          <w:sz w:val="22"/>
          <w:szCs w:val="22"/>
        </w:rPr>
        <w:t xml:space="preserve">Tasa de mutación: ~10%, con reajuste posterior para que los pesos sigan sumando 100%.</w:t>
      </w:r>
    </w:p>
    <w:p>
      <w:pPr>
        <w:pStyle w:val="ListParagraph"/>
        <w:numPr>
          <w:ilvl w:val="0"/>
          <w:numId w:val="2"/>
        </w:numPr>
        <w:spacing w:after="60" w:line="276"/>
      </w:pPr>
      <w:r>
        <w:rPr>
          <w:rFonts w:ascii="Times New Roman" w:cs="Times New Roman" w:eastAsia="Times New Roman" w:hAnsi="Times New Roman"/>
          <w:sz w:val="22"/>
          <w:szCs w:val="22"/>
        </w:rPr>
        <w:t xml:space="preserve">Selección: por torneo (se compara un subgrupo aleatorio y gana el de mayor fitness).</w:t>
      </w:r>
    </w:p>
    <w:p>
      <w:pPr>
        <w:pStyle w:val="ListParagraph"/>
        <w:numPr>
          <w:ilvl w:val="0"/>
          <w:numId w:val="2"/>
        </w:numPr>
        <w:spacing w:after="60" w:line="276"/>
      </w:pPr>
      <w:r>
        <w:rPr>
          <w:rFonts w:ascii="Times New Roman" w:cs="Times New Roman" w:eastAsia="Times New Roman" w:hAnsi="Times New Roman"/>
          <w:sz w:val="22"/>
          <w:szCs w:val="22"/>
        </w:rPr>
        <w:t xml:space="preserve">Cruce: promedio ponderado de dos portafolios “ganadores”, con normalización posterior a 100%.</w:t>
      </w:r>
    </w:p>
    <w:p>
      <w:pPr>
        <w:pStyle w:val="Heading2"/>
        <w:keepNext/>
      </w:pPr>
      <w:r>
        <w:rPr>
          <w:rFonts w:ascii="Times New Roman" w:cs="Times New Roman" w:eastAsia="Times New Roman" w:hAnsi="Times New Roman"/>
        </w:rPr>
        <w:t xml:space="preserve">4.5. Módulo 4 — Lógica Difusa</w:t>
      </w:r>
    </w:p>
    <w:p>
      <w:pPr>
        <w:spacing w:after="120" w:line="276"/>
        <w:jc w:val="both"/>
      </w:pPr>
      <w:r>
        <w:rPr>
          <w:rFonts w:ascii="Times New Roman" w:cs="Times New Roman" w:eastAsia="Times New Roman" w:hAnsi="Times New Roman"/>
          <w:b/>
          <w:bCs/>
          <w:sz w:val="22"/>
          <w:szCs w:val="22"/>
        </w:rPr>
        <w:t xml:space="preserve">Responsabilidad:</w:t>
      </w:r>
      <w:r>
        <w:rPr>
          <w:rFonts w:ascii="Times New Roman" w:cs="Times New Roman" w:eastAsia="Times New Roman" w:hAnsi="Times New Roman"/>
          <w:sz w:val="22"/>
          <w:szCs w:val="22"/>
        </w:rPr>
        <w:t xml:space="preserve"> modelar dos conceptos del perfil del usuario que en el lenguaje cotidiano son graduales e imprecisos —el horizonte temporal y la capacidad de absorber pérdidas— y convertirlos en parámetros numéricos que modulan la optimización.</w:t>
      </w:r>
    </w:p>
    <w:p>
      <w:pPr>
        <w:spacing w:after="120" w:line="276"/>
        <w:jc w:val="both"/>
      </w:pPr>
      <w:r>
        <w:rPr>
          <w:rFonts w:ascii="Times New Roman" w:cs="Times New Roman" w:eastAsia="Times New Roman" w:hAnsi="Times New Roman"/>
          <w:b/>
          <w:bCs/>
          <w:sz w:val="22"/>
          <w:szCs w:val="22"/>
        </w:rPr>
        <w:t xml:space="preserve">Por qué lógica difusa.</w:t>
      </w:r>
      <w:r>
        <w:rPr>
          <w:rFonts w:ascii="Times New Roman" w:cs="Times New Roman" w:eastAsia="Times New Roman" w:hAnsi="Times New Roman"/>
          <w:sz w:val="22"/>
          <w:szCs w:val="22"/>
        </w:rPr>
        <w:t xml:space="preserve"> Expresiones como “unos años”, “a mediano plazo” o “no quiero perder mucho” no tienen fronteras nítidas. Si se implementaran con umbrales rígidos (por ejemplo, “menos de 3 años = corto plazo”), un usuario con 2.9 años y otro con 3.1 años recibirían recomendaciones bruscamente distintas, lo cual no refleja la realidad. Los conjuntos difusos permiten que un mismo valor pertenezca parcialmente a varias categorías a la vez, y que la recomendación cambie de forma gradual y explicable. Se utiliza inferencia de tipo Sugeno de orden cero: las reglas asignan un valor numérico fijo a cada consecuente y la salida es el promedio ponderado por el grado de activación de cada regla. Este esquema es simple de implementar (basta NumPy) y permite auditar cada paso.</w:t>
      </w:r>
    </w:p>
    <w:p>
      <w:pPr>
        <w:pStyle w:val="Heading3"/>
        <w:keepNext/>
      </w:pPr>
      <w:r>
        <w:rPr>
          <w:rFonts w:ascii="Times New Roman" w:cs="Times New Roman" w:eastAsia="Times New Roman" w:hAnsi="Times New Roman"/>
        </w:rPr>
        <w:t xml:space="preserve">4.5.1. Aplicación 1: Horizonte temporal</w:t>
      </w:r>
    </w:p>
    <w:p>
      <w:pPr>
        <w:spacing w:after="120" w:line="276"/>
        <w:jc w:val="both"/>
      </w:pPr>
      <w:r>
        <w:rPr>
          <w:rFonts w:ascii="Times New Roman" w:cs="Times New Roman" w:eastAsia="Times New Roman" w:hAnsi="Times New Roman"/>
          <w:b/>
          <w:bCs/>
          <w:sz w:val="22"/>
          <w:szCs w:val="22"/>
        </w:rPr>
        <w:t xml:space="preserve">Variable de entrada:</w:t>
      </w:r>
      <w:r>
        <w:rPr>
          <w:rFonts w:ascii="Times New Roman" w:cs="Times New Roman" w:eastAsia="Times New Roman" w:hAnsi="Times New Roman"/>
          <w:sz w:val="22"/>
          <w:szCs w:val="22"/>
        </w:rPr>
        <w:t xml:space="preserve"> H, horizonte en años, con universo de discurso [0, 30]. Se definen tres conjuntos difusos con funciones de pertenencia trapezoidales/triangulares: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4038"/>
      </w:tblGrid>
      <w:tr>
        <w:trPr>
          <w:cantSplit/>
          <w:tblHeader/>
        </w:trPr>
        <w:tc>
          <w:tcPr>
            <w:tcW w:type="dxa" w:w="15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Conjunto</w:t>
            </w:r>
          </w:p>
        </w:tc>
        <w:tc>
          <w:tcPr>
            <w:tcW w:type="dxa" w:w="41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Función de pertenencia μ(H)</w:t>
            </w:r>
          </w:p>
        </w:tc>
        <w:tc>
          <w:tcPr>
            <w:tcW w:type="dxa" w:w="40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Interpretación</w:t>
            </w:r>
          </w:p>
        </w:tc>
      </w:tr>
      <w:tr>
        <w:trPr>
          <w:cantSplit/>
        </w:trPr>
        <w:tc>
          <w:tcPr>
            <w:tcW w:type="dxa" w:w="15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Corto</w:t>
            </w:r>
          </w:p>
        </w:tc>
        <w:tc>
          <w:tcPr>
            <w:tcW w:type="dxa" w:w="41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 si H ≤ 1</w:t>
            </w:r>
          </w:p>
          <w:p>
            <w:pPr>
              <w:spacing w:after="30"/>
            </w:pPr>
            <w:r>
              <w:rPr>
                <w:rFonts w:ascii="Times New Roman" w:cs="Times New Roman" w:eastAsia="Times New Roman" w:hAnsi="Times New Roman"/>
                <w:b w:val="false"/>
                <w:bCs w:val="false"/>
                <w:sz w:val="19"/>
                <w:szCs w:val="19"/>
              </w:rPr>
              <w:t xml:space="preserve">(3 − H) / 2 si 1 &lt; H &lt; 3</w:t>
            </w:r>
          </w:p>
          <w:p>
            <w:pPr>
              <w:spacing w:after="30"/>
            </w:pPr>
            <w:r>
              <w:rPr>
                <w:rFonts w:ascii="Times New Roman" w:cs="Times New Roman" w:eastAsia="Times New Roman" w:hAnsi="Times New Roman"/>
                <w:b w:val="false"/>
                <w:bCs w:val="false"/>
                <w:sz w:val="19"/>
                <w:szCs w:val="19"/>
              </w:rPr>
              <w:t xml:space="preserve">0 si H ≥ 3</w:t>
            </w:r>
          </w:p>
        </w:tc>
        <w:tc>
          <w:tcPr>
            <w:tcW w:type="dxa" w:w="40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Necesita el dinero pronto; poco tiempo para recuperarse de una caída.</w:t>
            </w:r>
          </w:p>
        </w:tc>
      </w:tr>
      <w:tr>
        <w:trPr>
          <w:cantSplit/>
        </w:trPr>
        <w:tc>
          <w:tcPr>
            <w:tcW w:type="dxa" w:w="15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Mediano</w:t>
            </w:r>
          </w:p>
        </w:tc>
        <w:tc>
          <w:tcPr>
            <w:tcW w:type="dxa" w:w="41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 si H ≤ 2 o H ≥ 8</w:t>
            </w:r>
          </w:p>
          <w:p>
            <w:pPr>
              <w:spacing w:after="30"/>
            </w:pPr>
            <w:r>
              <w:rPr>
                <w:rFonts w:ascii="Times New Roman" w:cs="Times New Roman" w:eastAsia="Times New Roman" w:hAnsi="Times New Roman"/>
                <w:b w:val="false"/>
                <w:bCs w:val="false"/>
                <w:sz w:val="19"/>
                <w:szCs w:val="19"/>
              </w:rPr>
              <w:t xml:space="preserve">(H − 2) / 3 si 2 &lt; H ≤ 5</w:t>
            </w:r>
          </w:p>
          <w:p>
            <w:pPr>
              <w:spacing w:after="30"/>
            </w:pPr>
            <w:r>
              <w:rPr>
                <w:rFonts w:ascii="Times New Roman" w:cs="Times New Roman" w:eastAsia="Times New Roman" w:hAnsi="Times New Roman"/>
                <w:b w:val="false"/>
                <w:bCs w:val="false"/>
                <w:sz w:val="19"/>
                <w:szCs w:val="19"/>
              </w:rPr>
              <w:t xml:space="preserve">(8 − H) / 3 si 5 &lt; H &lt; 8</w:t>
            </w:r>
          </w:p>
        </w:tc>
        <w:tc>
          <w:tcPr>
            <w:tcW w:type="dxa" w:w="40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Plazo intermedio; puede tolerar cierta variabilidad.</w:t>
            </w:r>
          </w:p>
        </w:tc>
      </w:tr>
      <w:tr>
        <w:trPr>
          <w:cantSplit/>
        </w:trPr>
        <w:tc>
          <w:tcPr>
            <w:tcW w:type="dxa" w:w="15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Largo</w:t>
            </w:r>
          </w:p>
        </w:tc>
        <w:tc>
          <w:tcPr>
            <w:tcW w:type="dxa" w:w="41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 si H ≤ 6</w:t>
            </w:r>
          </w:p>
          <w:p>
            <w:pPr>
              <w:spacing w:after="30"/>
            </w:pPr>
            <w:r>
              <w:rPr>
                <w:rFonts w:ascii="Times New Roman" w:cs="Times New Roman" w:eastAsia="Times New Roman" w:hAnsi="Times New Roman"/>
                <w:b w:val="false"/>
                <w:bCs w:val="false"/>
                <w:sz w:val="19"/>
                <w:szCs w:val="19"/>
              </w:rPr>
              <w:t xml:space="preserve">(H − 6) / 4 si 6 &lt; H &lt; 10</w:t>
            </w:r>
          </w:p>
          <w:p>
            <w:pPr>
              <w:spacing w:after="30"/>
            </w:pPr>
            <w:r>
              <w:rPr>
                <w:rFonts w:ascii="Times New Roman" w:cs="Times New Roman" w:eastAsia="Times New Roman" w:hAnsi="Times New Roman"/>
                <w:b w:val="false"/>
                <w:bCs w:val="false"/>
                <w:sz w:val="19"/>
                <w:szCs w:val="19"/>
              </w:rPr>
              <w:t xml:space="preserve">1 si H ≥ 10</w:t>
            </w:r>
          </w:p>
        </w:tc>
        <w:tc>
          <w:tcPr>
            <w:tcW w:type="dxa" w:w="40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Dinero que no necesitará por muchos años; mayor margen de recuperación.</w:t>
            </w:r>
          </w:p>
        </w:tc>
      </w:tr>
    </w:tbl>
    <w:p>
      <w:pPr>
        <w:spacing w:after="100"/>
      </w:pPr>
    </w:p>
    <w:p>
      <w:pPr>
        <w:spacing w:after="80" w:before="80"/>
        <w:jc w:val="center"/>
      </w:pPr>
      <w:r>
        <w:drawing>
          <wp:inline distT="0" distB="0" distL="0" distR="0">
            <wp:extent cx="4953000" cy="2047875"/>
            <wp:effectExtent t="0" r="0" b="0" l="0"/>
            <wp:docPr id="1" name="fig_horizonte.png" descr="fig_horizonte.png" title="fig_horizo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0478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19"/>
          <w:szCs w:val="19"/>
        </w:rPr>
        <w:t xml:space="preserve">Figura 2. Conjuntos difusos del horizonte temporal.</w:t>
      </w:r>
    </w:p>
    <w:p>
      <w:pPr>
        <w:spacing w:after="120" w:line="276"/>
        <w:jc w:val="both"/>
      </w:pPr>
      <w:r>
        <w:rPr>
          <w:rFonts w:ascii="Times New Roman" w:cs="Times New Roman" w:eastAsia="Times New Roman" w:hAnsi="Times New Roman"/>
          <w:b/>
          <w:bCs/>
          <w:sz w:val="22"/>
          <w:szCs w:val="22"/>
        </w:rPr>
        <w:t xml:space="preserve">Manejo de entradas cualitativas.</w:t>
      </w:r>
      <w:r>
        <w:rPr>
          <w:rFonts w:ascii="Times New Roman" w:cs="Times New Roman" w:eastAsia="Times New Roman" w:hAnsi="Times New Roman"/>
          <w:sz w:val="22"/>
          <w:szCs w:val="22"/>
        </w:rPr>
        <w:t xml:space="preserve"> Si el usuario da una cifra (“unos 3 años”), se fuzzifica directamente. Si solo da una etiqueta (“a largo plazo”), se asigna pertenencia 1 a esa etiqueta y 0 a las demás; el resto del cálculo no cambia.</w:t>
      </w:r>
    </w:p>
    <w:p>
      <w:pPr>
        <w:spacing w:after="120" w:line="276"/>
        <w:jc w:val="both"/>
      </w:pPr>
      <w:r>
        <w:rPr>
          <w:rFonts w:ascii="Times New Roman" w:cs="Times New Roman" w:eastAsia="Times New Roman" w:hAnsi="Times New Roman"/>
          <w:b/>
          <w:bCs/>
          <w:sz w:val="22"/>
          <w:szCs w:val="22"/>
        </w:rPr>
        <w:t xml:space="preserve">Base de reglas y salida.</w:t>
      </w:r>
      <w:r>
        <w:rPr>
          <w:rFonts w:ascii="Times New Roman" w:cs="Times New Roman" w:eastAsia="Times New Roman" w:hAnsi="Times New Roman"/>
          <w:sz w:val="22"/>
          <w:szCs w:val="22"/>
        </w:rPr>
        <w:t xml:space="preserve"> Cada conjunto activa una regla cuyo consecuente es un multiplicador m</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de la aversión al riesgo: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2000"/>
        <w:gridCol w:w="4738"/>
      </w:tblGrid>
      <w:tr>
        <w:trPr>
          <w:cantSplit/>
          <w:tblHeader/>
        </w:trPr>
        <w:tc>
          <w:tcPr>
            <w:tcW w:type="dxa" w:w="9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Regla</w:t>
            </w:r>
          </w:p>
        </w:tc>
        <w:tc>
          <w:tcPr>
            <w:tcW w:type="dxa" w:w="20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Antecedente</w:t>
            </w:r>
          </w:p>
        </w:tc>
        <w:tc>
          <w:tcPr>
            <w:tcW w:type="dxa" w:w="20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Consecuente (z)</w:t>
            </w:r>
          </w:p>
        </w:tc>
        <w:tc>
          <w:tcPr>
            <w:tcW w:type="dxa" w:w="47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Justificación</w:t>
            </w:r>
          </w:p>
        </w:tc>
      </w:tr>
      <w:tr>
        <w:trPr>
          <w:cantSplit/>
        </w:trPr>
        <w:tc>
          <w:tcPr>
            <w:tcW w:type="dxa" w:w="9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RH1</w:t>
            </w:r>
          </w:p>
        </w:tc>
        <w:tc>
          <w:tcPr>
            <w:tcW w:type="dxa" w:w="20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H es Corto</w:t>
            </w:r>
          </w:p>
        </w:tc>
        <w:tc>
          <w:tcPr>
            <w:tcW w:type="dxa" w:w="20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w:t>
            </w:r>
            <w:r>
              <w:rPr>
                <w:rFonts w:ascii="Times New Roman" w:cs="Times New Roman" w:eastAsia="Times New Roman" w:hAnsi="Times New Roman"/>
                <w:b w:val="false"/>
                <w:bCs w:val="false"/>
                <w:sz w:val="19"/>
                <w:szCs w:val="19"/>
                <w:vertAlign w:val="subscript"/>
              </w:rPr>
              <w:t xml:space="preserve">H</w:t>
            </w:r>
            <w:r>
              <w:rPr>
                <w:rFonts w:ascii="Times New Roman" w:cs="Times New Roman" w:eastAsia="Times New Roman" w:hAnsi="Times New Roman"/>
                <w:b w:val="false"/>
                <w:bCs w:val="false"/>
                <w:sz w:val="19"/>
                <w:szCs w:val="19"/>
              </w:rPr>
              <w:t xml:space="preserve"> = 1.5</w:t>
            </w:r>
          </w:p>
        </w:tc>
        <w:tc>
          <w:tcPr>
            <w:tcW w:type="dxa" w:w="4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Poco tiempo para recuperarse: se penaliza más la volatilidad.</w:t>
            </w:r>
          </w:p>
        </w:tc>
      </w:tr>
      <w:tr>
        <w:trPr>
          <w:cantSplit/>
        </w:trPr>
        <w:tc>
          <w:tcPr>
            <w:tcW w:type="dxa" w:w="9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RH2</w:t>
            </w:r>
          </w:p>
        </w:tc>
        <w:tc>
          <w:tcPr>
            <w:tcW w:type="dxa" w:w="20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H es Mediano</w:t>
            </w:r>
          </w:p>
        </w:tc>
        <w:tc>
          <w:tcPr>
            <w:tcW w:type="dxa" w:w="20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w:t>
            </w:r>
            <w:r>
              <w:rPr>
                <w:rFonts w:ascii="Times New Roman" w:cs="Times New Roman" w:eastAsia="Times New Roman" w:hAnsi="Times New Roman"/>
                <w:b w:val="false"/>
                <w:bCs w:val="false"/>
                <w:sz w:val="19"/>
                <w:szCs w:val="19"/>
                <w:vertAlign w:val="subscript"/>
              </w:rPr>
              <w:t xml:space="preserve">H</w:t>
            </w:r>
            <w:r>
              <w:rPr>
                <w:rFonts w:ascii="Times New Roman" w:cs="Times New Roman" w:eastAsia="Times New Roman" w:hAnsi="Times New Roman"/>
                <w:b w:val="false"/>
                <w:bCs w:val="false"/>
                <w:sz w:val="19"/>
                <w:szCs w:val="19"/>
              </w:rPr>
              <w:t xml:space="preserve"> = 1.0</w:t>
            </w:r>
          </w:p>
        </w:tc>
        <w:tc>
          <w:tcPr>
            <w:tcW w:type="dxa" w:w="4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Sin modulación: se usa la aversión declarada.</w:t>
            </w:r>
          </w:p>
        </w:tc>
      </w:tr>
      <w:tr>
        <w:trPr>
          <w:cantSplit/>
        </w:trPr>
        <w:tc>
          <w:tcPr>
            <w:tcW w:type="dxa" w:w="9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RH3</w:t>
            </w:r>
          </w:p>
        </w:tc>
        <w:tc>
          <w:tcPr>
            <w:tcW w:type="dxa" w:w="20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H es Largo</w:t>
            </w:r>
          </w:p>
        </w:tc>
        <w:tc>
          <w:tcPr>
            <w:tcW w:type="dxa" w:w="20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w:t>
            </w:r>
            <w:r>
              <w:rPr>
                <w:rFonts w:ascii="Times New Roman" w:cs="Times New Roman" w:eastAsia="Times New Roman" w:hAnsi="Times New Roman"/>
                <w:b w:val="false"/>
                <w:bCs w:val="false"/>
                <w:sz w:val="19"/>
                <w:szCs w:val="19"/>
                <w:vertAlign w:val="subscript"/>
              </w:rPr>
              <w:t xml:space="preserve">H</w:t>
            </w:r>
            <w:r>
              <w:rPr>
                <w:rFonts w:ascii="Times New Roman" w:cs="Times New Roman" w:eastAsia="Times New Roman" w:hAnsi="Times New Roman"/>
                <w:b w:val="false"/>
                <w:bCs w:val="false"/>
                <w:sz w:val="19"/>
                <w:szCs w:val="19"/>
              </w:rPr>
              <w:t xml:space="preserve"> = 0.7</w:t>
            </w:r>
          </w:p>
        </w:tc>
        <w:tc>
          <w:tcPr>
            <w:tcW w:type="dxa" w:w="4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Más tiempo para absorber caídas: se tolera más volatilidad.</w:t>
            </w:r>
          </w:p>
        </w:tc>
      </w:tr>
    </w:tbl>
    <w:p>
      <w:pPr>
        <w:spacing w:after="100"/>
      </w:pPr>
    </w:p>
    <w:p>
      <w:pPr>
        <w:pBdr>
          <w:top w:val="single" w:color="C9DDE0" w:sz="4" w:space="4"/>
          <w:bottom w:val="single" w:color="C9DDE0" w:sz="4" w:space="4"/>
        </w:pBdr>
        <w:shd w:fill="EEF5F6" w:color="auto" w:val="clear"/>
        <w:spacing w:after="120" w:before="60"/>
        <w:jc w:val="center"/>
      </w:pPr>
      <w:r>
        <w:rPr>
          <w:rFonts w:ascii="Times New Roman" w:cs="Times New Roman" w:eastAsia="Times New Roman" w:hAnsi="Times New Roman"/>
          <w:sz w:val="22"/>
          <w:szCs w:val="22"/>
        </w:rPr>
        <w:t xml:space="preserve">m</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μ</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(H) · z</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μ</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(H)          λ</w:t>
      </w:r>
      <w:r>
        <w:rPr>
          <w:rFonts w:ascii="Times New Roman" w:cs="Times New Roman" w:eastAsia="Times New Roman" w:hAnsi="Times New Roman"/>
          <w:sz w:val="22"/>
          <w:szCs w:val="22"/>
          <w:vertAlign w:val="subscript"/>
        </w:rPr>
        <w:t xml:space="preserve">ef</w:t>
      </w:r>
      <w:r>
        <w:rPr>
          <w:rFonts w:ascii="Times New Roman" w:cs="Times New Roman" w:eastAsia="Times New Roman" w:hAnsi="Times New Roman"/>
          <w:sz w:val="22"/>
          <w:szCs w:val="22"/>
        </w:rPr>
        <w:t xml:space="preserve"> = λ</w:t>
      </w:r>
      <w:r>
        <w:rPr>
          <w:rFonts w:ascii="Times New Roman" w:cs="Times New Roman" w:eastAsia="Times New Roman" w:hAnsi="Times New Roman"/>
          <w:sz w:val="22"/>
          <w:szCs w:val="22"/>
          <w:vertAlign w:val="subscript"/>
        </w:rPr>
        <w:t xml:space="preserve">base</w:t>
      </w:r>
      <w:r>
        <w:rPr>
          <w:rFonts w:ascii="Times New Roman" w:cs="Times New Roman" w:eastAsia="Times New Roman" w:hAnsi="Times New Roman"/>
          <w:sz w:val="22"/>
          <w:szCs w:val="22"/>
        </w:rPr>
        <w:t xml:space="preserve"> · m</w:t>
      </w:r>
      <w:r>
        <w:rPr>
          <w:rFonts w:ascii="Times New Roman" w:cs="Times New Roman" w:eastAsia="Times New Roman" w:hAnsi="Times New Roman"/>
          <w:sz w:val="22"/>
          <w:szCs w:val="22"/>
          <w:vertAlign w:val="subscript"/>
        </w:rPr>
        <w:t xml:space="preserve">H</w:t>
      </w:r>
    </w:p>
    <w:p>
      <w:pPr>
        <w:spacing w:after="120" w:line="276"/>
        <w:jc w:val="both"/>
      </w:pPr>
      <w:r>
        <w:rPr>
          <w:rFonts w:ascii="Times New Roman" w:cs="Times New Roman" w:eastAsia="Times New Roman" w:hAnsi="Times New Roman"/>
          <w:b/>
          <w:bCs/>
          <w:sz w:val="22"/>
          <w:szCs w:val="22"/>
        </w:rPr>
        <w:t xml:space="preserve">Ejemplo.</w:t>
      </w:r>
      <w:r>
        <w:rPr>
          <w:rFonts w:ascii="Times New Roman" w:cs="Times New Roman" w:eastAsia="Times New Roman" w:hAnsi="Times New Roman"/>
          <w:sz w:val="22"/>
          <w:szCs w:val="22"/>
        </w:rPr>
        <w:t xml:space="preserve"> Para H = 2.5 años: μ</w:t>
      </w:r>
      <w:r>
        <w:rPr>
          <w:rFonts w:ascii="Times New Roman" w:cs="Times New Roman" w:eastAsia="Times New Roman" w:hAnsi="Times New Roman"/>
          <w:sz w:val="22"/>
          <w:szCs w:val="22"/>
          <w:vertAlign w:val="subscript"/>
        </w:rPr>
        <w:t xml:space="preserve">Corto</w:t>
      </w:r>
      <w:r>
        <w:rPr>
          <w:rFonts w:ascii="Times New Roman" w:cs="Times New Roman" w:eastAsia="Times New Roman" w:hAnsi="Times New Roman"/>
          <w:sz w:val="22"/>
          <w:szCs w:val="22"/>
        </w:rPr>
        <w:t xml:space="preserve"> = (3 − 2.5)/2 = 0.25; μ</w:t>
      </w:r>
      <w:r>
        <w:rPr>
          <w:rFonts w:ascii="Times New Roman" w:cs="Times New Roman" w:eastAsia="Times New Roman" w:hAnsi="Times New Roman"/>
          <w:sz w:val="22"/>
          <w:szCs w:val="22"/>
          <w:vertAlign w:val="subscript"/>
        </w:rPr>
        <w:t xml:space="preserve">Mediano</w:t>
      </w:r>
      <w:r>
        <w:rPr>
          <w:rFonts w:ascii="Times New Roman" w:cs="Times New Roman" w:eastAsia="Times New Roman" w:hAnsi="Times New Roman"/>
          <w:sz w:val="22"/>
          <w:szCs w:val="22"/>
        </w:rPr>
        <w:t xml:space="preserve"> = (2.5 − 2)/3 ≈ 0.167; μ</w:t>
      </w:r>
      <w:r>
        <w:rPr>
          <w:rFonts w:ascii="Times New Roman" w:cs="Times New Roman" w:eastAsia="Times New Roman" w:hAnsi="Times New Roman"/>
          <w:sz w:val="22"/>
          <w:szCs w:val="22"/>
          <w:vertAlign w:val="subscript"/>
        </w:rPr>
        <w:t xml:space="preserve">Largo</w:t>
      </w:r>
      <w:r>
        <w:rPr>
          <w:rFonts w:ascii="Times New Roman" w:cs="Times New Roman" w:eastAsia="Times New Roman" w:hAnsi="Times New Roman"/>
          <w:sz w:val="22"/>
          <w:szCs w:val="22"/>
        </w:rPr>
        <w:t xml:space="preserve"> = 0. Entonces m</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 (0.25 · 1.5 + 0.167 · 1.0) / (0.25 + 0.167) ≈ 1.30. Un usuario con λ</w:t>
      </w:r>
      <w:r>
        <w:rPr>
          <w:rFonts w:ascii="Times New Roman" w:cs="Times New Roman" w:eastAsia="Times New Roman" w:hAnsi="Times New Roman"/>
          <w:sz w:val="22"/>
          <w:szCs w:val="22"/>
          <w:vertAlign w:val="subscript"/>
        </w:rPr>
        <w:t xml:space="preserve">base</w:t>
      </w:r>
      <w:r>
        <w:rPr>
          <w:rFonts w:ascii="Times New Roman" w:cs="Times New Roman" w:eastAsia="Times New Roman" w:hAnsi="Times New Roman"/>
          <w:sz w:val="22"/>
          <w:szCs w:val="22"/>
        </w:rPr>
        <w:t xml:space="preserve"> = 2 (conservador) pasa a λ</w:t>
      </w:r>
      <w:r>
        <w:rPr>
          <w:rFonts w:ascii="Times New Roman" w:cs="Times New Roman" w:eastAsia="Times New Roman" w:hAnsi="Times New Roman"/>
          <w:sz w:val="22"/>
          <w:szCs w:val="22"/>
          <w:vertAlign w:val="subscript"/>
        </w:rPr>
        <w:t xml:space="preserve">ef</w:t>
      </w:r>
      <w:r>
        <w:rPr>
          <w:rFonts w:ascii="Times New Roman" w:cs="Times New Roman" w:eastAsia="Times New Roman" w:hAnsi="Times New Roman"/>
          <w:sz w:val="22"/>
          <w:szCs w:val="22"/>
        </w:rPr>
        <w:t xml:space="preserve"> = 2.6: al ser un plazo corto-mediano, el sistema se vuelve más cauteloso que lo que el usuario declaró.</w:t>
      </w:r>
    </w:p>
    <w:p>
      <w:pPr>
        <w:pStyle w:val="Heading3"/>
        <w:keepNext/>
      </w:pPr>
      <w:r>
        <w:rPr>
          <w:rFonts w:ascii="Times New Roman" w:cs="Times New Roman" w:eastAsia="Times New Roman" w:hAnsi="Times New Roman"/>
        </w:rPr>
        <w:t xml:space="preserve">4.5.2. Aplicación 2: Capacidad de absorción</w:t>
      </w:r>
    </w:p>
    <w:p>
      <w:pPr>
        <w:spacing w:after="120" w:line="276"/>
        <w:jc w:val="both"/>
      </w:pPr>
      <w:r>
        <w:rPr>
          <w:rFonts w:ascii="Times New Roman" w:cs="Times New Roman" w:eastAsia="Times New Roman" w:hAnsi="Times New Roman"/>
          <w:b/>
          <w:bCs/>
          <w:sz w:val="22"/>
          <w:szCs w:val="22"/>
        </w:rPr>
        <w:t xml:space="preserve">Definición.</w:t>
      </w:r>
      <w:r>
        <w:rPr>
          <w:rFonts w:ascii="Times New Roman" w:cs="Times New Roman" w:eastAsia="Times New Roman" w:hAnsi="Times New Roman"/>
          <w:sz w:val="22"/>
          <w:szCs w:val="22"/>
        </w:rPr>
        <w:t xml:space="preserve"> La capacidad de absorción es la habilidad del usuario para soportar una pérdida temporal del capital invertido sin afectar sus necesidades básicas ni verse forzado a vender en mal momento. Es distinta de la tolerancia al riesgo (una preferencia subjetiva): una persona puede tener disposición a arriesgar pero poca capacidad real de absorber una pérdida, y viceversa.</w:t>
      </w:r>
    </w:p>
    <w:p>
      <w:pPr>
        <w:spacing w:after="120" w:line="276"/>
        <w:jc w:val="both"/>
      </w:pPr>
      <w:r>
        <w:rPr>
          <w:rFonts w:ascii="Times New Roman" w:cs="Times New Roman" w:eastAsia="Times New Roman" w:hAnsi="Times New Roman"/>
          <w:b/>
          <w:bCs/>
          <w:sz w:val="22"/>
          <w:szCs w:val="22"/>
        </w:rPr>
        <w:t xml:space="preserve">Variables de entrada</w:t>
      </w:r>
      <w:r>
        <w:rPr>
          <w:rFonts w:ascii="Times New Roman" w:cs="Times New Roman" w:eastAsia="Times New Roman" w:hAnsi="Times New Roman"/>
          <w:sz w:val="22"/>
          <w:szCs w:val="22"/>
        </w:rPr>
        <w:t xml:space="preserve"> (calculadas a partir de los campos extraídos en 4.2):</w:t>
      </w:r>
    </w:p>
    <w:p>
      <w:pPr>
        <w:pStyle w:val="ListParagraph"/>
        <w:numPr>
          <w:ilvl w:val="0"/>
          <w:numId w:val="2"/>
        </w:numPr>
        <w:spacing w:after="60" w:line="276"/>
      </w:pPr>
      <w:r>
        <w:rPr>
          <w:rFonts w:ascii="Times New Roman" w:cs="Times New Roman" w:eastAsia="Times New Roman" w:hAnsi="Times New Roman"/>
          <w:sz w:val="22"/>
          <w:szCs w:val="22"/>
        </w:rPr>
        <w:t xml:space="preserve">r = monto_invertir / ahorro_total, con r ∈ [0, 1]: la proporción de los ahorros que el usuario compromete.</w:t>
      </w:r>
    </w:p>
    <w:p>
      <w:pPr>
        <w:pStyle w:val="ListParagraph"/>
        <w:numPr>
          <w:ilvl w:val="0"/>
          <w:numId w:val="2"/>
        </w:numPr>
        <w:spacing w:after="60" w:line="276"/>
      </w:pPr>
      <w:r>
        <w:rPr>
          <w:rFonts w:ascii="Times New Roman" w:cs="Times New Roman" w:eastAsia="Times New Roman" w:hAnsi="Times New Roman"/>
          <w:sz w:val="22"/>
          <w:szCs w:val="22"/>
        </w:rPr>
        <w:t xml:space="preserve">E = cobertura_emergencia_meses, con E ∈ [0, 12] (se satura en 12): meses de gastos cubiertos por un fondo aparte.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6338"/>
      </w:tblGrid>
      <w:tr>
        <w:trPr>
          <w:cantSplit/>
          <w:tblHeader/>
        </w:trPr>
        <w:tc>
          <w:tcPr>
            <w:tcW w:type="dxa" w:w="13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Variable</w:t>
            </w:r>
          </w:p>
        </w:tc>
        <w:tc>
          <w:tcPr>
            <w:tcW w:type="dxa" w:w="20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Conjunto</w:t>
            </w:r>
          </w:p>
        </w:tc>
        <w:tc>
          <w:tcPr>
            <w:tcW w:type="dxa" w:w="63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Función de pertenencia</w:t>
            </w:r>
          </w:p>
        </w:tc>
      </w:tr>
      <w:tr>
        <w:trPr>
          <w:cantSplit/>
        </w:trPr>
        <w:tc>
          <w:tcPr>
            <w:tcW w:type="dxa" w:w="1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w:t>
            </w:r>
          </w:p>
        </w:tc>
        <w:tc>
          <w:tcPr>
            <w:tcW w:type="dxa" w:w="20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Bajo</w:t>
            </w:r>
          </w:p>
        </w:tc>
        <w:tc>
          <w:tcPr>
            <w:tcW w:type="dxa" w:w="63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 si r ≤ 0.2</w:t>
            </w:r>
          </w:p>
          <w:p>
            <w:pPr>
              <w:spacing w:after="30"/>
            </w:pPr>
            <w:r>
              <w:rPr>
                <w:rFonts w:ascii="Times New Roman" w:cs="Times New Roman" w:eastAsia="Times New Roman" w:hAnsi="Times New Roman"/>
                <w:b w:val="false"/>
                <w:bCs w:val="false"/>
                <w:sz w:val="19"/>
                <w:szCs w:val="19"/>
              </w:rPr>
              <w:t xml:space="preserve">(0.4 − r) / 0.2 si 0.2 &lt; r &lt; 0.4</w:t>
            </w:r>
          </w:p>
          <w:p>
            <w:pPr>
              <w:spacing w:after="30"/>
            </w:pPr>
            <w:r>
              <w:rPr>
                <w:rFonts w:ascii="Times New Roman" w:cs="Times New Roman" w:eastAsia="Times New Roman" w:hAnsi="Times New Roman"/>
                <w:b w:val="false"/>
                <w:bCs w:val="false"/>
                <w:sz w:val="19"/>
                <w:szCs w:val="19"/>
              </w:rPr>
              <w:t xml:space="preserve">0 si r ≥ 0.4</w:t>
            </w:r>
          </w:p>
        </w:tc>
      </w:tr>
      <w:tr>
        <w:trPr>
          <w:cantSplit/>
        </w:trPr>
        <w:tc>
          <w:tcPr>
            <w:tcW w:type="dxa" w:w="1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w:t>
            </w:r>
          </w:p>
        </w:tc>
        <w:tc>
          <w:tcPr>
            <w:tcW w:type="dxa" w:w="20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Medio</w:t>
            </w:r>
          </w:p>
        </w:tc>
        <w:tc>
          <w:tcPr>
            <w:tcW w:type="dxa" w:w="63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 si r ≤ 0.2 o r ≥ 0.8</w:t>
            </w:r>
          </w:p>
          <w:p>
            <w:pPr>
              <w:spacing w:after="30"/>
            </w:pPr>
            <w:r>
              <w:rPr>
                <w:rFonts w:ascii="Times New Roman" w:cs="Times New Roman" w:eastAsia="Times New Roman" w:hAnsi="Times New Roman"/>
                <w:b w:val="false"/>
                <w:bCs w:val="false"/>
                <w:sz w:val="19"/>
                <w:szCs w:val="19"/>
              </w:rPr>
              <w:t xml:space="preserve">(r − 0.2) / 0.3 si 0.2 &lt; r ≤ 0.5</w:t>
            </w:r>
          </w:p>
          <w:p>
            <w:pPr>
              <w:spacing w:after="30"/>
            </w:pPr>
            <w:r>
              <w:rPr>
                <w:rFonts w:ascii="Times New Roman" w:cs="Times New Roman" w:eastAsia="Times New Roman" w:hAnsi="Times New Roman"/>
                <w:b w:val="false"/>
                <w:bCs w:val="false"/>
                <w:sz w:val="19"/>
                <w:szCs w:val="19"/>
              </w:rPr>
              <w:t xml:space="preserve">(0.8 − r) / 0.3 si 0.5 &lt; r &lt; 0.8</w:t>
            </w:r>
          </w:p>
        </w:tc>
      </w:tr>
      <w:tr>
        <w:trPr>
          <w:cantSplit/>
        </w:trPr>
        <w:tc>
          <w:tcPr>
            <w:tcW w:type="dxa" w:w="1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w:t>
            </w:r>
          </w:p>
        </w:tc>
        <w:tc>
          <w:tcPr>
            <w:tcW w:type="dxa" w:w="20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Alto</w:t>
            </w:r>
          </w:p>
        </w:tc>
        <w:tc>
          <w:tcPr>
            <w:tcW w:type="dxa" w:w="63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 si r ≤ 0.6</w:t>
            </w:r>
          </w:p>
          <w:p>
            <w:pPr>
              <w:spacing w:after="30"/>
            </w:pPr>
            <w:r>
              <w:rPr>
                <w:rFonts w:ascii="Times New Roman" w:cs="Times New Roman" w:eastAsia="Times New Roman" w:hAnsi="Times New Roman"/>
                <w:b w:val="false"/>
                <w:bCs w:val="false"/>
                <w:sz w:val="19"/>
                <w:szCs w:val="19"/>
              </w:rPr>
              <w:t xml:space="preserve">(r − 0.6) / 0.3 si 0.6 &lt; r &lt; 0.9</w:t>
            </w:r>
          </w:p>
          <w:p>
            <w:pPr>
              <w:spacing w:after="30"/>
            </w:pPr>
            <w:r>
              <w:rPr>
                <w:rFonts w:ascii="Times New Roman" w:cs="Times New Roman" w:eastAsia="Times New Roman" w:hAnsi="Times New Roman"/>
                <w:b w:val="false"/>
                <w:bCs w:val="false"/>
                <w:sz w:val="19"/>
                <w:szCs w:val="19"/>
              </w:rPr>
              <w:t xml:space="preserve">1 si r ≥ 0.9</w:t>
            </w:r>
          </w:p>
        </w:tc>
      </w:tr>
      <w:tr>
        <w:trPr>
          <w:cantSplit/>
        </w:trPr>
        <w:tc>
          <w:tcPr>
            <w:tcW w:type="dxa" w:w="1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w:t>
            </w:r>
          </w:p>
        </w:tc>
        <w:tc>
          <w:tcPr>
            <w:tcW w:type="dxa" w:w="20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Insuficiente</w:t>
            </w:r>
          </w:p>
        </w:tc>
        <w:tc>
          <w:tcPr>
            <w:tcW w:type="dxa" w:w="63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 si E ≤ 1</w:t>
            </w:r>
          </w:p>
          <w:p>
            <w:pPr>
              <w:spacing w:after="30"/>
            </w:pPr>
            <w:r>
              <w:rPr>
                <w:rFonts w:ascii="Times New Roman" w:cs="Times New Roman" w:eastAsia="Times New Roman" w:hAnsi="Times New Roman"/>
                <w:b w:val="false"/>
                <w:bCs w:val="false"/>
                <w:sz w:val="19"/>
                <w:szCs w:val="19"/>
              </w:rPr>
              <w:t xml:space="preserve">(4 − E) / 3 si 1 &lt; E &lt; 4</w:t>
            </w:r>
          </w:p>
          <w:p>
            <w:pPr>
              <w:spacing w:after="30"/>
            </w:pPr>
            <w:r>
              <w:rPr>
                <w:rFonts w:ascii="Times New Roman" w:cs="Times New Roman" w:eastAsia="Times New Roman" w:hAnsi="Times New Roman"/>
                <w:b w:val="false"/>
                <w:bCs w:val="false"/>
                <w:sz w:val="19"/>
                <w:szCs w:val="19"/>
              </w:rPr>
              <w:t xml:space="preserve">0 si E ≥ 4</w:t>
            </w:r>
          </w:p>
        </w:tc>
      </w:tr>
      <w:tr>
        <w:trPr>
          <w:cantSplit/>
        </w:trPr>
        <w:tc>
          <w:tcPr>
            <w:tcW w:type="dxa" w:w="1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w:t>
            </w:r>
          </w:p>
        </w:tc>
        <w:tc>
          <w:tcPr>
            <w:tcW w:type="dxa" w:w="20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Adecuada</w:t>
            </w:r>
          </w:p>
        </w:tc>
        <w:tc>
          <w:tcPr>
            <w:tcW w:type="dxa" w:w="63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 si E ≤ 2</w:t>
            </w:r>
          </w:p>
          <w:p>
            <w:pPr>
              <w:spacing w:after="30"/>
            </w:pPr>
            <w:r>
              <w:rPr>
                <w:rFonts w:ascii="Times New Roman" w:cs="Times New Roman" w:eastAsia="Times New Roman" w:hAnsi="Times New Roman"/>
                <w:b w:val="false"/>
                <w:bCs w:val="false"/>
                <w:sz w:val="19"/>
                <w:szCs w:val="19"/>
              </w:rPr>
              <w:t xml:space="preserve">(E − 2) / 4 si 2 &lt; E &lt; 6</w:t>
            </w:r>
          </w:p>
          <w:p>
            <w:pPr>
              <w:spacing w:after="30"/>
            </w:pPr>
            <w:r>
              <w:rPr>
                <w:rFonts w:ascii="Times New Roman" w:cs="Times New Roman" w:eastAsia="Times New Roman" w:hAnsi="Times New Roman"/>
                <w:b w:val="false"/>
                <w:bCs w:val="false"/>
                <w:sz w:val="19"/>
                <w:szCs w:val="19"/>
              </w:rPr>
              <w:t xml:space="preserve">1 si E ≥ 6</w:t>
            </w:r>
          </w:p>
        </w:tc>
      </w:tr>
    </w:tbl>
    <w:p>
      <w:pPr>
        <w:spacing w:after="100"/>
      </w:pPr>
    </w:p>
    <w:p>
      <w:pPr>
        <w:spacing w:after="80" w:before="80"/>
        <w:jc w:val="center"/>
      </w:pPr>
      <w:r>
        <w:drawing>
          <wp:inline distT="0" distB="0" distL="0" distR="0">
            <wp:extent cx="5334000" cy="2038350"/>
            <wp:effectExtent t="0" r="0" b="0" l="0"/>
            <wp:docPr id="1" name="fig_absorcion.png" descr="fig_absorcion.png" title="fig_absor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3835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19"/>
          <w:szCs w:val="19"/>
        </w:rPr>
        <w:t xml:space="preserve">Figura 3. Conjuntos difusos de las dos variables de entrada de la capacidad de absorción.</w:t>
      </w:r>
    </w:p>
    <w:p>
      <w:pPr>
        <w:spacing w:after="120" w:line="276"/>
        <w:jc w:val="both"/>
      </w:pPr>
      <w:r>
        <w:rPr>
          <w:rFonts w:ascii="Times New Roman" w:cs="Times New Roman" w:eastAsia="Times New Roman" w:hAnsi="Times New Roman"/>
          <w:b/>
          <w:bCs/>
          <w:sz w:val="22"/>
          <w:szCs w:val="22"/>
        </w:rPr>
        <w:t xml:space="preserve">Base de reglas.</w:t>
      </w:r>
      <w:r>
        <w:rPr>
          <w:rFonts w:ascii="Times New Roman" w:cs="Times New Roman" w:eastAsia="Times New Roman" w:hAnsi="Times New Roman"/>
          <w:sz w:val="22"/>
          <w:szCs w:val="22"/>
        </w:rPr>
        <w:t xml:space="preserve"> El operador Y se implementa con el mínimo. La salida es la capacidad de absorción CA ∈ [0, 1], con tres valores de consecuente: Baja = 0.20, Media = 0.50, Alta = 0.85.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800"/>
        <w:gridCol w:w="3638"/>
      </w:tblGrid>
      <w:tr>
        <w:trPr>
          <w:cantSplit/>
          <w:tblHeader/>
        </w:trPr>
        <w:tc>
          <w:tcPr>
            <w:tcW w:type="dxa" w:w="10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Regla</w:t>
            </w:r>
          </w:p>
        </w:tc>
        <w:tc>
          <w:tcPr>
            <w:tcW w:type="dxa" w:w="22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Si r es…</w:t>
            </w:r>
          </w:p>
        </w:tc>
        <w:tc>
          <w:tcPr>
            <w:tcW w:type="dxa" w:w="28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y E es…</w:t>
            </w:r>
          </w:p>
        </w:tc>
        <w:tc>
          <w:tcPr>
            <w:tcW w:type="dxa" w:w="36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entonces CA es…</w:t>
            </w:r>
          </w:p>
        </w:tc>
      </w:tr>
      <w:tr>
        <w:trPr>
          <w:cantSplit/>
        </w:trPr>
        <w:tc>
          <w:tcPr>
            <w:tcW w:type="dxa" w:w="10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RA1</w:t>
            </w:r>
          </w:p>
        </w:tc>
        <w:tc>
          <w:tcPr>
            <w:tcW w:type="dxa" w:w="2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Bajo</w:t>
            </w:r>
          </w:p>
        </w:tc>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Insuficiente</w:t>
            </w:r>
          </w:p>
        </w:tc>
        <w:tc>
          <w:tcPr>
            <w:tcW w:type="dxa" w:w="36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Media (0.50)</w:t>
            </w:r>
          </w:p>
        </w:tc>
      </w:tr>
      <w:tr>
        <w:trPr>
          <w:cantSplit/>
        </w:trPr>
        <w:tc>
          <w:tcPr>
            <w:tcW w:type="dxa" w:w="10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RA2</w:t>
            </w:r>
          </w:p>
        </w:tc>
        <w:tc>
          <w:tcPr>
            <w:tcW w:type="dxa" w:w="22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Bajo</w:t>
            </w:r>
          </w:p>
        </w:tc>
        <w:tc>
          <w:tcPr>
            <w:tcW w:type="dxa" w:w="2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Adecuada</w:t>
            </w:r>
          </w:p>
        </w:tc>
        <w:tc>
          <w:tcPr>
            <w:tcW w:type="dxa" w:w="36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Alta (0.85)</w:t>
            </w:r>
          </w:p>
        </w:tc>
      </w:tr>
      <w:tr>
        <w:trPr>
          <w:cantSplit/>
        </w:trPr>
        <w:tc>
          <w:tcPr>
            <w:tcW w:type="dxa" w:w="10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RA3</w:t>
            </w:r>
          </w:p>
        </w:tc>
        <w:tc>
          <w:tcPr>
            <w:tcW w:type="dxa" w:w="2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Medio</w:t>
            </w:r>
          </w:p>
        </w:tc>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Insuficiente</w:t>
            </w:r>
          </w:p>
        </w:tc>
        <w:tc>
          <w:tcPr>
            <w:tcW w:type="dxa" w:w="36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Baja (0.20)</w:t>
            </w:r>
          </w:p>
        </w:tc>
      </w:tr>
      <w:tr>
        <w:trPr>
          <w:cantSplit/>
        </w:trPr>
        <w:tc>
          <w:tcPr>
            <w:tcW w:type="dxa" w:w="10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RA4</w:t>
            </w:r>
          </w:p>
        </w:tc>
        <w:tc>
          <w:tcPr>
            <w:tcW w:type="dxa" w:w="22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Medio</w:t>
            </w:r>
          </w:p>
        </w:tc>
        <w:tc>
          <w:tcPr>
            <w:tcW w:type="dxa" w:w="2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Adecuada</w:t>
            </w:r>
          </w:p>
        </w:tc>
        <w:tc>
          <w:tcPr>
            <w:tcW w:type="dxa" w:w="36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Media (0.50)</w:t>
            </w:r>
          </w:p>
        </w:tc>
      </w:tr>
      <w:tr>
        <w:trPr>
          <w:cantSplit/>
        </w:trPr>
        <w:tc>
          <w:tcPr>
            <w:tcW w:type="dxa" w:w="10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RA5</w:t>
            </w:r>
          </w:p>
        </w:tc>
        <w:tc>
          <w:tcPr>
            <w:tcW w:type="dxa" w:w="2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Alto</w:t>
            </w:r>
          </w:p>
        </w:tc>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Insuficiente</w:t>
            </w:r>
          </w:p>
        </w:tc>
        <w:tc>
          <w:tcPr>
            <w:tcW w:type="dxa" w:w="36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Baja (0.20)</w:t>
            </w:r>
          </w:p>
        </w:tc>
      </w:tr>
      <w:tr>
        <w:trPr>
          <w:cantSplit/>
        </w:trPr>
        <w:tc>
          <w:tcPr>
            <w:tcW w:type="dxa" w:w="10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RA6</w:t>
            </w:r>
          </w:p>
        </w:tc>
        <w:tc>
          <w:tcPr>
            <w:tcW w:type="dxa" w:w="22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Alto</w:t>
            </w:r>
          </w:p>
        </w:tc>
        <w:tc>
          <w:tcPr>
            <w:tcW w:type="dxa" w:w="2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Adecuada</w:t>
            </w:r>
          </w:p>
        </w:tc>
        <w:tc>
          <w:tcPr>
            <w:tcW w:type="dxa" w:w="36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Media (0.50)</w:t>
            </w:r>
          </w:p>
        </w:tc>
      </w:tr>
    </w:tbl>
    <w:p>
      <w:pPr>
        <w:spacing w:after="100"/>
      </w:pPr>
    </w:p>
    <w:p>
      <w:pPr>
        <w:pBdr>
          <w:top w:val="single" w:color="C9DDE0" w:sz="4" w:space="4"/>
          <w:bottom w:val="single" w:color="C9DDE0" w:sz="4" w:space="4"/>
        </w:pBdr>
        <w:shd w:fill="EEF5F6" w:color="auto" w:val="clear"/>
        <w:spacing w:after="120" w:before="60"/>
        <w:jc w:val="center"/>
      </w:pPr>
      <w:r>
        <w:rPr>
          <w:rFonts w:ascii="Times New Roman" w:cs="Times New Roman" w:eastAsia="Times New Roman" w:hAnsi="Times New Roman"/>
          <w:sz w:val="22"/>
          <w:szCs w:val="22"/>
        </w:rPr>
        <w:t xml:space="preserve">CA = Σ</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z</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σ</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piso</w:t>
      </w:r>
      <w:r>
        <w:rPr>
          <w:rFonts w:ascii="Times New Roman" w:cs="Times New Roman" w:eastAsia="Times New Roman" w:hAnsi="Times New Roman"/>
          <w:sz w:val="22"/>
          <w:szCs w:val="22"/>
        </w:rPr>
        <w:t xml:space="preserve"> + a · CA</w:t>
      </w:r>
    </w:p>
    <w:p>
      <w:pPr>
        <w:spacing w:after="120" w:line="276"/>
        <w:jc w:val="both"/>
      </w:pPr>
      <w:r>
        <w:rPr>
          <w:rFonts w:ascii="Times New Roman" w:cs="Times New Roman" w:eastAsia="Times New Roman" w:hAnsi="Times New Roman"/>
          <w:sz w:val="22"/>
          <w:szCs w:val="22"/>
        </w:rPr>
        <w:t xml:space="preserve">donde w</w:t>
      </w:r>
      <w:r>
        <w:rPr>
          <w:rFonts w:ascii="Times New Roman" w:cs="Times New Roman" w:eastAsia="Times New Roman" w:hAnsi="Times New Roman"/>
          <w:sz w:val="22"/>
          <w:szCs w:val="22"/>
          <w:vertAlign w:val="subscript"/>
        </w:rPr>
        <w:t xml:space="preserve">k</w:t>
      </w:r>
      <w:r>
        <w:rPr>
          <w:rFonts w:ascii="Times New Roman" w:cs="Times New Roman" w:eastAsia="Times New Roman" w:hAnsi="Times New Roman"/>
          <w:sz w:val="22"/>
          <w:szCs w:val="22"/>
        </w:rPr>
        <w:t xml:space="preserve"> es el grado de activación de la regla k (mínimo de sus dos pertenencias), σ</w:t>
      </w:r>
      <w:r>
        <w:rPr>
          <w:rFonts w:ascii="Times New Roman" w:cs="Times New Roman" w:eastAsia="Times New Roman" w:hAnsi="Times New Roman"/>
          <w:sz w:val="22"/>
          <w:szCs w:val="22"/>
          <w:vertAlign w:val="subscript"/>
        </w:rPr>
        <w:t xml:space="preserve">piso</w:t>
      </w:r>
      <w:r>
        <w:rPr>
          <w:rFonts w:ascii="Times New Roman" w:cs="Times New Roman" w:eastAsia="Times New Roman" w:hAnsi="Times New Roman"/>
          <w:sz w:val="22"/>
          <w:szCs w:val="22"/>
        </w:rPr>
        <w:t xml:space="preserve"> = 3% y a = 13% son parámetros iniciales (Anexo C). La CA se traduce así en una </w:t>
      </w:r>
      <w:r>
        <w:rPr>
          <w:rFonts w:ascii="Times New Roman" w:cs="Times New Roman" w:eastAsia="Times New Roman" w:hAnsi="Times New Roman"/>
          <w:b/>
          <w:bCs/>
          <w:sz w:val="22"/>
          <w:szCs w:val="22"/>
        </w:rPr>
        <w:t xml:space="preserve">volatilidad máxima tolerable</w:t>
      </w:r>
      <w:r>
        <w:rPr>
          <w:rFonts w:ascii="Times New Roman" w:cs="Times New Roman" w:eastAsia="Times New Roman" w:hAnsi="Times New Roman"/>
          <w:sz w:val="22"/>
          <w:szCs w:val="22"/>
        </w:rPr>
        <w:t xml:space="preserve"> σ</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que entra en la función de aptitud como una penalización (sección 5.2).</w:t>
      </w:r>
    </w:p>
    <w:p>
      <w:pPr>
        <w:spacing w:after="120" w:line="276"/>
        <w:jc w:val="both"/>
      </w:pPr>
      <w:r>
        <w:rPr>
          <w:rFonts w:ascii="Times New Roman" w:cs="Times New Roman" w:eastAsia="Times New Roman" w:hAnsi="Times New Roman"/>
          <w:b/>
          <w:bCs/>
          <w:sz w:val="22"/>
          <w:szCs w:val="22"/>
        </w:rPr>
        <w:t xml:space="preserve">Ejemplo.</w:t>
      </w:r>
      <w:r>
        <w:rPr>
          <w:rFonts w:ascii="Times New Roman" w:cs="Times New Roman" w:eastAsia="Times New Roman" w:hAnsi="Times New Roman"/>
          <w:sz w:val="22"/>
          <w:szCs w:val="22"/>
        </w:rPr>
        <w:t xml:space="preserve"> Un usuario invierte S/ 5,000 de S/ 20,000 de ahorro (r = 0.25) y tiene un fondo de emergencia de 3 meses (E = 3). Pertenencias: r → Bajo = 0.75, Medio = 0.167, Alto = 0; E → Insuficiente = 0.333, Adecuada = 0.25. Activaciones: RA1 = min(0.75, 0.333) = 0.333; RA2 = min(0.75, 0.25) = 0.25; RA3 = min(0.167, 0.333) = 0.167; RA4 = min(0.167, 0.25) = 0.167; RA5 y RA6 = 0. Entonces CA = (0.333·0.5 + 0.25·0.85 + 0.167·0.2 + 0.167·0.5) / 0.917 ≈ 0.54 y σ</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 3% + 13% · 0.54 ≈ 10.0%.</w:t>
      </w:r>
    </w:p>
    <w:p>
      <w:pPr>
        <w:pBdr>
          <w:left w:val="single" w:color="1B6B73" w:sz="24" w:space="8"/>
        </w:pBdr>
        <w:shd w:fill="F3F8F8" w:color="auto" w:val="clear"/>
        <w:spacing w:after="140" w:before="60" w:line="270"/>
        <w:ind w:left="200" w:right="100"/>
        <w:jc w:val="both"/>
      </w:pPr>
      <w:r>
        <w:rPr>
          <w:rFonts w:ascii="Times New Roman" w:cs="Times New Roman" w:eastAsia="Times New Roman" w:hAnsi="Times New Roman"/>
          <w:b/>
          <w:bCs/>
          <w:sz w:val="21"/>
          <w:szCs w:val="21"/>
        </w:rPr>
        <w:t xml:space="preserve">Nota de diseño.</w:t>
      </w:r>
      <w:r>
        <w:rPr>
          <w:rFonts w:ascii="Times New Roman" w:cs="Times New Roman" w:eastAsia="Times New Roman" w:hAnsi="Times New Roman"/>
          <w:sz w:val="21"/>
          <w:szCs w:val="21"/>
        </w:rPr>
        <w:t xml:space="preserve"> La penalización por σ</w:t>
      </w:r>
      <w:r>
        <w:rPr>
          <w:rFonts w:ascii="Times New Roman" w:cs="Times New Roman" w:eastAsia="Times New Roman" w:hAnsi="Times New Roman"/>
          <w:sz w:val="21"/>
          <w:szCs w:val="21"/>
          <w:vertAlign w:val="subscript"/>
        </w:rPr>
        <w:t xml:space="preserve">max</w:t>
      </w:r>
      <w:r>
        <w:rPr>
          <w:rFonts w:ascii="Times New Roman" w:cs="Times New Roman" w:eastAsia="Times New Roman" w:hAnsi="Times New Roman"/>
          <w:sz w:val="21"/>
          <w:szCs w:val="21"/>
        </w:rPr>
        <w:t xml:space="preserve"> solo se activa cuando λ</w:t>
      </w:r>
      <w:r>
        <w:rPr>
          <w:rFonts w:ascii="Times New Roman" w:cs="Times New Roman" w:eastAsia="Times New Roman" w:hAnsi="Times New Roman"/>
          <w:sz w:val="21"/>
          <w:szCs w:val="21"/>
          <w:vertAlign w:val="subscript"/>
        </w:rPr>
        <w:t xml:space="preserve">ef</w:t>
      </w:r>
      <w:r>
        <w:rPr>
          <w:rFonts w:ascii="Times New Roman" w:cs="Times New Roman" w:eastAsia="Times New Roman" w:hAnsi="Times New Roman"/>
          <w:sz w:val="21"/>
          <w:szCs w:val="21"/>
        </w:rPr>
        <w:t xml:space="preserve"> por sí solo no alcanza para contener la volatilidad del portafolio, lo cual ocurre sobre todo en perfiles con λ bajo. En perfiles muy conservadores el efecto de la capacidad de absorción será pequeño. Este comportamiento debe verificarse en las pruebas de ablación (sección 9.2).</w:t>
      </w:r>
    </w:p>
    <w:p>
      <w:pPr>
        <w:pStyle w:val="Heading2"/>
        <w:keepNext/>
      </w:pPr>
      <w:r>
        <w:rPr>
          <w:rFonts w:ascii="Times New Roman" w:cs="Times New Roman" w:eastAsia="Times New Roman" w:hAnsi="Times New Roman"/>
        </w:rPr>
        <w:t xml:space="preserve">4.6. Módulo 5 — Reglas de Contexto (factores ambientales)</w:t>
      </w:r>
    </w:p>
    <w:p>
      <w:pPr>
        <w:spacing w:after="120" w:line="276"/>
        <w:jc w:val="both"/>
      </w:pPr>
      <w:r>
        <w:rPr>
          <w:rFonts w:ascii="Times New Roman" w:cs="Times New Roman" w:eastAsia="Times New Roman" w:hAnsi="Times New Roman"/>
          <w:b/>
          <w:bCs/>
          <w:sz w:val="22"/>
          <w:szCs w:val="22"/>
        </w:rPr>
        <w:t xml:space="preserve">Responsabilidad:</w:t>
      </w:r>
      <w:r>
        <w:rPr>
          <w:rFonts w:ascii="Times New Roman" w:cs="Times New Roman" w:eastAsia="Times New Roman" w:hAnsi="Times New Roman"/>
          <w:sz w:val="22"/>
          <w:szCs w:val="22"/>
        </w:rPr>
        <w:t xml:space="preserve"> incorporar, dentro de la función de aptitud, factores del entorno que los promedios históricos no capturan por sí solos. Los factores no reemplazan a los datos históricos: los ajustan de forma </w:t>
      </w:r>
      <w:r>
        <w:rPr>
          <w:rFonts w:ascii="Times New Roman" w:cs="Times New Roman" w:eastAsia="Times New Roman" w:hAnsi="Times New Roman"/>
          <w:b/>
          <w:bCs/>
          <w:sz w:val="22"/>
          <w:szCs w:val="22"/>
        </w:rPr>
        <w:t xml:space="preserve">acotada, transparente y neutral por defecto</w:t>
      </w:r>
      <w:r>
        <w:rPr>
          <w:rFonts w:ascii="Times New Roman" w:cs="Times New Roman" w:eastAsia="Times New Roman" w:hAnsi="Times New Roman"/>
          <w:sz w:val="22"/>
          <w:szCs w:val="22"/>
        </w:rPr>
        <w:t xml:space="preserve">.</w:t>
      </w:r>
    </w:p>
    <w:p>
      <w:pPr>
        <w:pStyle w:val="Heading3"/>
        <w:keepNext/>
      </w:pPr>
      <w:r>
        <w:rPr>
          <w:rFonts w:ascii="Times New Roman" w:cs="Times New Roman" w:eastAsia="Times New Roman" w:hAnsi="Times New Roman"/>
        </w:rPr>
        <w:t xml:space="preserve">4.6.1. Factores considerados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300"/>
        <w:gridCol w:w="3038"/>
        <w:gridCol w:w="1700"/>
      </w:tblGrid>
      <w:tr>
        <w:trPr>
          <w:cantSplit/>
          <w:tblHeader/>
        </w:trPr>
        <w:tc>
          <w:tcPr>
            <w:tcW w:type="dxa" w:w="25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Factor</w:t>
            </w:r>
          </w:p>
        </w:tc>
        <w:tc>
          <w:tcPr>
            <w:tcW w:type="dxa" w:w="11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Símbolo</w:t>
            </w:r>
          </w:p>
        </w:tc>
        <w:tc>
          <w:tcPr>
            <w:tcW w:type="dxa" w:w="13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Alcance</w:t>
            </w:r>
          </w:p>
        </w:tc>
        <w:tc>
          <w:tcPr>
            <w:tcW w:type="dxa" w:w="30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Rango y valor por defecto</w:t>
            </w:r>
          </w:p>
        </w:tc>
        <w:tc>
          <w:tcPr>
            <w:tcW w:type="dxa" w:w="17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Origen del valor</w:t>
            </w:r>
          </w:p>
        </w:tc>
      </w:tr>
      <w:tr>
        <w:trPr>
          <w:cantSplit/>
        </w:trPr>
        <w:tc>
          <w:tcPr>
            <w:tcW w:type="dxa" w:w="25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Precedente estructural de la categoría</w:t>
            </w:r>
          </w:p>
        </w:tc>
        <w:tc>
          <w:tcPr>
            <w:tcW w:type="dxa" w:w="11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vertAlign w:val="subscript"/>
              </w:rPr>
              <w:t xml:space="preserve">i</w:t>
            </w:r>
          </w:p>
        </w:tc>
        <w:tc>
          <w:tcPr>
            <w:tcW w:type="dxa" w:w="1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Por categoría</w:t>
            </w:r>
          </w:p>
        </w:tc>
        <w:tc>
          <w:tcPr>
            <w:tcW w:type="dxa" w:w="30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Ajuste fijo en puntos porcentuales; valor por defecto propio de cada categoría (Anexo C)</w:t>
            </w:r>
          </w:p>
        </w:tc>
        <w:tc>
          <w:tcPr>
            <w:tcW w:type="dxa" w:w="17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Tabla de parámetros</w:t>
            </w:r>
          </w:p>
        </w:tc>
      </w:tr>
      <w:tr>
        <w:trPr>
          <w:cantSplit/>
        </w:trPr>
        <w:tc>
          <w:tcPr>
            <w:tcW w:type="dxa" w:w="25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Panorama político</w:t>
            </w:r>
          </w:p>
        </w:tc>
        <w:tc>
          <w:tcPr>
            <w:tcW w:type="dxa" w:w="11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vertAlign w:val="subscript"/>
              </w:rPr>
              <w:t xml:space="preserve">pol</w:t>
            </w:r>
          </w:p>
        </w:tc>
        <w:tc>
          <w:tcPr>
            <w:tcW w:type="dxa" w:w="1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Global</w:t>
            </w:r>
          </w:p>
        </w:tc>
        <w:tc>
          <w:tcPr>
            <w:tcW w:type="dxa" w:w="30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 +1]; por defecto 0 (neutral)</w:t>
            </w:r>
          </w:p>
        </w:tc>
        <w:tc>
          <w:tcPr>
            <w:tcW w:type="dxa" w:w="17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Panel configurable</w:t>
            </w:r>
          </w:p>
        </w:tc>
      </w:tr>
      <w:tr>
        <w:trPr>
          <w:cantSplit/>
        </w:trPr>
        <w:tc>
          <w:tcPr>
            <w:tcW w:type="dxa" w:w="25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Estabilidad macroeconómica (inflación, tasas)</w:t>
            </w:r>
          </w:p>
        </w:tc>
        <w:tc>
          <w:tcPr>
            <w:tcW w:type="dxa" w:w="11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vertAlign w:val="subscript"/>
              </w:rPr>
              <w:t xml:space="preserve">mac</w:t>
            </w:r>
          </w:p>
        </w:tc>
        <w:tc>
          <w:tcPr>
            <w:tcW w:type="dxa" w:w="1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Global</w:t>
            </w:r>
          </w:p>
        </w:tc>
        <w:tc>
          <w:tcPr>
            <w:tcW w:type="dxa" w:w="30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 +1]; por defecto 0 (neutral)</w:t>
            </w:r>
          </w:p>
        </w:tc>
        <w:tc>
          <w:tcPr>
            <w:tcW w:type="dxa" w:w="17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Panel configurable</w:t>
            </w:r>
          </w:p>
        </w:tc>
      </w:tr>
      <w:tr>
        <w:trPr>
          <w:cantSplit/>
        </w:trPr>
        <w:tc>
          <w:tcPr>
            <w:tcW w:type="dxa" w:w="25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Tendencia reciente de la categoría</w:t>
            </w:r>
          </w:p>
        </w:tc>
        <w:tc>
          <w:tcPr>
            <w:tcW w:type="dxa" w:w="11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vertAlign w:val="subscript"/>
              </w:rPr>
              <w:t xml:space="preserve">tend,i</w:t>
            </w:r>
          </w:p>
        </w:tc>
        <w:tc>
          <w:tcPr>
            <w:tcW w:type="dxa" w:w="1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Por categoría</w:t>
            </w:r>
          </w:p>
        </w:tc>
        <w:tc>
          <w:tcPr>
            <w:tcW w:type="dxa" w:w="30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 +1]; por defecto 0 (neutral)</w:t>
            </w:r>
          </w:p>
        </w:tc>
        <w:tc>
          <w:tcPr>
            <w:tcW w:type="dxa" w:w="17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Módulo bayesiano (4.3)</w:t>
            </w:r>
          </w:p>
        </w:tc>
      </w:tr>
    </w:tbl>
    <w:p>
      <w:pPr>
        <w:spacing w:after="100"/>
      </w:pPr>
    </w:p>
    <w:p>
      <w:pPr>
        <w:spacing w:after="120" w:line="276"/>
        <w:jc w:val="both"/>
      </w:pPr>
      <w:r>
        <w:rPr>
          <w:rFonts w:ascii="Times New Roman" w:cs="Times New Roman" w:eastAsia="Times New Roman" w:hAnsi="Times New Roman"/>
          <w:sz w:val="22"/>
          <w:szCs w:val="22"/>
        </w:rPr>
        <w:t xml:space="preserve">Para los factores globales, −1 significa condiciones adversas, 0 neutrales y +1 favorables. En la interfaz se muestran como un selector de tres posiciones (Adverso / Neutral / Favorable) con ajuste intermedio opcional, siempre visible y en Neutral al iniciar. El conjunto de factores es extensible: agregar uno nuevo solo requiere una columna de sensibilidades en el Anexo C.</w:t>
      </w:r>
    </w:p>
    <w:p>
      <w:pPr>
        <w:pStyle w:val="Heading3"/>
        <w:keepNext/>
      </w:pPr>
      <w:r>
        <w:rPr>
          <w:rFonts w:ascii="Times New Roman" w:cs="Times New Roman" w:eastAsia="Times New Roman" w:hAnsi="Times New Roman"/>
        </w:rPr>
        <w:t xml:space="preserve">4.6.2. Reglas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5738"/>
      </w:tblGrid>
      <w:tr>
        <w:trPr>
          <w:cantSplit/>
          <w:tblHeader/>
        </w:trPr>
        <w:tc>
          <w:tcPr>
            <w:tcW w:type="dxa" w:w="8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Regla</w:t>
            </w:r>
          </w:p>
        </w:tc>
        <w:tc>
          <w:tcPr>
            <w:tcW w:type="dxa" w:w="31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Condición</w:t>
            </w:r>
          </w:p>
        </w:tc>
        <w:tc>
          <w:tcPr>
            <w:tcW w:type="dxa" w:w="57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Efecto sobre la función de aptitud</w:t>
            </w:r>
          </w:p>
        </w:tc>
      </w:tr>
      <w:tr>
        <w:trPr>
          <w:cantSplit/>
        </w:trPr>
        <w:tc>
          <w:tcPr>
            <w:tcW w:type="dxa" w:w="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RC1</w:t>
            </w:r>
          </w:p>
        </w:tc>
        <w:tc>
          <w:tcPr>
            <w:tcW w:type="dxa" w:w="31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Un factor global no fue informado</w:t>
            </w:r>
          </w:p>
        </w:tc>
        <w:tc>
          <w:tcPr>
            <w:tcW w:type="dxa" w:w="5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Se asume s = 0 (neutral): no genera ningún ajuste.</w:t>
            </w:r>
          </w:p>
        </w:tc>
      </w:tr>
      <w:tr>
        <w:trPr>
          <w:cantSplit/>
        </w:trPr>
        <w:tc>
          <w:tcPr>
            <w:tcW w:type="dxa" w:w="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RC2</w:t>
            </w:r>
          </w:p>
        </w:tc>
        <w:tc>
          <w:tcPr>
            <w:tcW w:type="dxa" w:w="31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Siempre</w:t>
            </w:r>
          </w:p>
        </w:tc>
        <w:tc>
          <w:tcPr>
            <w:tcW w:type="dxa" w:w="5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Cada categoría suma su valor por defecto b</w:t>
            </w:r>
            <w:r>
              <w:rPr>
                <w:rFonts w:ascii="Times New Roman" w:cs="Times New Roman" w:eastAsia="Times New Roman" w:hAnsi="Times New Roman"/>
                <w:b w:val="false"/>
                <w:bCs w:val="false"/>
                <w:sz w:val="19"/>
                <w:szCs w:val="19"/>
                <w:vertAlign w:val="subscript"/>
              </w:rPr>
              <w:t xml:space="preserve">i</w:t>
            </w:r>
            <w:r>
              <w:rPr>
                <w:rFonts w:ascii="Times New Roman" w:cs="Times New Roman" w:eastAsia="Times New Roman" w:hAnsi="Times New Roman"/>
                <w:b w:val="false"/>
                <w:bCs w:val="false"/>
                <w:sz w:val="19"/>
                <w:szCs w:val="19"/>
              </w:rPr>
              <w:t xml:space="preserve"> (precedente estructural) al ajuste de retorno c</w:t>
            </w:r>
            <w:r>
              <w:rPr>
                <w:rFonts w:ascii="Times New Roman" w:cs="Times New Roman" w:eastAsia="Times New Roman" w:hAnsi="Times New Roman"/>
                <w:b w:val="false"/>
                <w:bCs w:val="false"/>
                <w:sz w:val="19"/>
                <w:szCs w:val="19"/>
                <w:vertAlign w:val="subscript"/>
              </w:rPr>
              <w:t xml:space="preserve">i</w:t>
            </w:r>
            <w:r>
              <w:rPr>
                <w:rFonts w:ascii="Times New Roman" w:cs="Times New Roman" w:eastAsia="Times New Roman" w:hAnsi="Times New Roman"/>
                <w:b w:val="false"/>
                <w:bCs w:val="false"/>
                <w:sz w:val="19"/>
                <w:szCs w:val="19"/>
              </w:rPr>
              <w:t xml:space="preserve">.</w:t>
            </w:r>
          </w:p>
        </w:tc>
      </w:tr>
      <w:tr>
        <w:trPr>
          <w:cantSplit/>
        </w:trPr>
        <w:tc>
          <w:tcPr>
            <w:tcW w:type="dxa" w:w="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RC3</w:t>
            </w:r>
          </w:p>
        </w:tc>
        <w:tc>
          <w:tcPr>
            <w:tcW w:type="dxa" w:w="31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vertAlign w:val="subscript"/>
              </w:rPr>
              <w:t xml:space="preserve">pol</w:t>
            </w:r>
            <w:r>
              <w:rPr>
                <w:rFonts w:ascii="Times New Roman" w:cs="Times New Roman" w:eastAsia="Times New Roman" w:hAnsi="Times New Roman"/>
                <w:b w:val="false"/>
                <w:bCs w:val="false"/>
                <w:sz w:val="19"/>
                <w:szCs w:val="19"/>
              </w:rPr>
              <w:t xml:space="preserve"> &lt; 0 (panorama político adverso)</w:t>
            </w:r>
          </w:p>
        </w:tc>
        <w:tc>
          <w:tcPr>
            <w:tcW w:type="dxa" w:w="5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El retorno esperado de cada categoría baja en β</w:t>
            </w:r>
            <w:r>
              <w:rPr>
                <w:rFonts w:ascii="Times New Roman" w:cs="Times New Roman" w:eastAsia="Times New Roman" w:hAnsi="Times New Roman"/>
                <w:b w:val="false"/>
                <w:bCs w:val="false"/>
                <w:sz w:val="19"/>
                <w:szCs w:val="19"/>
                <w:vertAlign w:val="subscript"/>
              </w:rPr>
              <w:t xml:space="preserve">pol,i</w:t>
            </w: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vertAlign w:val="subscript"/>
              </w:rPr>
              <w:t xml:space="preserve">pol</w:t>
            </w:r>
            <w:r>
              <w:rPr>
                <w:rFonts w:ascii="Times New Roman" w:cs="Times New Roman" w:eastAsia="Times New Roman" w:hAnsi="Times New Roman"/>
                <w:b w:val="false"/>
                <w:bCs w:val="false"/>
                <w:sz w:val="19"/>
                <w:szCs w:val="19"/>
              </w:rPr>
              <w:t xml:space="preserve">| y su riesgo sube en un factor γ</w:t>
            </w:r>
            <w:r>
              <w:rPr>
                <w:rFonts w:ascii="Times New Roman" w:cs="Times New Roman" w:eastAsia="Times New Roman" w:hAnsi="Times New Roman"/>
                <w:b w:val="false"/>
                <w:bCs w:val="false"/>
                <w:sz w:val="19"/>
                <w:szCs w:val="19"/>
                <w:vertAlign w:val="subscript"/>
              </w:rPr>
              <w:t xml:space="preserve">pol,i</w:t>
            </w: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vertAlign w:val="subscript"/>
              </w:rPr>
              <w:t xml:space="preserve">pol</w:t>
            </w:r>
            <w:r>
              <w:rPr>
                <w:rFonts w:ascii="Times New Roman" w:cs="Times New Roman" w:eastAsia="Times New Roman" w:hAnsi="Times New Roman"/>
                <w:b w:val="false"/>
                <w:bCs w:val="false"/>
                <w:sz w:val="19"/>
                <w:szCs w:val="19"/>
              </w:rPr>
              <w:t xml:space="preserve">|; el efecto es mayor en renta variable.</w:t>
            </w:r>
          </w:p>
        </w:tc>
      </w:tr>
      <w:tr>
        <w:trPr>
          <w:cantSplit/>
        </w:trPr>
        <w:tc>
          <w:tcPr>
            <w:tcW w:type="dxa" w:w="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RC4</w:t>
            </w:r>
          </w:p>
        </w:tc>
        <w:tc>
          <w:tcPr>
            <w:tcW w:type="dxa" w:w="31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vertAlign w:val="subscript"/>
              </w:rPr>
              <w:t xml:space="preserve">pol</w:t>
            </w:r>
            <w:r>
              <w:rPr>
                <w:rFonts w:ascii="Times New Roman" w:cs="Times New Roman" w:eastAsia="Times New Roman" w:hAnsi="Times New Roman"/>
                <w:b w:val="false"/>
                <w:bCs w:val="false"/>
                <w:sz w:val="19"/>
                <w:szCs w:val="19"/>
              </w:rPr>
              <w:t xml:space="preserve"> &gt; 0 (panorama político favorable)</w:t>
            </w:r>
          </w:p>
        </w:tc>
        <w:tc>
          <w:tcPr>
            <w:tcW w:type="dxa" w:w="5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El retorno sube en β</w:t>
            </w:r>
            <w:r>
              <w:rPr>
                <w:rFonts w:ascii="Times New Roman" w:cs="Times New Roman" w:eastAsia="Times New Roman" w:hAnsi="Times New Roman"/>
                <w:b w:val="false"/>
                <w:bCs w:val="false"/>
                <w:sz w:val="19"/>
                <w:szCs w:val="19"/>
                <w:vertAlign w:val="subscript"/>
              </w:rPr>
              <w:t xml:space="preserve">pol,i</w:t>
            </w: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vertAlign w:val="subscript"/>
              </w:rPr>
              <w:t xml:space="preserve">pol</w:t>
            </w:r>
            <w:r>
              <w:rPr>
                <w:rFonts w:ascii="Times New Roman" w:cs="Times New Roman" w:eastAsia="Times New Roman" w:hAnsi="Times New Roman"/>
                <w:b w:val="false"/>
                <w:bCs w:val="false"/>
                <w:sz w:val="19"/>
                <w:szCs w:val="19"/>
              </w:rPr>
              <w:t xml:space="preserve">; el riesgo no se reduce (asimetría prudente).</w:t>
            </w:r>
          </w:p>
        </w:tc>
      </w:tr>
      <w:tr>
        <w:trPr>
          <w:cantSplit/>
        </w:trPr>
        <w:tc>
          <w:tcPr>
            <w:tcW w:type="dxa" w:w="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RC5</w:t>
            </w:r>
          </w:p>
        </w:tc>
        <w:tc>
          <w:tcPr>
            <w:tcW w:type="dxa" w:w="31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vertAlign w:val="subscript"/>
              </w:rPr>
              <w:t xml:space="preserve">mac</w:t>
            </w:r>
            <w:r>
              <w:rPr>
                <w:rFonts w:ascii="Times New Roman" w:cs="Times New Roman" w:eastAsia="Times New Roman" w:hAnsi="Times New Roman"/>
                <w:b w:val="false"/>
                <w:bCs w:val="false"/>
                <w:sz w:val="19"/>
                <w:szCs w:val="19"/>
              </w:rPr>
              <w:t xml:space="preserve"> ≠ 0 (estabilidad macroeconómica)</w:t>
            </w:r>
          </w:p>
        </w:tc>
        <w:tc>
          <w:tcPr>
            <w:tcW w:type="dxa" w:w="5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Si es adverso, baja el retorno en β</w:t>
            </w:r>
            <w:r>
              <w:rPr>
                <w:rFonts w:ascii="Times New Roman" w:cs="Times New Roman" w:eastAsia="Times New Roman" w:hAnsi="Times New Roman"/>
                <w:b w:val="false"/>
                <w:bCs w:val="false"/>
                <w:sz w:val="19"/>
                <w:szCs w:val="19"/>
                <w:vertAlign w:val="subscript"/>
              </w:rPr>
              <w:t xml:space="preserve">mac,i</w:t>
            </w: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vertAlign w:val="subscript"/>
              </w:rPr>
              <w:t xml:space="preserve">mac</w:t>
            </w:r>
            <w:r>
              <w:rPr>
                <w:rFonts w:ascii="Times New Roman" w:cs="Times New Roman" w:eastAsia="Times New Roman" w:hAnsi="Times New Roman"/>
                <w:b w:val="false"/>
                <w:bCs w:val="false"/>
                <w:sz w:val="19"/>
                <w:szCs w:val="19"/>
              </w:rPr>
              <w:t xml:space="preserve">| y sube el riesgo en γ</w:t>
            </w:r>
            <w:r>
              <w:rPr>
                <w:rFonts w:ascii="Times New Roman" w:cs="Times New Roman" w:eastAsia="Times New Roman" w:hAnsi="Times New Roman"/>
                <w:b w:val="false"/>
                <w:bCs w:val="false"/>
                <w:sz w:val="19"/>
                <w:szCs w:val="19"/>
                <w:vertAlign w:val="subscript"/>
              </w:rPr>
              <w:t xml:space="preserve">mac,i</w:t>
            </w: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vertAlign w:val="subscript"/>
              </w:rPr>
              <w:t xml:space="preserve">mac</w:t>
            </w:r>
            <w:r>
              <w:rPr>
                <w:rFonts w:ascii="Times New Roman" w:cs="Times New Roman" w:eastAsia="Times New Roman" w:hAnsi="Times New Roman"/>
                <w:b w:val="false"/>
                <w:bCs w:val="false"/>
                <w:sz w:val="19"/>
                <w:szCs w:val="19"/>
              </w:rPr>
              <w:t xml:space="preserve">|; si es favorable, solo sube el retorno en β</w:t>
            </w:r>
            <w:r>
              <w:rPr>
                <w:rFonts w:ascii="Times New Roman" w:cs="Times New Roman" w:eastAsia="Times New Roman" w:hAnsi="Times New Roman"/>
                <w:b w:val="false"/>
                <w:bCs w:val="false"/>
                <w:sz w:val="19"/>
                <w:szCs w:val="19"/>
                <w:vertAlign w:val="subscript"/>
              </w:rPr>
              <w:t xml:space="preserve">mac,i</w:t>
            </w: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vertAlign w:val="subscript"/>
              </w:rPr>
              <w:t xml:space="preserve">mac</w:t>
            </w:r>
            <w:r>
              <w:rPr>
                <w:rFonts w:ascii="Times New Roman" w:cs="Times New Roman" w:eastAsia="Times New Roman" w:hAnsi="Times New Roman"/>
                <w:b w:val="false"/>
                <w:bCs w:val="false"/>
                <w:sz w:val="19"/>
                <w:szCs w:val="19"/>
              </w:rPr>
              <w:t xml:space="preserve">.</w:t>
            </w:r>
          </w:p>
        </w:tc>
      </w:tr>
      <w:tr>
        <w:trPr>
          <w:cantSplit/>
        </w:trPr>
        <w:tc>
          <w:tcPr>
            <w:tcW w:type="dxa" w:w="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RC6</w:t>
            </w:r>
          </w:p>
        </w:tc>
        <w:tc>
          <w:tcPr>
            <w:tcW w:type="dxa" w:w="31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vertAlign w:val="subscript"/>
              </w:rPr>
              <w:t xml:space="preserve">tend,i</w:t>
            </w:r>
            <w:r>
              <w:rPr>
                <w:rFonts w:ascii="Times New Roman" w:cs="Times New Roman" w:eastAsia="Times New Roman" w:hAnsi="Times New Roman"/>
                <w:b w:val="false"/>
                <w:bCs w:val="false"/>
                <w:sz w:val="19"/>
                <w:szCs w:val="19"/>
              </w:rPr>
              <w:t xml:space="preserve"> ≠ 0 (tendencia de la categoría)</w:t>
            </w:r>
          </w:p>
        </w:tc>
        <w:tc>
          <w:tcPr>
            <w:tcW w:type="dxa" w:w="5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El retorno de esa categoría se ajusta en β</w:t>
            </w:r>
            <w:r>
              <w:rPr>
                <w:rFonts w:ascii="Times New Roman" w:cs="Times New Roman" w:eastAsia="Times New Roman" w:hAnsi="Times New Roman"/>
                <w:b w:val="false"/>
                <w:bCs w:val="false"/>
                <w:sz w:val="19"/>
                <w:szCs w:val="19"/>
                <w:vertAlign w:val="subscript"/>
              </w:rPr>
              <w:t xml:space="preserve">tend</w:t>
            </w:r>
            <w:r>
              <w:rPr>
                <w:rFonts w:ascii="Times New Roman" w:cs="Times New Roman" w:eastAsia="Times New Roman" w:hAnsi="Times New Roman"/>
                <w:b w:val="false"/>
                <w:bCs w:val="false"/>
                <w:sz w:val="19"/>
                <w:szCs w:val="19"/>
              </w:rPr>
              <w:t xml:space="preserve">·s</w:t>
            </w:r>
            <w:r>
              <w:rPr>
                <w:rFonts w:ascii="Times New Roman" w:cs="Times New Roman" w:eastAsia="Times New Roman" w:hAnsi="Times New Roman"/>
                <w:b w:val="false"/>
                <w:bCs w:val="false"/>
                <w:sz w:val="19"/>
                <w:szCs w:val="19"/>
                <w:vertAlign w:val="subscript"/>
              </w:rPr>
              <w:t xml:space="preserve">tend,i</w:t>
            </w:r>
            <w:r>
              <w:rPr>
                <w:rFonts w:ascii="Times New Roman" w:cs="Times New Roman" w:eastAsia="Times New Roman" w:hAnsi="Times New Roman"/>
                <w:b w:val="false"/>
                <w:bCs w:val="false"/>
                <w:sz w:val="19"/>
                <w:szCs w:val="19"/>
              </w:rPr>
              <w:t xml:space="preserve">: sube si viene rindiendo sobre su promedio y baja si rinde por debajo.</w:t>
            </w:r>
          </w:p>
        </w:tc>
      </w:tr>
      <w:tr>
        <w:trPr>
          <w:cantSplit/>
        </w:trPr>
        <w:tc>
          <w:tcPr>
            <w:tcW w:type="dxa" w:w="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RC7</w:t>
            </w:r>
          </w:p>
        </w:tc>
        <w:tc>
          <w:tcPr>
            <w:tcW w:type="dxa" w:w="31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vertAlign w:val="subscript"/>
              </w:rPr>
              <w:t xml:space="preserve">i</w:t>
            </w:r>
            <w:r>
              <w:rPr>
                <w:rFonts w:ascii="Times New Roman" w:cs="Times New Roman" w:eastAsia="Times New Roman" w:hAnsi="Times New Roman"/>
                <w:b w:val="false"/>
                <w:bCs w:val="false"/>
                <w:sz w:val="19"/>
                <w:szCs w:val="19"/>
              </w:rPr>
              <w:t xml:space="preserve">| supera c</w:t>
            </w:r>
            <w:r>
              <w:rPr>
                <w:rFonts w:ascii="Times New Roman" w:cs="Times New Roman" w:eastAsia="Times New Roman" w:hAnsi="Times New Roman"/>
                <w:b w:val="false"/>
                <w:bCs w:val="false"/>
                <w:sz w:val="19"/>
                <w:szCs w:val="19"/>
                <w:vertAlign w:val="subscript"/>
              </w:rPr>
              <w:t xml:space="preserve">max</w:t>
            </w:r>
          </w:p>
        </w:tc>
        <w:tc>
          <w:tcPr>
            <w:tcW w:type="dxa" w:w="5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El ajuste se recorta a ±c</w:t>
            </w:r>
            <w:r>
              <w:rPr>
                <w:rFonts w:ascii="Times New Roman" w:cs="Times New Roman" w:eastAsia="Times New Roman" w:hAnsi="Times New Roman"/>
                <w:b w:val="false"/>
                <w:bCs w:val="false"/>
                <w:sz w:val="19"/>
                <w:szCs w:val="19"/>
                <w:vertAlign w:val="subscript"/>
              </w:rPr>
              <w:t xml:space="preserve">max</w:t>
            </w:r>
            <w:r>
              <w:rPr>
                <w:rFonts w:ascii="Times New Roman" w:cs="Times New Roman" w:eastAsia="Times New Roman" w:hAnsi="Times New Roman"/>
                <w:b w:val="false"/>
                <w:bCs w:val="false"/>
                <w:sz w:val="19"/>
                <w:szCs w:val="19"/>
              </w:rPr>
              <w:t xml:space="preserve"> (tope de influencia), para que el contexto nunca domine a los datos históricos.</w:t>
            </w:r>
          </w:p>
        </w:tc>
      </w:tr>
    </w:tbl>
    <w:p>
      <w:pPr>
        <w:spacing w:after="100"/>
      </w:pPr>
    </w:p>
    <w:p>
      <w:pPr>
        <w:pStyle w:val="Heading3"/>
        <w:keepNext/>
      </w:pPr>
      <w:r>
        <w:rPr>
          <w:rFonts w:ascii="Times New Roman" w:cs="Times New Roman" w:eastAsia="Times New Roman" w:hAnsi="Times New Roman"/>
        </w:rPr>
        <w:t xml:space="preserve">4.6.3. Fórmulas</w:t>
      </w:r>
    </w:p>
    <w:p>
      <w:pPr>
        <w:spacing w:after="120" w:line="276"/>
        <w:jc w:val="both"/>
      </w:pPr>
      <w:r>
        <w:rPr>
          <w:rFonts w:ascii="Times New Roman" w:cs="Times New Roman" w:eastAsia="Times New Roman" w:hAnsi="Times New Roman"/>
          <w:sz w:val="22"/>
          <w:szCs w:val="22"/>
        </w:rPr>
        <w:t xml:space="preserve">Todos los valores se expresan en decimales (12.2% = 0.122). El apóstrofo (′) indica un valor ajustado por el contexto.</w:t>
      </w:r>
    </w:p>
    <w:p>
      <w:pPr>
        <w:pBdr>
          <w:top w:val="single" w:color="C9DDE0" w:sz="4" w:space="4"/>
          <w:bottom w:val="single" w:color="C9DDE0" w:sz="4" w:space="4"/>
        </w:pBdr>
        <w:shd w:fill="EEF5F6" w:color="auto" w:val="clear"/>
        <w:spacing w:after="120" w:before="60"/>
        <w:jc w:val="center"/>
      </w:pP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clip( b</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β</w:t>
      </w:r>
      <w:r>
        <w:rPr>
          <w:rFonts w:ascii="Times New Roman" w:cs="Times New Roman" w:eastAsia="Times New Roman" w:hAnsi="Times New Roman"/>
          <w:sz w:val="22"/>
          <w:szCs w:val="22"/>
          <w:vertAlign w:val="subscript"/>
        </w:rPr>
        <w:t xml:space="preserve">pol,i</w:t>
      </w: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vertAlign w:val="subscript"/>
        </w:rPr>
        <w:t xml:space="preserve">pol</w:t>
      </w:r>
      <w:r>
        <w:rPr>
          <w:rFonts w:ascii="Times New Roman" w:cs="Times New Roman" w:eastAsia="Times New Roman" w:hAnsi="Times New Roman"/>
          <w:sz w:val="22"/>
          <w:szCs w:val="22"/>
        </w:rPr>
        <w:t xml:space="preserve"> + β</w:t>
      </w:r>
      <w:r>
        <w:rPr>
          <w:rFonts w:ascii="Times New Roman" w:cs="Times New Roman" w:eastAsia="Times New Roman" w:hAnsi="Times New Roman"/>
          <w:sz w:val="22"/>
          <w:szCs w:val="22"/>
          <w:vertAlign w:val="subscript"/>
        </w:rPr>
        <w:t xml:space="preserve">mac,i</w:t>
      </w: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vertAlign w:val="subscript"/>
        </w:rPr>
        <w:t xml:space="preserve">mac</w:t>
      </w:r>
      <w:r>
        <w:rPr>
          <w:rFonts w:ascii="Times New Roman" w:cs="Times New Roman" w:eastAsia="Times New Roman" w:hAnsi="Times New Roman"/>
          <w:sz w:val="22"/>
          <w:szCs w:val="22"/>
        </w:rPr>
        <w:t xml:space="preserve"> + β</w:t>
      </w:r>
      <w:r>
        <w:rPr>
          <w:rFonts w:ascii="Times New Roman" w:cs="Times New Roman" w:eastAsia="Times New Roman" w:hAnsi="Times New Roman"/>
          <w:sz w:val="22"/>
          <w:szCs w:val="22"/>
          <w:vertAlign w:val="subscript"/>
        </w:rPr>
        <w:t xml:space="preserve">tend</w:t>
      </w:r>
      <w:r>
        <w:rPr>
          <w:rFonts w:ascii="Times New Roman" w:cs="Times New Roman" w:eastAsia="Times New Roman" w:hAnsi="Times New Roman"/>
          <w:sz w:val="22"/>
          <w:szCs w:val="22"/>
        </w:rPr>
        <w:t xml:space="preserve">·s</w:t>
      </w:r>
      <w:r>
        <w:rPr>
          <w:rFonts w:ascii="Times New Roman" w:cs="Times New Roman" w:eastAsia="Times New Roman" w:hAnsi="Times New Roman"/>
          <w:sz w:val="22"/>
          <w:szCs w:val="22"/>
          <w:vertAlign w:val="subscript"/>
        </w:rPr>
        <w:t xml:space="preserve">tend,i</w:t>
      </w:r>
      <w:r>
        <w:rPr>
          <w:rFonts w:ascii="Times New Roman" w:cs="Times New Roman" w:eastAsia="Times New Roman" w:hAnsi="Times New Roman"/>
          <w:sz w:val="22"/>
          <w:szCs w:val="22"/>
        </w:rPr>
        <w:t xml:space="preserve"> , −c</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 +c</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          μ′</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μ</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c</w:t>
      </w:r>
      <w:r>
        <w:rPr>
          <w:rFonts w:ascii="Times New Roman" w:cs="Times New Roman" w:eastAsia="Times New Roman" w:hAnsi="Times New Roman"/>
          <w:sz w:val="22"/>
          <w:szCs w:val="22"/>
          <w:vertAlign w:val="subscript"/>
        </w:rPr>
        <w:t xml:space="preserve">i</w:t>
      </w:r>
    </w:p>
    <w:p>
      <w:pPr>
        <w:pBdr>
          <w:top w:val="single" w:color="C9DDE0" w:sz="4" w:space="4"/>
          <w:bottom w:val="single" w:color="C9DDE0" w:sz="4" w:space="4"/>
        </w:pBdr>
        <w:shd w:fill="EEF5F6" w:color="auto" w:val="clear"/>
        <w:spacing w:after="120" w:before="60"/>
        <w:jc w:val="center"/>
      </w:pPr>
      <w:r>
        <w:rPr>
          <w:rFonts w:ascii="Times New Roman" w:cs="Times New Roman" w:eastAsia="Times New Roman" w:hAnsi="Times New Roman"/>
          <w:sz w:val="22"/>
          <w:szCs w:val="22"/>
        </w:rPr>
        <w:t xml:space="preserve">σ′</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( 1 + γ</w:t>
      </w:r>
      <w:r>
        <w:rPr>
          <w:rFonts w:ascii="Times New Roman" w:cs="Times New Roman" w:eastAsia="Times New Roman" w:hAnsi="Times New Roman"/>
          <w:sz w:val="22"/>
          <w:szCs w:val="22"/>
          <w:vertAlign w:val="subscript"/>
        </w:rPr>
        <w:t xml:space="preserve">pol,i</w:t>
      </w:r>
      <w:r>
        <w:rPr>
          <w:rFonts w:ascii="Times New Roman" w:cs="Times New Roman" w:eastAsia="Times New Roman" w:hAnsi="Times New Roman"/>
          <w:sz w:val="22"/>
          <w:szCs w:val="22"/>
        </w:rPr>
        <w:t xml:space="preserve">·max(0, −s</w:t>
      </w:r>
      <w:r>
        <w:rPr>
          <w:rFonts w:ascii="Times New Roman" w:cs="Times New Roman" w:eastAsia="Times New Roman" w:hAnsi="Times New Roman"/>
          <w:sz w:val="22"/>
          <w:szCs w:val="22"/>
          <w:vertAlign w:val="subscript"/>
        </w:rPr>
        <w:t xml:space="preserve">pol</w:t>
      </w:r>
      <w:r>
        <w:rPr>
          <w:rFonts w:ascii="Times New Roman" w:cs="Times New Roman" w:eastAsia="Times New Roman" w:hAnsi="Times New Roman"/>
          <w:sz w:val="22"/>
          <w:szCs w:val="22"/>
        </w:rPr>
        <w:t xml:space="preserve">) + γ</w:t>
      </w:r>
      <w:r>
        <w:rPr>
          <w:rFonts w:ascii="Times New Roman" w:cs="Times New Roman" w:eastAsia="Times New Roman" w:hAnsi="Times New Roman"/>
          <w:sz w:val="22"/>
          <w:szCs w:val="22"/>
          <w:vertAlign w:val="subscript"/>
        </w:rPr>
        <w:t xml:space="preserve">mac,i</w:t>
      </w:r>
      <w:r>
        <w:rPr>
          <w:rFonts w:ascii="Times New Roman" w:cs="Times New Roman" w:eastAsia="Times New Roman" w:hAnsi="Times New Roman"/>
          <w:sz w:val="22"/>
          <w:szCs w:val="22"/>
        </w:rPr>
        <w:t xml:space="preserve">·max(0, −s</w:t>
      </w:r>
      <w:r>
        <w:rPr>
          <w:rFonts w:ascii="Times New Roman" w:cs="Times New Roman" w:eastAsia="Times New Roman" w:hAnsi="Times New Roman"/>
          <w:sz w:val="22"/>
          <w:szCs w:val="22"/>
          <w:vertAlign w:val="subscript"/>
        </w:rPr>
        <w:t xml:space="preserve">mac</w:t>
      </w:r>
      <w:r>
        <w:rPr>
          <w:rFonts w:ascii="Times New Roman" w:cs="Times New Roman" w:eastAsia="Times New Roman" w:hAnsi="Times New Roman"/>
          <w:sz w:val="22"/>
          <w:szCs w:val="22"/>
        </w:rPr>
        <w:t xml:space="preserve">) )</w:t>
      </w:r>
    </w:p>
    <w:p>
      <w:pPr>
        <w:pBdr>
          <w:top w:val="single" w:color="C9DDE0" w:sz="4" w:space="4"/>
          <w:bottom w:val="single" w:color="C9DDE0" w:sz="4" w:space="4"/>
        </w:pBdr>
        <w:shd w:fill="EEF5F6" w:color="auto" w:val="clear"/>
        <w:spacing w:after="120" w:before="60"/>
        <w:jc w:val="center"/>
      </w:pPr>
      <w:r>
        <w:rPr>
          <w:rFonts w:ascii="Times New Roman" w:cs="Times New Roman" w:eastAsia="Times New Roman" w:hAnsi="Times New Roman"/>
          <w:sz w:val="22"/>
          <w:szCs w:val="22"/>
        </w:rPr>
        <w:t xml:space="preserve">Σ′</w:t>
      </w:r>
      <w:r>
        <w:rPr>
          <w:rFonts w:ascii="Times New Roman" w:cs="Times New Roman" w:eastAsia="Times New Roman" w:hAnsi="Times New Roman"/>
          <w:sz w:val="22"/>
          <w:szCs w:val="22"/>
          <w:vertAlign w:val="subscript"/>
        </w:rPr>
        <w:t xml:space="preserve">ij</w:t>
      </w:r>
      <w:r>
        <w:rPr>
          <w:rFonts w:ascii="Times New Roman" w:cs="Times New Roman" w:eastAsia="Times New Roman" w:hAnsi="Times New Roman"/>
          <w:sz w:val="22"/>
          <w:szCs w:val="22"/>
        </w:rPr>
        <w:t xml:space="preserve"> = ρ</w:t>
      </w:r>
      <w:r>
        <w:rPr>
          <w:rFonts w:ascii="Times New Roman" w:cs="Times New Roman" w:eastAsia="Times New Roman" w:hAnsi="Times New Roman"/>
          <w:sz w:val="22"/>
          <w:szCs w:val="22"/>
          <w:vertAlign w:val="subscript"/>
        </w:rPr>
        <w:t xml:space="preserve">ij</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con ρ</w:t>
      </w:r>
      <w:r>
        <w:rPr>
          <w:rFonts w:ascii="Times New Roman" w:cs="Times New Roman" w:eastAsia="Times New Roman" w:hAnsi="Times New Roman"/>
          <w:sz w:val="22"/>
          <w:szCs w:val="22"/>
          <w:vertAlign w:val="subscript"/>
        </w:rPr>
        <w:t xml:space="preserve">ij</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ij</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w:t>
      </w:r>
    </w:p>
    <w:p>
      <w:pPr>
        <w:spacing w:after="120" w:line="276"/>
        <w:jc w:val="both"/>
      </w:pPr>
      <w:r>
        <w:rPr>
          <w:rFonts w:ascii="Times New Roman" w:cs="Times New Roman" w:eastAsia="Times New Roman" w:hAnsi="Times New Roman"/>
          <w:sz w:val="22"/>
          <w:szCs w:val="22"/>
        </w:rPr>
        <w:t xml:space="preserve">La asimetría entre μ′ y σ′ es deliberada: un contexto favorable mejora el retorno esperado pero no reduce el riesgo; uno adverso hace ambas cosas. Es una decisión de prudencia consistente con el objetivo educativo del sistema. Al preservar las correlaciones ρ</w:t>
      </w:r>
      <w:r>
        <w:rPr>
          <w:rFonts w:ascii="Times New Roman" w:cs="Times New Roman" w:eastAsia="Times New Roman" w:hAnsi="Times New Roman"/>
          <w:sz w:val="22"/>
          <w:szCs w:val="22"/>
          <w:vertAlign w:val="subscript"/>
        </w:rPr>
        <w:t xml:space="preserve">ij</w:t>
      </w:r>
      <w:r>
        <w:rPr>
          <w:rFonts w:ascii="Times New Roman" w:cs="Times New Roman" w:eastAsia="Times New Roman" w:hAnsi="Times New Roman"/>
          <w:sz w:val="22"/>
          <w:szCs w:val="22"/>
        </w:rPr>
        <w:t xml:space="preserve">, el ajuste no altera cómo se mueven las categorías entre sí, solo su nivel de variabilidad.</w:t>
      </w:r>
    </w:p>
    <w:p>
      <w:pPr>
        <w:pStyle w:val="Heading3"/>
        <w:keepNext/>
      </w:pPr>
      <w:r>
        <w:rPr>
          <w:rFonts w:ascii="Times New Roman" w:cs="Times New Roman" w:eastAsia="Times New Roman" w:hAnsi="Times New Roman"/>
        </w:rPr>
        <w:t xml:space="preserve">4.6.4. Ejemplo: panorama político adverso</w:t>
      </w:r>
    </w:p>
    <w:p>
      <w:pPr>
        <w:spacing w:after="120" w:line="276"/>
        <w:jc w:val="both"/>
      </w:pPr>
      <w:r>
        <w:rPr>
          <w:rFonts w:ascii="Times New Roman" w:cs="Times New Roman" w:eastAsia="Times New Roman" w:hAnsi="Times New Roman"/>
          <w:sz w:val="22"/>
          <w:szCs w:val="22"/>
        </w:rPr>
        <w:t xml:space="preserve">Con s</w:t>
      </w:r>
      <w:r>
        <w:rPr>
          <w:rFonts w:ascii="Times New Roman" w:cs="Times New Roman" w:eastAsia="Times New Roman" w:hAnsi="Times New Roman"/>
          <w:sz w:val="22"/>
          <w:szCs w:val="22"/>
          <w:vertAlign w:val="subscript"/>
        </w:rPr>
        <w:t xml:space="preserve">pol</w:t>
      </w:r>
      <w:r>
        <w:rPr>
          <w:rFonts w:ascii="Times New Roman" w:cs="Times New Roman" w:eastAsia="Times New Roman" w:hAnsi="Times New Roman"/>
          <w:sz w:val="22"/>
          <w:szCs w:val="22"/>
        </w:rPr>
        <w:t xml:space="preserve"> = −1, s</w:t>
      </w:r>
      <w:r>
        <w:rPr>
          <w:rFonts w:ascii="Times New Roman" w:cs="Times New Roman" w:eastAsia="Times New Roman" w:hAnsi="Times New Roman"/>
          <w:sz w:val="22"/>
          <w:szCs w:val="22"/>
          <w:vertAlign w:val="subscript"/>
        </w:rPr>
        <w:t xml:space="preserve">mac</w:t>
      </w:r>
      <w:r>
        <w:rPr>
          <w:rFonts w:ascii="Times New Roman" w:cs="Times New Roman" w:eastAsia="Times New Roman" w:hAnsi="Times New Roman"/>
          <w:sz w:val="22"/>
          <w:szCs w:val="22"/>
        </w:rPr>
        <w:t xml:space="preserve"> = 0 y todas las tendencias en 0, y usando los parámetros iniciales del Anexo C con σ de referencia en el punto medio de los rangos del Anexo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8"/>
        <w:gridCol w:w="1200"/>
        <w:gridCol w:w="1200"/>
        <w:gridCol w:w="1400"/>
        <w:gridCol w:w="1400"/>
        <w:gridCol w:w="1400"/>
      </w:tblGrid>
      <w:tr>
        <w:trPr>
          <w:cantSplit/>
          <w:tblHeader/>
        </w:trPr>
        <w:tc>
          <w:tcPr>
            <w:tcW w:type="dxa" w:w="30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Categoría</w:t>
            </w:r>
          </w:p>
        </w:tc>
        <w:tc>
          <w:tcPr>
            <w:tcW w:type="dxa" w:w="12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μ base</w:t>
            </w:r>
          </w:p>
        </w:tc>
        <w:tc>
          <w:tcPr>
            <w:tcW w:type="dxa" w:w="12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c</w:t>
            </w:r>
            <w:r>
              <w:rPr>
                <w:rFonts w:ascii="Times New Roman" w:cs="Times New Roman" w:eastAsia="Times New Roman" w:hAnsi="Times New Roman"/>
                <w:b/>
                <w:bCs/>
                <w:color w:val="FFFFFF"/>
                <w:sz w:val="19"/>
                <w:szCs w:val="19"/>
                <w:vertAlign w:val="subscript"/>
              </w:rPr>
              <w:t xml:space="preserve">i</w:t>
            </w:r>
          </w:p>
        </w:tc>
        <w:tc>
          <w:tcPr>
            <w:tcW w:type="dxa" w:w="14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μ′</w:t>
            </w:r>
          </w:p>
        </w:tc>
        <w:tc>
          <w:tcPr>
            <w:tcW w:type="dxa" w:w="14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σ base</w:t>
            </w:r>
          </w:p>
        </w:tc>
        <w:tc>
          <w:tcPr>
            <w:tcW w:type="dxa" w:w="14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σ′</w:t>
            </w:r>
          </w:p>
        </w:tc>
      </w:tr>
      <w:tr>
        <w:trPr>
          <w:cantSplit/>
        </w:trPr>
        <w:tc>
          <w:tcPr>
            <w:tcW w:type="dxa" w:w="30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Fondos de acciones</w:t>
            </w:r>
          </w:p>
        </w:tc>
        <w:tc>
          <w:tcPr>
            <w:tcW w:type="dxa" w:w="1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12.2%</w:t>
            </w:r>
          </w:p>
        </w:tc>
        <w:tc>
          <w:tcPr>
            <w:tcW w:type="dxa" w:w="1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−2.5 pp</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9.7%</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19.0%</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28.5%</w:t>
            </w:r>
          </w:p>
        </w:tc>
      </w:tr>
      <w:tr>
        <w:trPr>
          <w:cantSplit/>
        </w:trPr>
        <w:tc>
          <w:tcPr>
            <w:tcW w:type="dxa" w:w="30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Fondos mixtos</w:t>
            </w:r>
          </w:p>
        </w:tc>
        <w:tc>
          <w:tcPr>
            <w:tcW w:type="dxa" w:w="12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6.1%</w:t>
            </w:r>
          </w:p>
        </w:tc>
        <w:tc>
          <w:tcPr>
            <w:tcW w:type="dxa" w:w="12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−1.2 pp</w:t>
            </w:r>
          </w:p>
        </w:tc>
        <w:tc>
          <w:tcPr>
            <w:tcW w:type="dxa" w:w="14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4.9%</w:t>
            </w:r>
          </w:p>
        </w:tc>
        <w:tc>
          <w:tcPr>
            <w:tcW w:type="dxa" w:w="14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9.0%</w:t>
            </w:r>
          </w:p>
        </w:tc>
        <w:tc>
          <w:tcPr>
            <w:tcW w:type="dxa" w:w="14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11.3%</w:t>
            </w:r>
          </w:p>
        </w:tc>
      </w:tr>
      <w:tr>
        <w:trPr>
          <w:cantSplit/>
        </w:trPr>
        <w:tc>
          <w:tcPr>
            <w:tcW w:type="dxa" w:w="30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Fondos de deuda</w:t>
            </w:r>
          </w:p>
        </w:tc>
        <w:tc>
          <w:tcPr>
            <w:tcW w:type="dxa" w:w="1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2.4%</w:t>
            </w:r>
          </w:p>
        </w:tc>
        <w:tc>
          <w:tcPr>
            <w:tcW w:type="dxa" w:w="1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−0.5 pp</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1.9%</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2.5%</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2.8%</w:t>
            </w:r>
          </w:p>
        </w:tc>
      </w:tr>
      <w:tr>
        <w:trPr>
          <w:cantSplit/>
        </w:trPr>
        <w:tc>
          <w:tcPr>
            <w:tcW w:type="dxa" w:w="30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Bonos soberanos (BTP)</w:t>
            </w:r>
          </w:p>
        </w:tc>
        <w:tc>
          <w:tcPr>
            <w:tcW w:type="dxa" w:w="12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6.5%</w:t>
            </w:r>
          </w:p>
        </w:tc>
        <w:tc>
          <w:tcPr>
            <w:tcW w:type="dxa" w:w="12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−0.8 pp</w:t>
            </w:r>
          </w:p>
        </w:tc>
        <w:tc>
          <w:tcPr>
            <w:tcW w:type="dxa" w:w="14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5.7%</w:t>
            </w:r>
          </w:p>
        </w:tc>
        <w:tc>
          <w:tcPr>
            <w:tcW w:type="dxa" w:w="14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3.5%</w:t>
            </w:r>
          </w:p>
        </w:tc>
        <w:tc>
          <w:tcPr>
            <w:tcW w:type="dxa" w:w="14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4.2%</w:t>
            </w:r>
          </w:p>
        </w:tc>
      </w:tr>
      <w:tr>
        <w:trPr>
          <w:cantSplit/>
        </w:trPr>
        <w:tc>
          <w:tcPr>
            <w:tcW w:type="dxa" w:w="30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Depósito a plazo fijo</w:t>
            </w:r>
          </w:p>
        </w:tc>
        <w:tc>
          <w:tcPr>
            <w:tcW w:type="dxa" w:w="1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4.5%</w:t>
            </w:r>
          </w:p>
        </w:tc>
        <w:tc>
          <w:tcPr>
            <w:tcW w:type="dxa" w:w="1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−0.3 pp</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4.2%</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0.5%</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0.5%</w:t>
            </w:r>
          </w:p>
        </w:tc>
      </w:tr>
    </w:tbl>
    <w:p>
      <w:pPr>
        <w:spacing w:after="100"/>
      </w:pPr>
    </w:p>
    <w:p>
      <w:pPr>
        <w:spacing w:after="120" w:line="276"/>
        <w:jc w:val="both"/>
      </w:pPr>
      <w:r>
        <w:rPr>
          <w:rFonts w:ascii="Times New Roman" w:cs="Times New Roman" w:eastAsia="Times New Roman" w:hAnsi="Times New Roman"/>
          <w:sz w:val="22"/>
          <w:szCs w:val="22"/>
        </w:rPr>
        <w:t xml:space="preserve">Como efecto esperado, el algoritmo genético tenderá a desplazar peso desde la renta variable hacia instrumentos de menor sensibilidad política. Este efecto se verificará en las pruebas (sección 9.2).</w:t>
      </w:r>
    </w:p>
    <w:p>
      <w:pPr>
        <w:pBdr>
          <w:left w:val="single" w:color="1B6B73" w:sz="24" w:space="8"/>
        </w:pBdr>
        <w:shd w:fill="F3F8F8" w:color="auto" w:val="clear"/>
        <w:spacing w:after="140" w:before="60" w:line="270"/>
        <w:ind w:left="200" w:right="100"/>
        <w:jc w:val="both"/>
      </w:pPr>
      <w:r>
        <w:rPr>
          <w:rFonts w:ascii="Times New Roman" w:cs="Times New Roman" w:eastAsia="Times New Roman" w:hAnsi="Times New Roman"/>
          <w:b/>
          <w:bCs/>
          <w:sz w:val="21"/>
          <w:szCs w:val="21"/>
        </w:rPr>
        <w:t xml:space="preserve">Advertencia de rigor.</w:t>
      </w:r>
      <w:r>
        <w:rPr>
          <w:rFonts w:ascii="Times New Roman" w:cs="Times New Roman" w:eastAsia="Times New Roman" w:hAnsi="Times New Roman"/>
          <w:sz w:val="21"/>
          <w:szCs w:val="21"/>
        </w:rPr>
        <w:t xml:space="preserve"> Los valores del Anexo C (b</w:t>
      </w:r>
      <w:r>
        <w:rPr>
          <w:rFonts w:ascii="Times New Roman" w:cs="Times New Roman" w:eastAsia="Times New Roman" w:hAnsi="Times New Roman"/>
          <w:sz w:val="21"/>
          <w:szCs w:val="21"/>
          <w:vertAlign w:val="subscript"/>
        </w:rPr>
        <w:t xml:space="preserve">i</w:t>
      </w:r>
      <w:r>
        <w:rPr>
          <w:rFonts w:ascii="Times New Roman" w:cs="Times New Roman" w:eastAsia="Times New Roman" w:hAnsi="Times New Roman"/>
          <w:sz w:val="21"/>
          <w:szCs w:val="21"/>
        </w:rPr>
        <w:t xml:space="preserve">, β, γ, c</w:t>
      </w:r>
      <w:r>
        <w:rPr>
          <w:rFonts w:ascii="Times New Roman" w:cs="Times New Roman" w:eastAsia="Times New Roman" w:hAnsi="Times New Roman"/>
          <w:sz w:val="21"/>
          <w:szCs w:val="21"/>
          <w:vertAlign w:val="subscript"/>
        </w:rPr>
        <w:t xml:space="preserve">max</w:t>
      </w:r>
      <w:r>
        <w:rPr>
          <w:rFonts w:ascii="Times New Roman" w:cs="Times New Roman" w:eastAsia="Times New Roman" w:hAnsi="Times New Roman"/>
          <w:sz w:val="21"/>
          <w:szCs w:val="21"/>
        </w:rPr>
        <w:t xml:space="preserve">) son parámetros iniciales de trabajo, definidos con criterio de diseño y no estimados estadísticamente. Antes de la entrega final deben calibrarse o justificarse con fuentes (por ejemplo BCRP, SMV, AAFMP) y documentarse. La interfaz y la explicación deben presentar el contexto como un supuesto configurable, nunca como una predicción.</w:t>
      </w:r>
    </w:p>
    <w:p>
      <w:pPr>
        <w:pStyle w:val="Heading2"/>
        <w:keepNext/>
      </w:pPr>
      <w:r>
        <w:rPr>
          <w:rFonts w:ascii="Times New Roman" w:cs="Times New Roman" w:eastAsia="Times New Roman" w:hAnsi="Times New Roman"/>
        </w:rPr>
        <w:t xml:space="preserve">4.7. Integración y contratos de datos entre módulos</w:t>
      </w:r>
    </w:p>
    <w:p>
      <w:pPr>
        <w:spacing w:after="120" w:line="276"/>
        <w:jc w:val="both"/>
      </w:pPr>
      <w:r>
        <w:rPr>
          <w:rFonts w:ascii="Times New Roman" w:cs="Times New Roman" w:eastAsia="Times New Roman" w:hAnsi="Times New Roman"/>
          <w:sz w:val="22"/>
          <w:szCs w:val="22"/>
        </w:rPr>
        <w:t xml:space="preserve">Para que la implementación en código (incluyendo generación asistida por IA) sea directa y sin ambigüedad, se define aquí el contrato de datos entre módulos. Cada módulo se implementa como una función o servicio independiente que recibe y devuelve exactamente estas estructuras.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cantSplit/>
          <w:tblHeader/>
        </w:trPr>
        <w:tc>
          <w:tcPr>
            <w:tcW w:type="dxa" w:w="23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Interfaz</w:t>
            </w:r>
          </w:p>
        </w:tc>
        <w:tc>
          <w:tcPr>
            <w:tcW w:type="dxa" w:w="36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Entrada</w:t>
            </w:r>
          </w:p>
        </w:tc>
        <w:tc>
          <w:tcPr>
            <w:tcW w:type="dxa" w:w="37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Salida</w:t>
            </w:r>
          </w:p>
        </w:tc>
      </w:tr>
      <w:tr>
        <w:trPr>
          <w:cantSplit/>
        </w:trPr>
        <w:tc>
          <w:tcPr>
            <w:tcW w:type="dxa" w:w="2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IA Generativa → interpretación</w:t>
            </w:r>
          </w:p>
        </w:tc>
        <w:tc>
          <w:tcPr>
            <w:tcW w:type="dxa" w:w="36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texto_usuario: string</w:t>
            </w:r>
          </w:p>
        </w:tc>
        <w:tc>
          <w:tcPr>
            <w:tcW w:type="dxa" w:w="3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 monto_invertir, horizonte_anios | horizonte_etiqueta, lambda_base, ahorro_total, cobertura_emergencia_meses, completo: bool, pregunta_aclaracion?: string }</w:t>
            </w:r>
          </w:p>
        </w:tc>
      </w:tr>
      <w:tr>
        <w:trPr>
          <w:cantSplit/>
        </w:trPr>
        <w:tc>
          <w:tcPr>
            <w:tcW w:type="dxa" w:w="2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Módulo Bayesiano</w:t>
            </w:r>
          </w:p>
        </w:tc>
        <w:tc>
          <w:tcPr>
            <w:tcW w:type="dxa" w:w="36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historial_precios[activo], (opcional) nueva_observacion</w:t>
            </w:r>
          </w:p>
        </w:tc>
        <w:tc>
          <w:tcPr>
            <w:tcW w:type="dxa" w:w="3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 activo, mu, sigma, s_tend }[5], matriz_covarianza[5x5]</w:t>
            </w:r>
          </w:p>
        </w:tc>
      </w:tr>
      <w:tr>
        <w:trPr>
          <w:cantSplit/>
        </w:trPr>
        <w:tc>
          <w:tcPr>
            <w:tcW w:type="dxa" w:w="2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Módulo Difuso</w:t>
            </w:r>
          </w:p>
        </w:tc>
        <w:tc>
          <w:tcPr>
            <w:tcW w:type="dxa" w:w="36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horizonte_anios | horizonte_etiqueta, monto_invertir, ahorro_total, cobertura_emergencia_meses, lambda_base</w:t>
            </w:r>
          </w:p>
        </w:tc>
        <w:tc>
          <w:tcPr>
            <w:tcW w:type="dxa" w:w="3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 pertenencias: { horizonte, r, E }, m_H, CA, sigma_max, lambda_ef }</w:t>
            </w:r>
          </w:p>
        </w:tc>
      </w:tr>
      <w:tr>
        <w:trPr>
          <w:cantSplit/>
        </w:trPr>
        <w:tc>
          <w:tcPr>
            <w:tcW w:type="dxa" w:w="2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Reglas de Contexto</w:t>
            </w:r>
          </w:p>
        </w:tc>
        <w:tc>
          <w:tcPr>
            <w:tcW w:type="dxa" w:w="36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mu[5], sigma[5], covarianza[5x5], s_tend[5], s_pol, s_mac, tabla_parametros</w:t>
            </w:r>
          </w:p>
        </w:tc>
        <w:tc>
          <w:tcPr>
            <w:tcW w:type="dxa" w:w="3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 c[5], mu_aj[5], sigma_aj[5], covarianza_aj[5x5] }</w:t>
            </w:r>
          </w:p>
        </w:tc>
      </w:tr>
      <w:tr>
        <w:trPr>
          <w:cantSplit/>
        </w:trPr>
        <w:tc>
          <w:tcPr>
            <w:tcW w:type="dxa" w:w="2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Algoritmo Genético</w:t>
            </w:r>
          </w:p>
        </w:tc>
        <w:tc>
          <w:tcPr>
            <w:tcW w:type="dxa" w:w="36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lambda_ef, sigma_max, phi, mu_aj[5], sigma_aj[5], covarianza_aj[5x5]</w:t>
            </w:r>
          </w:p>
        </w:tc>
        <w:tc>
          <w:tcPr>
            <w:tcW w:type="dxa" w:w="37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 pesos[5], fitness, E_portafolio, C_contexto, sigma_portafolio, historial_convergencia }</w:t>
            </w:r>
          </w:p>
        </w:tc>
      </w:tr>
      <w:tr>
        <w:trPr>
          <w:cantSplit/>
        </w:trPr>
        <w:tc>
          <w:tcPr>
            <w:tcW w:type="dxa" w:w="2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IA Generativa → explicación</w:t>
            </w:r>
          </w:p>
        </w:tc>
        <w:tc>
          <w:tcPr>
            <w:tcW w:type="dxa" w:w="36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resultado del algoritmo genético + perfil del usuario + pertenencias difusas + factores de contexto activos</w:t>
            </w:r>
          </w:p>
        </w:tc>
        <w:tc>
          <w:tcPr>
            <w:tcW w:type="dxa" w:w="37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texto_explicacion: string (lenguaje simple, según reglas de la sección 6)</w:t>
            </w:r>
          </w:p>
        </w:tc>
      </w:tr>
    </w:tbl>
    <w:p>
      <w:pPr>
        <w:spacing w:after="100"/>
      </w:pPr>
    </w:p>
    <w:p>
      <w:pPr>
        <w:spacing w:after="120" w:line="276"/>
        <w:jc w:val="both"/>
      </w:pPr>
      <w:r>
        <w:rPr>
          <w:rFonts w:ascii="Times New Roman" w:cs="Times New Roman" w:eastAsia="Times New Roman" w:hAnsi="Times New Roman"/>
          <w:b/>
          <w:bCs/>
          <w:sz w:val="22"/>
          <w:szCs w:val="22"/>
        </w:rPr>
        <w:t xml:space="preserve">Interruptores de módulo.</w:t>
      </w:r>
      <w:r>
        <w:rPr>
          <w:rFonts w:ascii="Times New Roman" w:cs="Times New Roman" w:eastAsia="Times New Roman" w:hAnsi="Times New Roman"/>
          <w:sz w:val="22"/>
          <w:szCs w:val="22"/>
        </w:rPr>
        <w:t xml:space="preserve"> Para permitir la comparación en las pruebas, el módulo difuso y el módulo de contexto pueden desactivarse de forma independiente. Con el módulo difuso desactivado, m</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 = 1 y σ</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 ∞ (sin penalización). Con el de contexto desactivado, c</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0 y σ′ = σ. Con ambos desactivados, la función de aptitud coincide con el modelo base de la sección 5.1.</w:t>
      </w:r>
    </w:p>
    <w:p>
      <w:pPr>
        <w:pStyle w:val="Heading1"/>
        <w:keepNext/>
      </w:pPr>
      <w:r>
        <w:rPr>
          <w:rFonts w:ascii="Times New Roman" w:cs="Times New Roman" w:eastAsia="Times New Roman" w:hAnsi="Times New Roman"/>
        </w:rPr>
        <w:t xml:space="preserve">5. Modelo Matemático Formal</w:t>
      </w:r>
    </w:p>
    <w:p>
      <w:pPr>
        <w:pStyle w:val="Heading2"/>
        <w:keepNext/>
      </w:pPr>
      <w:r>
        <w:rPr>
          <w:rFonts w:ascii="Times New Roman" w:cs="Times New Roman" w:eastAsia="Times New Roman" w:hAnsi="Times New Roman"/>
        </w:rPr>
        <w:t xml:space="preserve">5.1. Modelo base</w:t>
      </w:r>
    </w:p>
    <w:p>
      <w:pPr>
        <w:spacing w:after="120" w:line="276"/>
        <w:jc w:val="both"/>
      </w:pPr>
      <w:r>
        <w:rPr>
          <w:rFonts w:ascii="Times New Roman" w:cs="Times New Roman" w:eastAsia="Times New Roman" w:hAnsi="Times New Roman"/>
          <w:b/>
          <w:bCs/>
          <w:sz w:val="22"/>
          <w:szCs w:val="22"/>
        </w:rPr>
        <w:t xml:space="preserve">Variables de decisión:</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5</w:t>
      </w:r>
      <w:r>
        <w:rPr>
          <w:rFonts w:ascii="Times New Roman" w:cs="Times New Roman" w:eastAsia="Times New Roman" w:hAnsi="Times New Roman"/>
          <w:sz w:val="22"/>
          <w:szCs w:val="22"/>
        </w:rPr>
        <w:t xml:space="preserve"> (peso asignado a cada una de las 5 categorías de inversión).</w:t>
      </w:r>
    </w:p>
    <w:p>
      <w:pPr>
        <w:pBdr>
          <w:top w:val="single" w:color="C9DDE0" w:sz="4" w:space="4"/>
          <w:bottom w:val="single" w:color="C9DDE0" w:sz="4" w:space="4"/>
        </w:pBdr>
        <w:shd w:fill="EEF5F6" w:color="auto" w:val="clear"/>
        <w:spacing w:after="120" w:before="60"/>
        <w:jc w:val="center"/>
      </w:pPr>
      <w:r>
        <w:rPr>
          <w:rFonts w:ascii="Times New Roman" w:cs="Times New Roman" w:eastAsia="Times New Roman" w:hAnsi="Times New Roman"/>
          <w:sz w:val="22"/>
          <w:szCs w:val="22"/>
        </w:rPr>
        <w:t xml:space="preserve">Fitness(P) = E(P) − λ · σ(P)</w:t>
      </w:r>
    </w:p>
    <w:p>
      <w:pPr>
        <w:pStyle w:val="ListParagraph"/>
        <w:numPr>
          <w:ilvl w:val="0"/>
          <w:numId w:val="2"/>
        </w:numPr>
        <w:spacing w:after="60" w:line="276"/>
      </w:pPr>
      <w:r>
        <w:rPr>
          <w:rFonts w:ascii="Times New Roman" w:cs="Times New Roman" w:eastAsia="Times New Roman" w:hAnsi="Times New Roman"/>
          <w:sz w:val="22"/>
          <w:szCs w:val="22"/>
        </w:rPr>
        <w:t xml:space="preserve">E(P) = Σ</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w</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μ</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retorno esperado del portafolio, suma ponderada de los retornos individuales.</w:t>
      </w:r>
    </w:p>
    <w:p>
      <w:pPr>
        <w:pStyle w:val="ListParagraph"/>
        <w:numPr>
          <w:ilvl w:val="0"/>
          <w:numId w:val="2"/>
        </w:numPr>
        <w:spacing w:after="60" w:line="276"/>
      </w:pPr>
      <w:r>
        <w:rPr>
          <w:rFonts w:ascii="Times New Roman" w:cs="Times New Roman" w:eastAsia="Times New Roman" w:hAnsi="Times New Roman"/>
          <w:sz w:val="22"/>
          <w:szCs w:val="22"/>
        </w:rPr>
        <w:t xml:space="preserve">σ(P) = √( Σ</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Σ</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w</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ij</w:t>
      </w:r>
      <w:r>
        <w:rPr>
          <w:rFonts w:ascii="Times New Roman" w:cs="Times New Roman" w:eastAsia="Times New Roman" w:hAnsi="Times New Roman"/>
          <w:sz w:val="22"/>
          <w:szCs w:val="22"/>
        </w:rPr>
        <w:t xml:space="preserve"> ): riesgo del portafolio, considerando la covarianza σ</w:t>
      </w:r>
      <w:r>
        <w:rPr>
          <w:rFonts w:ascii="Times New Roman" w:cs="Times New Roman" w:eastAsia="Times New Roman" w:hAnsi="Times New Roman"/>
          <w:sz w:val="22"/>
          <w:szCs w:val="22"/>
          <w:vertAlign w:val="subscript"/>
        </w:rPr>
        <w:t xml:space="preserve">ij</w:t>
      </w:r>
      <w:r>
        <w:rPr>
          <w:rFonts w:ascii="Times New Roman" w:cs="Times New Roman" w:eastAsia="Times New Roman" w:hAnsi="Times New Roman"/>
          <w:sz w:val="22"/>
          <w:szCs w:val="22"/>
        </w:rPr>
        <w:t xml:space="preserve"> entre categorías (σ</w:t>
      </w:r>
      <w:r>
        <w:rPr>
          <w:rFonts w:ascii="Times New Roman" w:cs="Times New Roman" w:eastAsia="Times New Roman" w:hAnsi="Times New Roman"/>
          <w:sz w:val="22"/>
          <w:szCs w:val="22"/>
          <w:vertAlign w:val="subscript"/>
        </w:rPr>
        <w:t xml:space="preserve">ii</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w:t>
      </w:r>
    </w:p>
    <w:p>
      <w:pPr>
        <w:pStyle w:val="ListParagraph"/>
        <w:numPr>
          <w:ilvl w:val="0"/>
          <w:numId w:val="2"/>
        </w:numPr>
        <w:spacing w:after="60" w:line="276"/>
      </w:pPr>
      <w:r>
        <w:rPr>
          <w:rFonts w:ascii="Times New Roman" w:cs="Times New Roman" w:eastAsia="Times New Roman" w:hAnsi="Times New Roman"/>
          <w:sz w:val="22"/>
          <w:szCs w:val="22"/>
        </w:rPr>
        <w:t xml:space="preserve">λ: aversión al riesgo del usuario; sube si es conservador, baja si es agresivo. Proviene de la interpretación de la IA generativa.</w:t>
      </w:r>
    </w:p>
    <w:p>
      <w:pPr>
        <w:spacing w:after="120" w:line="276"/>
        <w:jc w:val="both"/>
      </w:pPr>
      <w:r>
        <w:rPr>
          <w:rFonts w:ascii="Times New Roman" w:cs="Times New Roman" w:eastAsia="Times New Roman" w:hAnsi="Times New Roman"/>
          <w:b/>
          <w:bCs/>
          <w:sz w:val="22"/>
          <w:szCs w:val="22"/>
        </w:rPr>
        <w:t xml:space="preserve">Restricciones:</w:t>
      </w:r>
    </w:p>
    <w:p>
      <w:pPr>
        <w:pStyle w:val="ListParagraph"/>
        <w:numPr>
          <w:ilvl w:val="0"/>
          <w:numId w:val="2"/>
        </w:numPr>
        <w:spacing w:after="60" w:line="276"/>
      </w:pPr>
      <w:r>
        <w:rPr>
          <w:rFonts w:ascii="Times New Roman" w:cs="Times New Roman" w:eastAsia="Times New Roman" w:hAnsi="Times New Roman"/>
          <w:sz w:val="22"/>
          <w:szCs w:val="22"/>
        </w:rPr>
        <w:t xml:space="preserve">w</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 + w</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 + w</w:t>
      </w:r>
      <w:r>
        <w:rPr>
          <w:rFonts w:ascii="Times New Roman" w:cs="Times New Roman" w:eastAsia="Times New Roman" w:hAnsi="Times New Roman"/>
          <w:sz w:val="22"/>
          <w:szCs w:val="22"/>
          <w:vertAlign w:val="subscript"/>
        </w:rPr>
        <w:t xml:space="preserve">3</w:t>
      </w:r>
      <w:r>
        <w:rPr>
          <w:rFonts w:ascii="Times New Roman" w:cs="Times New Roman" w:eastAsia="Times New Roman" w:hAnsi="Times New Roman"/>
          <w:sz w:val="22"/>
          <w:szCs w:val="22"/>
        </w:rPr>
        <w:t xml:space="preserve"> + w</w:t>
      </w:r>
      <w:r>
        <w:rPr>
          <w:rFonts w:ascii="Times New Roman" w:cs="Times New Roman" w:eastAsia="Times New Roman" w:hAnsi="Times New Roman"/>
          <w:sz w:val="22"/>
          <w:szCs w:val="22"/>
          <w:vertAlign w:val="subscript"/>
        </w:rPr>
        <w:t xml:space="preserve">4</w:t>
      </w:r>
      <w:r>
        <w:rPr>
          <w:rFonts w:ascii="Times New Roman" w:cs="Times New Roman" w:eastAsia="Times New Roman" w:hAnsi="Times New Roman"/>
          <w:sz w:val="22"/>
          <w:szCs w:val="22"/>
        </w:rPr>
        <w:t xml:space="preserve"> + w</w:t>
      </w:r>
      <w:r>
        <w:rPr>
          <w:rFonts w:ascii="Times New Roman" w:cs="Times New Roman" w:eastAsia="Times New Roman" w:hAnsi="Times New Roman"/>
          <w:sz w:val="22"/>
          <w:szCs w:val="22"/>
          <w:vertAlign w:val="subscript"/>
        </w:rPr>
        <w:t xml:space="preserve">5</w:t>
      </w:r>
      <w:r>
        <w:rPr>
          <w:rFonts w:ascii="Times New Roman" w:cs="Times New Roman" w:eastAsia="Times New Roman" w:hAnsi="Times New Roman"/>
          <w:sz w:val="22"/>
          <w:szCs w:val="22"/>
        </w:rPr>
        <w:t xml:space="preserve"> = 1 (el 100% del capital debe quedar distribuido).</w:t>
      </w:r>
    </w:p>
    <w:p>
      <w:pPr>
        <w:pStyle w:val="ListParagraph"/>
        <w:numPr>
          <w:ilvl w:val="0"/>
          <w:numId w:val="2"/>
        </w:numPr>
        <w:spacing w:after="60" w:line="276"/>
      </w:pPr>
      <w:r>
        <w:rPr>
          <w:rFonts w:ascii="Times New Roman" w:cs="Times New Roman" w:eastAsia="Times New Roman" w:hAnsi="Times New Roman"/>
          <w:sz w:val="22"/>
          <w:szCs w:val="22"/>
        </w:rPr>
        <w:t xml:space="preserve">w</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0 para todo i (no se permiten posiciones negativas / apalancamiento).</w:t>
      </w:r>
    </w:p>
    <w:p>
      <w:pPr>
        <w:spacing w:after="120" w:line="276"/>
        <w:jc w:val="both"/>
      </w:pPr>
      <w:r>
        <w:rPr>
          <w:rFonts w:ascii="Times New Roman" w:cs="Times New Roman" w:eastAsia="Times New Roman" w:hAnsi="Times New Roman"/>
          <w:b/>
          <w:bCs/>
          <w:sz w:val="22"/>
          <w:szCs w:val="22"/>
        </w:rPr>
        <w:t xml:space="preserve">Ejemplo ilustrativo:</w:t>
      </w:r>
      <w:r>
        <w:rPr>
          <w:rFonts w:ascii="Times New Roman" w:cs="Times New Roman" w:eastAsia="Times New Roman" w:hAnsi="Times New Roman"/>
          <w:sz w:val="22"/>
          <w:szCs w:val="22"/>
        </w:rPr>
        <w:t xml:space="preserve"> un portafolio con E(P) = 6% y σ(P) = 10% produce un fitness de 6 − 2 × 10 = −14 para un usuario conservador (λ = 2) pero de 6 − 0.2 × 10 = 4 para un usuario agresivo (λ = 0.2). Este contraste es precisamente lo que permite que el mismo algoritmo, sobre las mismas 5 categorías, recomiende portafolios distintos según el perfil de cada usuario.</w:t>
      </w:r>
    </w:p>
    <w:p>
      <w:pPr>
        <w:pStyle w:val="Heading2"/>
        <w:keepNext/>
      </w:pPr>
      <w:r>
        <w:rPr>
          <w:rFonts w:ascii="Times New Roman" w:cs="Times New Roman" w:eastAsia="Times New Roman" w:hAnsi="Times New Roman"/>
        </w:rPr>
        <w:t xml:space="preserve">5.2. Modelo ampliado (versión 1.1)</w:t>
      </w:r>
    </w:p>
    <w:p>
      <w:pPr>
        <w:spacing w:after="120" w:line="276"/>
        <w:jc w:val="both"/>
      </w:pPr>
      <w:r>
        <w:rPr>
          <w:rFonts w:ascii="Times New Roman" w:cs="Times New Roman" w:eastAsia="Times New Roman" w:hAnsi="Times New Roman"/>
          <w:sz w:val="22"/>
          <w:szCs w:val="22"/>
        </w:rPr>
        <w:t xml:space="preserve">El modelo ampliado conserva la estructura E − λσ, pero cada término se calcula con las salidas de los módulos difuso y de contexto, y se añade una penalización por exceder la volatilidad tolerable del usuario:</w:t>
      </w:r>
    </w:p>
    <w:p>
      <w:pPr>
        <w:pBdr>
          <w:top w:val="single" w:color="C9DDE0" w:sz="4" w:space="4"/>
          <w:bottom w:val="single" w:color="C9DDE0" w:sz="4" w:space="4"/>
        </w:pBdr>
        <w:shd w:fill="EEF5F6" w:color="auto" w:val="clear"/>
        <w:spacing w:after="120" w:before="60"/>
        <w:jc w:val="center"/>
      </w:pPr>
      <w:r>
        <w:rPr>
          <w:rFonts w:ascii="Times New Roman" w:cs="Times New Roman" w:eastAsia="Times New Roman" w:hAnsi="Times New Roman"/>
          <w:sz w:val="22"/>
          <w:szCs w:val="22"/>
        </w:rPr>
        <w:t xml:space="preserve">Fitness′(P) = Σ</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μ′</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λ</w:t>
      </w:r>
      <w:r>
        <w:rPr>
          <w:rFonts w:ascii="Times New Roman" w:cs="Times New Roman" w:eastAsia="Times New Roman" w:hAnsi="Times New Roman"/>
          <w:sz w:val="22"/>
          <w:szCs w:val="22"/>
          <w:vertAlign w:val="subscript"/>
        </w:rPr>
        <w:t xml:space="preserve">ef</w:t>
      </w:r>
      <w:r>
        <w:rPr>
          <w:rFonts w:ascii="Times New Roman" w:cs="Times New Roman" w:eastAsia="Times New Roman" w:hAnsi="Times New Roman"/>
          <w:sz w:val="22"/>
          <w:szCs w:val="22"/>
        </w:rPr>
        <w:t xml:space="preserve"> · σ′(P)  −  φ · max(0, σ′(P) − σ</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w:t>
      </w:r>
      <w:r>
        <w:rPr>
          <w:rFonts w:ascii="Times New Roman" w:cs="Times New Roman" w:eastAsia="Times New Roman" w:hAnsi="Times New Roman"/>
          <w:sz w:val="22"/>
          <w:szCs w:val="22"/>
          <w:vertAlign w:val="superscript"/>
        </w:rPr>
        <w:t xml:space="preserve">2</w:t>
      </w:r>
    </w:p>
    <w:p>
      <w:pPr>
        <w:pStyle w:val="ListParagraph"/>
        <w:numPr>
          <w:ilvl w:val="0"/>
          <w:numId w:val="2"/>
        </w:numPr>
        <w:spacing w:after="60" w:line="276"/>
      </w:pPr>
      <w:r>
        <w:rPr>
          <w:rFonts w:ascii="Times New Roman" w:cs="Times New Roman" w:eastAsia="Times New Roman" w:hAnsi="Times New Roman"/>
          <w:sz w:val="22"/>
          <w:szCs w:val="22"/>
        </w:rPr>
        <w:t xml:space="preserve">μ′</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μ</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c</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retorno esperado ajustado por el contexto (sección 4.6.3). Equivale a E(P) + C(P), con C(P) = Σ w</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·c</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el </w:t>
      </w:r>
      <w:r>
        <w:rPr>
          <w:rFonts w:ascii="Times New Roman" w:cs="Times New Roman" w:eastAsia="Times New Roman" w:hAnsi="Times New Roman"/>
          <w:b/>
          <w:bCs/>
          <w:sz w:val="22"/>
          <w:szCs w:val="22"/>
        </w:rPr>
        <w:t xml:space="preserve">término contextual</w:t>
      </w:r>
      <w:r>
        <w:rPr>
          <w:rFonts w:ascii="Times New Roman" w:cs="Times New Roman" w:eastAsia="Times New Roman" w:hAnsi="Times New Roman"/>
          <w:sz w:val="22"/>
          <w:szCs w:val="22"/>
        </w:rPr>
        <w:t xml:space="preserve">.</w:t>
      </w:r>
    </w:p>
    <w:p>
      <w:pPr>
        <w:pStyle w:val="ListParagraph"/>
        <w:numPr>
          <w:ilvl w:val="0"/>
          <w:numId w:val="2"/>
        </w:numPr>
        <w:spacing w:after="60" w:line="276"/>
      </w:pPr>
      <w:r>
        <w:rPr>
          <w:rFonts w:ascii="Times New Roman" w:cs="Times New Roman" w:eastAsia="Times New Roman" w:hAnsi="Times New Roman"/>
          <w:sz w:val="22"/>
          <w:szCs w:val="22"/>
        </w:rPr>
        <w:t xml:space="preserve">σ′(P) = √( Σ</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Σ</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w</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 w</w:t>
      </w:r>
      <w:r>
        <w:rPr>
          <w:rFonts w:ascii="Times New Roman" w:cs="Times New Roman" w:eastAsia="Times New Roman" w:hAnsi="Times New Roman"/>
          <w:sz w:val="22"/>
          <w:szCs w:val="22"/>
          <w:vertAlign w:val="subscript"/>
        </w:rPr>
        <w:t xml:space="preserve">j</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ij</w:t>
      </w:r>
      <w:r>
        <w:rPr>
          <w:rFonts w:ascii="Times New Roman" w:cs="Times New Roman" w:eastAsia="Times New Roman" w:hAnsi="Times New Roman"/>
          <w:sz w:val="22"/>
          <w:szCs w:val="22"/>
        </w:rPr>
        <w:t xml:space="preserve"> ): riesgo del portafolio con la covarianza ajustada.</w:t>
      </w:r>
    </w:p>
    <w:p>
      <w:pPr>
        <w:pStyle w:val="ListParagraph"/>
        <w:numPr>
          <w:ilvl w:val="0"/>
          <w:numId w:val="2"/>
        </w:numPr>
        <w:spacing w:after="60" w:line="276"/>
      </w:pPr>
      <w:r>
        <w:rPr>
          <w:rFonts w:ascii="Times New Roman" w:cs="Times New Roman" w:eastAsia="Times New Roman" w:hAnsi="Times New Roman"/>
          <w:sz w:val="22"/>
          <w:szCs w:val="22"/>
        </w:rPr>
        <w:t xml:space="preserve">λ</w:t>
      </w:r>
      <w:r>
        <w:rPr>
          <w:rFonts w:ascii="Times New Roman" w:cs="Times New Roman" w:eastAsia="Times New Roman" w:hAnsi="Times New Roman"/>
          <w:sz w:val="22"/>
          <w:szCs w:val="22"/>
          <w:vertAlign w:val="subscript"/>
        </w:rPr>
        <w:t xml:space="preserve">ef</w:t>
      </w:r>
      <w:r>
        <w:rPr>
          <w:rFonts w:ascii="Times New Roman" w:cs="Times New Roman" w:eastAsia="Times New Roman" w:hAnsi="Times New Roman"/>
          <w:sz w:val="22"/>
          <w:szCs w:val="22"/>
        </w:rPr>
        <w:t xml:space="preserve"> = λ</w:t>
      </w:r>
      <w:r>
        <w:rPr>
          <w:rFonts w:ascii="Times New Roman" w:cs="Times New Roman" w:eastAsia="Times New Roman" w:hAnsi="Times New Roman"/>
          <w:sz w:val="22"/>
          <w:szCs w:val="22"/>
          <w:vertAlign w:val="subscript"/>
        </w:rPr>
        <w:t xml:space="preserve">base</w:t>
      </w:r>
      <w:r>
        <w:rPr>
          <w:rFonts w:ascii="Times New Roman" w:cs="Times New Roman" w:eastAsia="Times New Roman" w:hAnsi="Times New Roman"/>
          <w:sz w:val="22"/>
          <w:szCs w:val="22"/>
        </w:rPr>
        <w:t xml:space="preserve"> · m</w:t>
      </w:r>
      <w:r>
        <w:rPr>
          <w:rFonts w:ascii="Times New Roman" w:cs="Times New Roman" w:eastAsia="Times New Roman" w:hAnsi="Times New Roman"/>
          <w:sz w:val="22"/>
          <w:szCs w:val="22"/>
          <w:vertAlign w:val="subscript"/>
        </w:rPr>
        <w:t xml:space="preserve">H</w:t>
      </w:r>
      <w:r>
        <w:rPr>
          <w:rFonts w:ascii="Times New Roman" w:cs="Times New Roman" w:eastAsia="Times New Roman" w:hAnsi="Times New Roman"/>
          <w:sz w:val="22"/>
          <w:szCs w:val="22"/>
        </w:rPr>
        <w:t xml:space="preserve">(H): aversión al riesgo efectiva, modulada por el horizonte temporal (sección 4.5.1).</w:t>
      </w:r>
    </w:p>
    <w:p>
      <w:pPr>
        <w:pStyle w:val="ListParagraph"/>
        <w:numPr>
          <w:ilvl w:val="0"/>
          <w:numId w:val="2"/>
        </w:numPr>
        <w:spacing w:after="60" w:line="276"/>
      </w:pPr>
      <w:r>
        <w:rPr>
          <w:rFonts w:ascii="Times New Roman" w:cs="Times New Roman" w:eastAsia="Times New Roman" w:hAnsi="Times New Roman"/>
          <w:sz w:val="22"/>
          <w:szCs w:val="22"/>
        </w:rPr>
        <w:t xml:space="preserve">σ</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 σ</w:t>
      </w:r>
      <w:r>
        <w:rPr>
          <w:rFonts w:ascii="Times New Roman" w:cs="Times New Roman" w:eastAsia="Times New Roman" w:hAnsi="Times New Roman"/>
          <w:sz w:val="22"/>
          <w:szCs w:val="22"/>
          <w:vertAlign w:val="subscript"/>
        </w:rPr>
        <w:t xml:space="preserve">piso</w:t>
      </w:r>
      <w:r>
        <w:rPr>
          <w:rFonts w:ascii="Times New Roman" w:cs="Times New Roman" w:eastAsia="Times New Roman" w:hAnsi="Times New Roman"/>
          <w:sz w:val="22"/>
          <w:szCs w:val="22"/>
        </w:rPr>
        <w:t xml:space="preserve"> + a · CA: volatilidad máxima tolerable según la capacidad de absorción (sección 4.5.2).</w:t>
      </w:r>
    </w:p>
    <w:p>
      <w:pPr>
        <w:pStyle w:val="ListParagraph"/>
        <w:numPr>
          <w:ilvl w:val="0"/>
          <w:numId w:val="2"/>
        </w:numPr>
        <w:spacing w:after="60" w:line="276"/>
      </w:pPr>
      <w:r>
        <w:rPr>
          <w:rFonts w:ascii="Times New Roman" w:cs="Times New Roman" w:eastAsia="Times New Roman" w:hAnsi="Times New Roman"/>
          <w:sz w:val="22"/>
          <w:szCs w:val="22"/>
        </w:rPr>
        <w:t xml:space="preserve">φ: coeficiente de penalización (valor inicial 50, a calibrar). La penalización es cuadrática y solo actúa cuando σ′(P) &gt; σ</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por lo que es suave cerca del límite y firme lejos de él.</w:t>
      </w:r>
    </w:p>
    <w:p>
      <w:pPr>
        <w:spacing w:after="120" w:line="276"/>
        <w:jc w:val="both"/>
      </w:pPr>
      <w:r>
        <w:rPr>
          <w:rFonts w:ascii="Times New Roman" w:cs="Times New Roman" w:eastAsia="Times New Roman" w:hAnsi="Times New Roman"/>
          <w:sz w:val="22"/>
          <w:szCs w:val="22"/>
        </w:rPr>
        <w:t xml:space="preserve">Las restricciones del modelo base (suma de pesos igual a 1 y no negatividad) se mantienen como restricciones duras; la capacidad de absorción entra como restricción blanda mediante la penalización. Todas las magnitudes (μ, σ, c, σ</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se expresan en decimales, porque el término cuadrático depende de las unidades.</w:t>
      </w:r>
    </w:p>
    <w:p>
      <w:pPr>
        <w:pStyle w:val="Heading1"/>
        <w:keepNext/>
      </w:pPr>
      <w:r>
        <w:rPr>
          <w:rFonts w:ascii="Times New Roman" w:cs="Times New Roman" w:eastAsia="Times New Roman" w:hAnsi="Times New Roman"/>
        </w:rPr>
        <w:t xml:space="preserve">6. Capa de Explicación en Lenguaje Simple (Diseño UX)</w:t>
      </w:r>
    </w:p>
    <w:p>
      <w:pPr>
        <w:spacing w:after="120" w:line="276"/>
        <w:jc w:val="both"/>
      </w:pPr>
      <w:r>
        <w:rPr>
          <w:rFonts w:ascii="Times New Roman" w:cs="Times New Roman" w:eastAsia="Times New Roman" w:hAnsi="Times New Roman"/>
          <w:sz w:val="22"/>
          <w:szCs w:val="22"/>
        </w:rPr>
        <w:t xml:space="preserve">Esta sección formaliza un punto que en la primera versión de referencia del proyecto quedaba implícito (“la IA explica el resultado en lenguaje simple”) y que se identificó como crítico para que el sistema sea realmente utilizable por la población objetivo: ciudadanos sin conocimientos financieros. No es un módulo nuevo; es una especificación más exigente de la segunda intervención de la IA generativa (sección 4.2).</w:t>
      </w:r>
    </w:p>
    <w:p>
      <w:pPr>
        <w:spacing w:after="120" w:line="276"/>
        <w:jc w:val="both"/>
      </w:pPr>
      <w:r>
        <w:rPr>
          <w:rFonts w:ascii="Times New Roman" w:cs="Times New Roman" w:eastAsia="Times New Roman" w:hAnsi="Times New Roman"/>
          <w:b/>
          <w:bCs/>
          <w:sz w:val="22"/>
          <w:szCs w:val="22"/>
        </w:rPr>
        <w:t xml:space="preserve">Reglas obligatorias que debe seguir el prompt/plantilla de explicación:</w:t>
      </w:r>
    </w:p>
    <w:p>
      <w:pPr>
        <w:pStyle w:val="ListParagraph"/>
        <w:numPr>
          <w:ilvl w:val="0"/>
          <w:numId w:val="2"/>
        </w:numPr>
        <w:spacing w:after="60" w:line="276"/>
      </w:pPr>
      <w:r>
        <w:rPr>
          <w:rFonts w:ascii="Times New Roman" w:cs="Times New Roman" w:eastAsia="Times New Roman" w:hAnsi="Times New Roman"/>
          <w:sz w:val="22"/>
          <w:szCs w:val="22"/>
        </w:rPr>
        <w:t xml:space="preserve">Ningún término técnico aparece sin traducción inmediata en la misma oración. Ejemplo: “renta fija, es decir, inversiones más predecibles y de menor riesgo, como los bonos”, en lugar de solo “renta fija”.</w:t>
      </w:r>
    </w:p>
    <w:p>
      <w:pPr>
        <w:pStyle w:val="ListParagraph"/>
        <w:numPr>
          <w:ilvl w:val="0"/>
          <w:numId w:val="2"/>
        </w:numPr>
        <w:spacing w:after="60" w:line="276"/>
      </w:pPr>
      <w:r>
        <w:rPr>
          <w:rFonts w:ascii="Times New Roman" w:cs="Times New Roman" w:eastAsia="Times New Roman" w:hAnsi="Times New Roman"/>
          <w:sz w:val="22"/>
          <w:szCs w:val="22"/>
        </w:rPr>
        <w:t xml:space="preserve">Todo resultado numérico se acompaña de un ejemplo concreto en soles, no solo en porcentajes. Ejemplo: “de tus S/ 5,000, esto significa poner aproximadamente S/ 1,250 en...”.</w:t>
      </w:r>
    </w:p>
    <w:p>
      <w:pPr>
        <w:pStyle w:val="ListParagraph"/>
        <w:numPr>
          <w:ilvl w:val="0"/>
          <w:numId w:val="2"/>
        </w:numPr>
        <w:spacing w:after="60" w:line="276"/>
      </w:pPr>
      <w:r>
        <w:rPr>
          <w:rFonts w:ascii="Times New Roman" w:cs="Times New Roman" w:eastAsia="Times New Roman" w:hAnsi="Times New Roman"/>
          <w:sz w:val="22"/>
          <w:szCs w:val="22"/>
        </w:rPr>
        <w:t xml:space="preserve">El riesgo se explica con un escenario, no con la palabra “riesgo” aislada. Ejemplo: “en un año malo, este portafolio podría llegar a bajar hasta un X%, es decir, unos S/ Y menos de lo invertido”.</w:t>
      </w:r>
    </w:p>
    <w:p>
      <w:pPr>
        <w:pStyle w:val="ListParagraph"/>
        <w:numPr>
          <w:ilvl w:val="0"/>
          <w:numId w:val="2"/>
        </w:numPr>
        <w:spacing w:after="60" w:line="276"/>
      </w:pPr>
      <w:r>
        <w:rPr>
          <w:rFonts w:ascii="Times New Roman" w:cs="Times New Roman" w:eastAsia="Times New Roman" w:hAnsi="Times New Roman"/>
          <w:sz w:val="22"/>
          <w:szCs w:val="22"/>
        </w:rPr>
        <w:t xml:space="preserve">Se evita literalmente el nombre de categorías ambiguas sin aclaración (ver sección 2.2): en vez de solo “Fondo Mutuo de Acciones”, se dice “fondos de acciones (inversiones en empresas, con mayor potencial de ganancia pero también mayor variabilidad)”.</w:t>
      </w:r>
    </w:p>
    <w:p>
      <w:pPr>
        <w:pStyle w:val="ListParagraph"/>
        <w:numPr>
          <w:ilvl w:val="0"/>
          <w:numId w:val="2"/>
        </w:numPr>
        <w:spacing w:after="60" w:line="276"/>
      </w:pPr>
      <w:r>
        <w:rPr>
          <w:rFonts w:ascii="Times New Roman" w:cs="Times New Roman" w:eastAsia="Times New Roman" w:hAnsi="Times New Roman"/>
          <w:b/>
          <w:bCs/>
          <w:sz w:val="22"/>
          <w:szCs w:val="22"/>
        </w:rPr>
        <w:t xml:space="preserve">Nuevo:</w:t>
      </w:r>
      <w:r>
        <w:rPr>
          <w:rFonts w:ascii="Times New Roman" w:cs="Times New Roman" w:eastAsia="Times New Roman" w:hAnsi="Times New Roman"/>
          <w:sz w:val="22"/>
          <w:szCs w:val="22"/>
        </w:rPr>
        <w:t xml:space="preserve"> se explica en una o dos frases cómo influyeron el horizonte y la capacidad de absorción, sin nombrar la técnica. Ejemplo: “como piensas necesitar este dinero en unos 3 años, el sistema fue algo más cauteloso de lo que pediste”; o “como esta inversión es una parte pequeña de tus ahorros y tienes un fondo de emergencia, el sistema aceptó un poco más de variabilidad”.</w:t>
      </w:r>
    </w:p>
    <w:p>
      <w:pPr>
        <w:pStyle w:val="ListParagraph"/>
        <w:numPr>
          <w:ilvl w:val="0"/>
          <w:numId w:val="2"/>
        </w:numPr>
        <w:spacing w:after="60" w:line="276"/>
      </w:pPr>
      <w:r>
        <w:rPr>
          <w:rFonts w:ascii="Times New Roman" w:cs="Times New Roman" w:eastAsia="Times New Roman" w:hAnsi="Times New Roman"/>
          <w:b/>
          <w:bCs/>
          <w:sz w:val="22"/>
          <w:szCs w:val="22"/>
        </w:rPr>
        <w:t xml:space="preserve">Nuevo:</w:t>
      </w:r>
      <w:r>
        <w:rPr>
          <w:rFonts w:ascii="Times New Roman" w:cs="Times New Roman" w:eastAsia="Times New Roman" w:hAnsi="Times New Roman"/>
          <w:sz w:val="22"/>
          <w:szCs w:val="22"/>
        </w:rPr>
        <w:t xml:space="preserve"> se declaran siempre los supuestos de contexto activos, en lenguaje simple (“se asumió un panorama político neutral; si este cambia, la recomendación podría cambiar”), y se presentan como supuestos ajustables, nunca como predicciones. Si se aplicó un valor por defecto porque el usuario no quiso responder algún dato, también se declara.</w:t>
      </w:r>
    </w:p>
    <w:p>
      <w:pPr>
        <w:pStyle w:val="ListParagraph"/>
        <w:numPr>
          <w:ilvl w:val="0"/>
          <w:numId w:val="2"/>
        </w:numPr>
        <w:spacing w:after="60" w:line="276"/>
      </w:pPr>
      <w:r>
        <w:rPr>
          <w:rFonts w:ascii="Times New Roman" w:cs="Times New Roman" w:eastAsia="Times New Roman" w:hAnsi="Times New Roman"/>
          <w:sz w:val="22"/>
          <w:szCs w:val="22"/>
        </w:rPr>
        <w:t xml:space="preserve">La respuesta cierra siempre con el recordatorio de que es una herramienta educativa, no asesoría financiera real.</w:t>
      </w:r>
    </w:p>
    <w:p>
      <w:pPr>
        <w:spacing w:after="120" w:line="276"/>
        <w:jc w:val="both"/>
      </w:pPr>
      <w:r>
        <w:rPr>
          <w:rFonts w:ascii="Times New Roman" w:cs="Times New Roman" w:eastAsia="Times New Roman" w:hAnsi="Times New Roman"/>
          <w:sz w:val="22"/>
          <w:szCs w:val="22"/>
        </w:rPr>
        <w:t xml:space="preserve">Adicionalmente, la interfaz gráfica ofrece un panel opcional “ver detalle técnico”, colapsado por defecto, donde se muestran los valores exactos de μ, σ, λ</w:t>
      </w:r>
      <w:r>
        <w:rPr>
          <w:rFonts w:ascii="Times New Roman" w:cs="Times New Roman" w:eastAsia="Times New Roman" w:hAnsi="Times New Roman"/>
          <w:sz w:val="22"/>
          <w:szCs w:val="22"/>
          <w:vertAlign w:val="subscript"/>
        </w:rPr>
        <w:t xml:space="preserve">base</w:t>
      </w:r>
      <w:r>
        <w:rPr>
          <w:rFonts w:ascii="Times New Roman" w:cs="Times New Roman" w:eastAsia="Times New Roman" w:hAnsi="Times New Roman"/>
          <w:sz w:val="22"/>
          <w:szCs w:val="22"/>
        </w:rPr>
        <w:t xml:space="preserve">, λ</w:t>
      </w:r>
      <w:r>
        <w:rPr>
          <w:rFonts w:ascii="Times New Roman" w:cs="Times New Roman" w:eastAsia="Times New Roman" w:hAnsi="Times New Roman"/>
          <w:sz w:val="22"/>
          <w:szCs w:val="22"/>
          <w:vertAlign w:val="subscript"/>
        </w:rPr>
        <w:t xml:space="preserve">ef</w:t>
      </w:r>
      <w:r>
        <w:rPr>
          <w:rFonts w:ascii="Times New Roman" w:cs="Times New Roman" w:eastAsia="Times New Roman" w:hAnsi="Times New Roman"/>
          <w:sz w:val="22"/>
          <w:szCs w:val="22"/>
        </w:rPr>
        <w:t xml:space="preserve">, las pertenencias difusas, CA, σ</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los factores de contexto y los ajustes c</w:t>
      </w:r>
      <w:r>
        <w:rPr>
          <w:rFonts w:ascii="Times New Roman" w:cs="Times New Roman" w:eastAsia="Times New Roman" w:hAnsi="Times New Roman"/>
          <w:sz w:val="22"/>
          <w:szCs w:val="22"/>
          <w:vertAlign w:val="subscript"/>
        </w:rPr>
        <w:t xml:space="preserve">i</w:t>
      </w:r>
      <w:r>
        <w:rPr>
          <w:rFonts w:ascii="Times New Roman" w:cs="Times New Roman" w:eastAsia="Times New Roman" w:hAnsi="Times New Roman"/>
          <w:sz w:val="22"/>
          <w:szCs w:val="22"/>
        </w:rPr>
        <w:t xml:space="preserve">, y la descomposición del fitness (retorno histórico, término contextual, riesgo y penalización), para usuarios que sí quieran profundizar (por ejemplo, el propio docente evaluador). Esto evita elegir entre “simplificar para todos” o “ser preciso para todos”: ambos públicos quedan cubiertos.</w:t>
      </w:r>
    </w:p>
    <w:p>
      <w:pPr>
        <w:pStyle w:val="Heading1"/>
        <w:keepNext/>
      </w:pPr>
      <w:r>
        <w:rPr>
          <w:rFonts w:ascii="Times New Roman" w:cs="Times New Roman" w:eastAsia="Times New Roman" w:hAnsi="Times New Roman"/>
        </w:rPr>
        <w:t xml:space="preserve">7. Población Objetivo y Casos de Uso</w:t>
      </w:r>
    </w:p>
    <w:p>
      <w:pPr>
        <w:spacing w:after="120" w:line="276"/>
        <w:jc w:val="both"/>
      </w:pPr>
      <w:r>
        <w:rPr>
          <w:rFonts w:ascii="Times New Roman" w:cs="Times New Roman" w:eastAsia="Times New Roman" w:hAnsi="Times New Roman"/>
          <w:sz w:val="22"/>
          <w:szCs w:val="22"/>
        </w:rPr>
        <w:t xml:space="preserve">La población objetivo principal son ciudadanos comunes en el Perú, sin conocimientos financieros previos ni acceso a un asesor de inversiones, que buscan una orientación básica sobre cómo distribuir sus ahorros. Adicionalmente, el sistema es relevante para:</w:t>
      </w:r>
    </w:p>
    <w:p>
      <w:pPr>
        <w:pStyle w:val="ListParagraph"/>
        <w:numPr>
          <w:ilvl w:val="0"/>
          <w:numId w:val="2"/>
        </w:numPr>
        <w:spacing w:after="60" w:line="276"/>
      </w:pPr>
      <w:r>
        <w:rPr>
          <w:rFonts w:ascii="Times New Roman" w:cs="Times New Roman" w:eastAsia="Times New Roman" w:hAnsi="Times New Roman"/>
          <w:sz w:val="22"/>
          <w:szCs w:val="22"/>
        </w:rPr>
        <w:t xml:space="preserve">Estudiantes de finanzas o de este mismo curso, como herramienta didáctica para visualizar cómo interactúan optimización, incertidumbre, lógica difusa e IA generativa en un problema real.</w:t>
      </w:r>
    </w:p>
    <w:p>
      <w:pPr>
        <w:pStyle w:val="ListParagraph"/>
        <w:numPr>
          <w:ilvl w:val="0"/>
          <w:numId w:val="2"/>
        </w:numPr>
        <w:spacing w:after="60" w:line="276"/>
      </w:pPr>
      <w:r>
        <w:rPr>
          <w:rFonts w:ascii="Times New Roman" w:cs="Times New Roman" w:eastAsia="Times New Roman" w:hAnsi="Times New Roman"/>
          <w:sz w:val="22"/>
          <w:szCs w:val="22"/>
        </w:rPr>
        <w:t xml:space="preserve">Pequeñas empresas o profesionales independientes que gestionan un fondo de ahorro propio y quieren una primera referencia antes de consultar a un asesor certificado.</w:t>
      </w:r>
    </w:p>
    <w:p>
      <w:pPr>
        <w:pStyle w:val="ListParagraph"/>
        <w:numPr>
          <w:ilvl w:val="0"/>
          <w:numId w:val="2"/>
        </w:numPr>
        <w:spacing w:after="60" w:line="276"/>
      </w:pPr>
      <w:r>
        <w:rPr>
          <w:rFonts w:ascii="Times New Roman" w:cs="Times New Roman" w:eastAsia="Times New Roman" w:hAnsi="Times New Roman"/>
          <w:sz w:val="22"/>
          <w:szCs w:val="22"/>
        </w:rPr>
        <w:t xml:space="preserve">Instituciones educativas, como caso de estudio de integración de múltiples técnicas de IA en una aplicación con fines pedagógicos.</w:t>
      </w:r>
    </w:p>
    <w:p>
      <w:pPr>
        <w:spacing w:after="120" w:line="276"/>
        <w:jc w:val="both"/>
      </w:pPr>
      <w:r>
        <w:rPr>
          <w:rFonts w:ascii="Times New Roman" w:cs="Times New Roman" w:eastAsia="Times New Roman" w:hAnsi="Times New Roman"/>
          <w:sz w:val="22"/>
          <w:szCs w:val="22"/>
        </w:rPr>
        <w:t xml:space="preserve">No está dirigido a inversionistas institucionales, gestores de fondos profesionales, ni a ningún uso que requiera cumplimiento regulatorio financiero, dado el carácter académico del proyecto declarado en la sección 2.</w:t>
      </w:r>
    </w:p>
    <w:p>
      <w:pPr>
        <w:pStyle w:val="Heading1"/>
        <w:keepNext/>
      </w:pPr>
      <w:r>
        <w:rPr>
          <w:rFonts w:ascii="Times New Roman" w:cs="Times New Roman" w:eastAsia="Times New Roman" w:hAnsi="Times New Roman"/>
        </w:rPr>
        <w:t xml:space="preserve">8. Ventajas frente a Otros Softwares Existentes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Software existente</w:t>
            </w:r>
          </w:p>
        </w:tc>
        <w:tc>
          <w:tcPr>
            <w:tcW w:type="dxa" w:w="64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Limitación frente a este proyecto</w:t>
            </w:r>
          </w:p>
        </w:tc>
      </w:tr>
      <w:tr>
        <w:trPr>
          <w:cantSplit/>
        </w:trPr>
        <w:tc>
          <w:tcPr>
            <w:tcW w:type="dxa" w:w="3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Calculadoras de perfil de riesgo (cuestionarios estáticos)</w:t>
            </w:r>
          </w:p>
        </w:tc>
        <w:tc>
          <w:tcPr>
            <w:tcW w:type="dxa" w:w="64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Usan formularios rígidos de opción múltiple; no interpretan lenguaje natural ni piden aclaraciones cuando la información es ambigua.</w:t>
            </w:r>
          </w:p>
        </w:tc>
      </w:tr>
      <w:tr>
        <w:trPr>
          <w:cantSplit/>
        </w:trPr>
        <w:tc>
          <w:tcPr>
            <w:tcW w:type="dxa" w:w="32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Robo-advisors comerciales (Perú y otros mercados)</w:t>
            </w:r>
          </w:p>
        </w:tc>
        <w:tc>
          <w:tcPr>
            <w:tcW w:type="dxa" w:w="64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Optimizan portafolios pero no explican el razonamiento en lenguaje accesible; asumen que el usuario ya entiende términos financieros.</w:t>
            </w:r>
          </w:p>
        </w:tc>
      </w:tr>
      <w:tr>
        <w:trPr>
          <w:cantSplit/>
        </w:trPr>
        <w:tc>
          <w:tcPr>
            <w:tcW w:type="dxa" w:w="3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Simuladores de portafolio académicos</w:t>
            </w:r>
          </w:p>
        </w:tc>
        <w:tc>
          <w:tcPr>
            <w:tcW w:type="dxa" w:w="64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Suelen implementar solo el algoritmo de optimización (heurística), sin un componente de incertidumbre actualizable ni una capa conversacional.</w:t>
            </w:r>
          </w:p>
        </w:tc>
      </w:tr>
      <w:tr>
        <w:trPr>
          <w:cantSplit/>
        </w:trPr>
        <w:tc>
          <w:tcPr>
            <w:tcW w:type="dxa" w:w="32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Chatbots financieros genéricos basados solo en LLM</w:t>
            </w:r>
          </w:p>
        </w:tc>
        <w:tc>
          <w:tcPr>
            <w:tcW w:type="dxa" w:w="64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Generan texto plausible pero no ejecutan una optimización matemática real ni un modelo probabilístico explícito detrás de la recomendación.</w:t>
            </w:r>
          </w:p>
        </w:tc>
      </w:tr>
      <w:tr>
        <w:trPr>
          <w:cantSplit/>
        </w:trPr>
        <w:tc>
          <w:tcPr>
            <w:tcW w:type="dxa" w:w="32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Perfilamiento con umbrales rígidos y sin contexto</w:t>
            </w:r>
          </w:p>
        </w:tc>
        <w:tc>
          <w:tcPr>
            <w:tcW w:type="dxa" w:w="64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Aplican reglas del tipo “si el plazo es menor a 3 años, perfil conservador”, que producen saltos bruscos en los bordes y no consideran el entorno; este proyecto usa transiciones graduales (lógica difusa) y ajustes contextuales acotados y visibles.</w:t>
            </w:r>
          </w:p>
        </w:tc>
      </w:tr>
    </w:tbl>
    <w:p>
      <w:pPr>
        <w:spacing w:after="100"/>
      </w:pPr>
    </w:p>
    <w:p>
      <w:pPr>
        <w:spacing w:after="120" w:line="276"/>
        <w:jc w:val="both"/>
      </w:pPr>
      <w:r>
        <w:rPr>
          <w:rFonts w:ascii="Times New Roman" w:cs="Times New Roman" w:eastAsia="Times New Roman" w:hAnsi="Times New Roman"/>
          <w:sz w:val="22"/>
          <w:szCs w:val="22"/>
        </w:rPr>
        <w:t xml:space="preserve">La ventaja central del sistema es la integración coordinada de los enfoques: un cálculo matemáticamente fundamentado (heurística + incertidumbre), sensible al perfil real del usuario (lógica difusa) y al entorno (reglas de contexto), presentado a través de una interfaz verdaderamente comprensible para alguien sin formación financiera (IA generativa diseñada explícitamente para ese público), con transparencia explícita sobre sus límites de alcance.</w:t>
      </w:r>
    </w:p>
    <w:p>
      <w:pPr>
        <w:pStyle w:val="Heading1"/>
        <w:keepNext/>
      </w:pPr>
      <w:r>
        <w:rPr>
          <w:rFonts w:ascii="Times New Roman" w:cs="Times New Roman" w:eastAsia="Times New Roman" w:hAnsi="Times New Roman"/>
        </w:rPr>
        <w:t xml:space="preserve">9. Estado Actual del Proyecto (Avance 30% — Semana 5)</w:t>
      </w:r>
    </w:p>
    <w:p>
      <w:pPr>
        <w:pStyle w:val="Heading2"/>
        <w:keepNext/>
      </w:pPr>
      <w:r>
        <w:rPr>
          <w:rFonts w:ascii="Times New Roman" w:cs="Times New Roman" w:eastAsia="Times New Roman" w:hAnsi="Times New Roman"/>
        </w:rPr>
        <w:t xml:space="preserve">9.1. Completado</w:t>
      </w:r>
    </w:p>
    <w:p>
      <w:pPr>
        <w:pStyle w:val="ListParagraph"/>
        <w:numPr>
          <w:ilvl w:val="0"/>
          <w:numId w:val="2"/>
        </w:numPr>
        <w:spacing w:after="60" w:line="276"/>
      </w:pPr>
      <w:r>
        <w:rPr>
          <w:rFonts w:ascii="Times New Roman" w:cs="Times New Roman" w:eastAsia="Times New Roman" w:hAnsi="Times New Roman"/>
          <w:sz w:val="22"/>
          <w:szCs w:val="22"/>
        </w:rPr>
        <w:t xml:space="preserve">Definición del problema, alcance y población objetivo (secciones 1, 2 y 7 de este documento).</w:t>
      </w:r>
    </w:p>
    <w:p>
      <w:pPr>
        <w:pStyle w:val="ListParagraph"/>
        <w:numPr>
          <w:ilvl w:val="0"/>
          <w:numId w:val="2"/>
        </w:numPr>
        <w:spacing w:after="60" w:line="276"/>
      </w:pPr>
      <w:r>
        <w:rPr>
          <w:rFonts w:ascii="Times New Roman" w:cs="Times New Roman" w:eastAsia="Times New Roman" w:hAnsi="Times New Roman"/>
          <w:sz w:val="22"/>
          <w:szCs w:val="22"/>
        </w:rPr>
        <w:t xml:space="preserve">Diseño de gen, cromosoma y población del algoritmo genético, con datos de referencia de 5 categorías del mercado peruano.</w:t>
      </w:r>
    </w:p>
    <w:p>
      <w:pPr>
        <w:pStyle w:val="ListParagraph"/>
        <w:numPr>
          <w:ilvl w:val="0"/>
          <w:numId w:val="2"/>
        </w:numPr>
        <w:spacing w:after="60" w:line="276"/>
      </w:pPr>
      <w:r>
        <w:rPr>
          <w:rFonts w:ascii="Times New Roman" w:cs="Times New Roman" w:eastAsia="Times New Roman" w:hAnsi="Times New Roman"/>
          <w:sz w:val="22"/>
          <w:szCs w:val="22"/>
        </w:rPr>
        <w:t xml:space="preserve">Función de fitness definida matemáticamente y validada con ejemplos numéricos (sección 5).</w:t>
      </w:r>
    </w:p>
    <w:p>
      <w:pPr>
        <w:pStyle w:val="ListParagraph"/>
        <w:numPr>
          <w:ilvl w:val="0"/>
          <w:numId w:val="2"/>
        </w:numPr>
        <w:spacing w:after="60" w:line="276"/>
      </w:pPr>
      <w:r>
        <w:rPr>
          <w:rFonts w:ascii="Times New Roman" w:cs="Times New Roman" w:eastAsia="Times New Roman" w:hAnsi="Times New Roman"/>
          <w:sz w:val="22"/>
          <w:szCs w:val="22"/>
        </w:rPr>
        <w:t xml:space="preserve">Prototipo funcional del algoritmo genético (notebook de Google Colab), probado con 3 perfiles de riesgo distintos (conservador, moderado, agresivo), con resultados coherentes.</w:t>
      </w:r>
    </w:p>
    <w:p>
      <w:pPr>
        <w:pStyle w:val="ListParagraph"/>
        <w:numPr>
          <w:ilvl w:val="0"/>
          <w:numId w:val="2"/>
        </w:numPr>
        <w:spacing w:after="60" w:line="276"/>
      </w:pPr>
      <w:r>
        <w:rPr>
          <w:rFonts w:ascii="Times New Roman" w:cs="Times New Roman" w:eastAsia="Times New Roman" w:hAnsi="Times New Roman"/>
          <w:sz w:val="22"/>
          <w:szCs w:val="22"/>
        </w:rPr>
        <w:t xml:space="preserve">Contratos de datos entre los módulos especificados (sección 4.7), listos para servir de base a la implementación de código.</w:t>
      </w:r>
    </w:p>
    <w:p>
      <w:pPr>
        <w:pStyle w:val="ListParagraph"/>
        <w:numPr>
          <w:ilvl w:val="0"/>
          <w:numId w:val="2"/>
        </w:numPr>
        <w:spacing w:after="60" w:line="276"/>
      </w:pPr>
      <w:r>
        <w:rPr>
          <w:rFonts w:ascii="Times New Roman" w:cs="Times New Roman" w:eastAsia="Times New Roman" w:hAnsi="Times New Roman"/>
          <w:sz w:val="22"/>
          <w:szCs w:val="22"/>
        </w:rPr>
        <w:t xml:space="preserve">Diseño formal de la capa de explicación en lenguaje simple y del requisito de clarificación ante ambigüedad (secciones 4.2 y 6).</w:t>
      </w:r>
    </w:p>
    <w:p>
      <w:pPr>
        <w:pStyle w:val="ListParagraph"/>
        <w:numPr>
          <w:ilvl w:val="0"/>
          <w:numId w:val="2"/>
        </w:numPr>
        <w:spacing w:after="60" w:line="276"/>
      </w:pPr>
      <w:r>
        <w:rPr>
          <w:rFonts w:ascii="Times New Roman" w:cs="Times New Roman" w:eastAsia="Times New Roman" w:hAnsi="Times New Roman"/>
          <w:b/>
          <w:bCs/>
          <w:sz w:val="22"/>
          <w:szCs w:val="22"/>
        </w:rPr>
        <w:t xml:space="preserve">Nuevo:</w:t>
      </w:r>
      <w:r>
        <w:rPr>
          <w:rFonts w:ascii="Times New Roman" w:cs="Times New Roman" w:eastAsia="Times New Roman" w:hAnsi="Times New Roman"/>
          <w:sz w:val="22"/>
          <w:szCs w:val="22"/>
        </w:rPr>
        <w:t xml:space="preserve"> diseño formal del módulo de lógica difusa, con dos aplicaciones (horizonte temporal y capacidad de absorción), funciones de pertenencia, bases de reglas y ejemplos numéricos (sección 4.5).</w:t>
      </w:r>
    </w:p>
    <w:p>
      <w:pPr>
        <w:pStyle w:val="ListParagraph"/>
        <w:numPr>
          <w:ilvl w:val="0"/>
          <w:numId w:val="2"/>
        </w:numPr>
        <w:spacing w:after="60" w:line="276"/>
      </w:pPr>
      <w:r>
        <w:rPr>
          <w:rFonts w:ascii="Times New Roman" w:cs="Times New Roman" w:eastAsia="Times New Roman" w:hAnsi="Times New Roman"/>
          <w:b/>
          <w:bCs/>
          <w:sz w:val="22"/>
          <w:szCs w:val="22"/>
        </w:rPr>
        <w:t xml:space="preserve">Nuevo:</w:t>
      </w:r>
      <w:r>
        <w:rPr>
          <w:rFonts w:ascii="Times New Roman" w:cs="Times New Roman" w:eastAsia="Times New Roman" w:hAnsi="Times New Roman"/>
          <w:sz w:val="22"/>
          <w:szCs w:val="22"/>
        </w:rPr>
        <w:t xml:space="preserve"> diseño formal de las reglas de contexto, con factores, fórmulas, tope de influencia y parámetros iniciales (sección 4.6 y Anexo C), y de la función de aptitud ampliada (sección 5.2).</w:t>
      </w:r>
    </w:p>
    <w:p>
      <w:pPr>
        <w:pStyle w:val="Heading2"/>
        <w:keepNext/>
      </w:pPr>
      <w:r>
        <w:rPr>
          <w:rFonts w:ascii="Times New Roman" w:cs="Times New Roman" w:eastAsia="Times New Roman" w:hAnsi="Times New Roman"/>
        </w:rPr>
        <w:t xml:space="preserve">9.2. Pendiente</w:t>
      </w:r>
    </w:p>
    <w:p>
      <w:pPr>
        <w:pStyle w:val="ListParagraph"/>
        <w:numPr>
          <w:ilvl w:val="0"/>
          <w:numId w:val="2"/>
        </w:numPr>
        <w:spacing w:after="60" w:line="276"/>
      </w:pPr>
      <w:r>
        <w:rPr>
          <w:rFonts w:ascii="Times New Roman" w:cs="Times New Roman" w:eastAsia="Times New Roman" w:hAnsi="Times New Roman"/>
          <w:sz w:val="22"/>
          <w:szCs w:val="22"/>
        </w:rPr>
        <w:t xml:space="preserve">Conexión a una API real de IA generativa (evaluar OpenAI, Anthropic u otra; definir criterio de selección).</w:t>
      </w:r>
    </w:p>
    <w:p>
      <w:pPr>
        <w:pStyle w:val="ListParagraph"/>
        <w:numPr>
          <w:ilvl w:val="0"/>
          <w:numId w:val="2"/>
        </w:numPr>
        <w:spacing w:after="60" w:line="276"/>
      </w:pPr>
      <w:r>
        <w:rPr>
          <w:rFonts w:ascii="Times New Roman" w:cs="Times New Roman" w:eastAsia="Times New Roman" w:hAnsi="Times New Roman"/>
          <w:sz w:val="22"/>
          <w:szCs w:val="22"/>
        </w:rPr>
        <w:t xml:space="preserve">Implementación del módulo bayesiano con datos históricos reales y la actualización bayesiana simple descrita en 4.3 (actualmente μ y σ son valores de referencia fijos), incluido el indicador de tendencia s</w:t>
      </w:r>
      <w:r>
        <w:rPr>
          <w:rFonts w:ascii="Times New Roman" w:cs="Times New Roman" w:eastAsia="Times New Roman" w:hAnsi="Times New Roman"/>
          <w:sz w:val="22"/>
          <w:szCs w:val="22"/>
          <w:vertAlign w:val="subscript"/>
        </w:rPr>
        <w:t xml:space="preserve">tend,i</w:t>
      </w:r>
      <w:r>
        <w:rPr>
          <w:rFonts w:ascii="Times New Roman" w:cs="Times New Roman" w:eastAsia="Times New Roman" w:hAnsi="Times New Roman"/>
          <w:sz w:val="22"/>
          <w:szCs w:val="22"/>
        </w:rPr>
        <w:t xml:space="preserve">.</w:t>
      </w:r>
    </w:p>
    <w:p>
      <w:pPr>
        <w:pStyle w:val="ListParagraph"/>
        <w:numPr>
          <w:ilvl w:val="0"/>
          <w:numId w:val="2"/>
        </w:numPr>
        <w:spacing w:after="60" w:line="276"/>
      </w:pPr>
      <w:r>
        <w:rPr>
          <w:rFonts w:ascii="Times New Roman" w:cs="Times New Roman" w:eastAsia="Times New Roman" w:hAnsi="Times New Roman"/>
          <w:sz w:val="22"/>
          <w:szCs w:val="22"/>
        </w:rPr>
        <w:t xml:space="preserve">Implementación del módulo difuso (funciones de pertenencia, reglas Sugeno de orden cero y cálculo de λ</w:t>
      </w:r>
      <w:r>
        <w:rPr>
          <w:rFonts w:ascii="Times New Roman" w:cs="Times New Roman" w:eastAsia="Times New Roman" w:hAnsi="Times New Roman"/>
          <w:sz w:val="22"/>
          <w:szCs w:val="22"/>
          <w:vertAlign w:val="subscript"/>
        </w:rPr>
        <w:t xml:space="preserve">ef</w:t>
      </w:r>
      <w:r>
        <w:rPr>
          <w:rFonts w:ascii="Times New Roman" w:cs="Times New Roman" w:eastAsia="Times New Roman" w:hAnsi="Times New Roman"/>
          <w:sz w:val="22"/>
          <w:szCs w:val="22"/>
        </w:rPr>
        <w:t xml:space="preserve"> y σ</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 e incorporación de sus salidas a la función de aptitud del prototipo de Colab.</w:t>
      </w:r>
    </w:p>
    <w:p>
      <w:pPr>
        <w:pStyle w:val="ListParagraph"/>
        <w:numPr>
          <w:ilvl w:val="0"/>
          <w:numId w:val="2"/>
        </w:numPr>
        <w:spacing w:after="60" w:line="276"/>
      </w:pPr>
      <w:r>
        <w:rPr>
          <w:rFonts w:ascii="Times New Roman" w:cs="Times New Roman" w:eastAsia="Times New Roman" w:hAnsi="Times New Roman"/>
          <w:sz w:val="22"/>
          <w:szCs w:val="22"/>
        </w:rPr>
        <w:t xml:space="preserve">Implementación del módulo de reglas de contexto y del término de ajuste en la función de aptitud; calibración y justificación con fuentes de los parámetros iniciales del Anexo C.</w:t>
      </w:r>
    </w:p>
    <w:p>
      <w:pPr>
        <w:pStyle w:val="ListParagraph"/>
        <w:numPr>
          <w:ilvl w:val="0"/>
          <w:numId w:val="2"/>
        </w:numPr>
        <w:spacing w:after="60" w:line="276"/>
      </w:pPr>
      <w:r>
        <w:rPr>
          <w:rFonts w:ascii="Times New Roman" w:cs="Times New Roman" w:eastAsia="Times New Roman" w:hAnsi="Times New Roman"/>
          <w:sz w:val="22"/>
          <w:szCs w:val="22"/>
        </w:rPr>
        <w:t xml:space="preserve">Diseño e implementación de la interfaz gráfica que integre los módulos según el flujo de la sección 4.1, incluido el panel de factores de contexto.</w:t>
      </w:r>
    </w:p>
    <w:p>
      <w:pPr>
        <w:pStyle w:val="ListParagraph"/>
        <w:numPr>
          <w:ilvl w:val="0"/>
          <w:numId w:val="2"/>
        </w:numPr>
        <w:spacing w:after="60" w:line="276"/>
      </w:pPr>
      <w:r>
        <w:rPr>
          <w:rFonts w:ascii="Times New Roman" w:cs="Times New Roman" w:eastAsia="Times New Roman" w:hAnsi="Times New Roman"/>
          <w:sz w:val="22"/>
          <w:szCs w:val="22"/>
        </w:rPr>
        <w:t xml:space="preserve">Implementación del loop de clarificación como parte del prompt/lógica de la IA generativa, incluidos los campos de ahorro total y cobertura de emergencia.</w:t>
      </w:r>
    </w:p>
    <w:p>
      <w:pPr>
        <w:pStyle w:val="ListParagraph"/>
        <w:numPr>
          <w:ilvl w:val="0"/>
          <w:numId w:val="2"/>
        </w:numPr>
        <w:spacing w:after="60" w:line="276"/>
      </w:pPr>
      <w:r>
        <w:rPr>
          <w:rFonts w:ascii="Times New Roman" w:cs="Times New Roman" w:eastAsia="Times New Roman" w:hAnsi="Times New Roman"/>
          <w:sz w:val="22"/>
          <w:szCs w:val="22"/>
        </w:rPr>
        <w:t xml:space="preserve">Pruebas de ablación con cuatro configuraciones (modelo base; solo difuso; solo contexto; modelo completo) sobre los tres perfiles de riesgo, para mostrar el efecto de cada aporte.</w:t>
      </w:r>
    </w:p>
    <w:p>
      <w:pPr>
        <w:pStyle w:val="ListParagraph"/>
        <w:numPr>
          <w:ilvl w:val="0"/>
          <w:numId w:val="2"/>
        </w:numPr>
        <w:spacing w:after="60" w:line="276"/>
      </w:pPr>
      <w:r>
        <w:rPr>
          <w:rFonts w:ascii="Times New Roman" w:cs="Times New Roman" w:eastAsia="Times New Roman" w:hAnsi="Times New Roman"/>
          <w:sz w:val="22"/>
          <w:szCs w:val="22"/>
        </w:rPr>
        <w:t xml:space="preserve">Redacción de los manuales de instalación y de usuario.</w:t>
      </w:r>
    </w:p>
    <w:p>
      <w:pPr>
        <w:pStyle w:val="ListParagraph"/>
        <w:numPr>
          <w:ilvl w:val="0"/>
          <w:numId w:val="2"/>
        </w:numPr>
        <w:spacing w:after="60" w:line="276"/>
      </w:pPr>
      <w:r>
        <w:rPr>
          <w:rFonts w:ascii="Times New Roman" w:cs="Times New Roman" w:eastAsia="Times New Roman" w:hAnsi="Times New Roman"/>
          <w:sz w:val="22"/>
          <w:szCs w:val="22"/>
        </w:rPr>
        <w:t xml:space="preserve">Pruebas de integración de punta a punta (texto del usuario → recomendación final explicada).</w:t>
      </w:r>
    </w:p>
    <w:p>
      <w:pPr>
        <w:pStyle w:val="Heading1"/>
        <w:keepNext/>
      </w:pPr>
      <w:r>
        <w:rPr>
          <w:rFonts w:ascii="Times New Roman" w:cs="Times New Roman" w:eastAsia="Times New Roman" w:hAnsi="Times New Roman"/>
        </w:rPr>
        <w:t xml:space="preserve">10. Plan de Trabajo Restante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6138"/>
      </w:tblGrid>
      <w:tr>
        <w:trPr>
          <w:cantSplit/>
          <w:tblHeader/>
        </w:trPr>
        <w:tc>
          <w:tcPr>
            <w:tcW w:type="dxa" w:w="11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Semana</w:t>
            </w:r>
          </w:p>
        </w:tc>
        <w:tc>
          <w:tcPr>
            <w:tcW w:type="dxa" w:w="24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Meta</w:t>
            </w:r>
          </w:p>
        </w:tc>
        <w:tc>
          <w:tcPr>
            <w:tcW w:type="dxa" w:w="61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Entregable asociado</w:t>
            </w:r>
          </w:p>
        </w:tc>
      </w:tr>
      <w:tr>
        <w:trPr>
          <w:cantSplit/>
        </w:trPr>
        <w:tc>
          <w:tcPr>
            <w:tcW w:type="dxa" w:w="11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6</w:t>
            </w:r>
          </w:p>
        </w:tc>
        <w:tc>
          <w:tcPr>
            <w:tcW w:type="dxa" w:w="2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Avance 60%</w:t>
            </w:r>
          </w:p>
        </w:tc>
        <w:tc>
          <w:tcPr>
            <w:tcW w:type="dxa" w:w="61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Integración de los módulos (incluidos el difuso y el de contexto) con datos reales; primera versión funcional de la interfaz gráfica con panel de factores de contexto; loop de clarificación operativo; primeras pruebas de ablación.</w:t>
            </w:r>
          </w:p>
        </w:tc>
      </w:tr>
      <w:tr>
        <w:trPr>
          <w:cantSplit/>
        </w:trPr>
        <w:tc>
          <w:tcPr>
            <w:tcW w:type="dxa" w:w="11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7</w:t>
            </w:r>
          </w:p>
        </w:tc>
        <w:tc>
          <w:tcPr>
            <w:tcW w:type="dxa" w:w="24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Entrega final y exposición</w:t>
            </w:r>
          </w:p>
        </w:tc>
        <w:tc>
          <w:tcPr>
            <w:tcW w:type="dxa" w:w="61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Manual de instalación, manual de usuario, código fuente completo, informe técnico final (con resultados de las pruebas de ablación y calibración de parámetros) y exposición del equipo.</w:t>
            </w:r>
          </w:p>
        </w:tc>
      </w:tr>
    </w:tbl>
    <w:p>
      <w:pPr>
        <w:spacing w:after="100"/>
      </w:pPr>
    </w:p>
    <w:p>
      <w:pPr>
        <w:spacing w:after="120" w:line="276"/>
        <w:jc w:val="both"/>
      </w:pPr>
      <w:r>
        <w:rPr>
          <w:rFonts w:ascii="Times New Roman" w:cs="Times New Roman" w:eastAsia="Times New Roman" w:hAnsi="Times New Roman"/>
          <w:b/>
          <w:bCs/>
          <w:sz w:val="22"/>
          <w:szCs w:val="22"/>
        </w:rPr>
        <w:t xml:space="preserve">Trabajo futuro</w:t>
      </w:r>
      <w:r>
        <w:rPr>
          <w:rFonts w:ascii="Times New Roman" w:cs="Times New Roman" w:eastAsia="Times New Roman" w:hAnsi="Times New Roman"/>
          <w:sz w:val="22"/>
          <w:szCs w:val="22"/>
        </w:rPr>
        <w:t xml:space="preserve"> (fuera del alcance de esta entrega): extensión multi-país mediante un parámetro de mercado y una tabla o API de instrumentos financieros locales por país; actualización bayesiana con datos de mercado en tiempo real; obtención automática de los factores de contexto desde fuentes de datos; funciones de pertenencia calibradas con datos de usuarios; recomendación de productos específicos por entidad financiera.</w:t>
      </w:r>
    </w:p>
    <w:p>
      <w:pPr>
        <w:pStyle w:val="Heading1"/>
        <w:keepNext/>
      </w:pPr>
      <w:r>
        <w:rPr>
          <w:rFonts w:ascii="Times New Roman" w:cs="Times New Roman" w:eastAsia="Times New Roman" w:hAnsi="Times New Roman"/>
        </w:rPr>
        <w:t xml:space="preserve">11. Glosario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Término</w:t>
            </w:r>
          </w:p>
        </w:tc>
        <w:tc>
          <w:tcPr>
            <w:tcW w:type="dxa" w:w="68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Definición</w:t>
            </w:r>
          </w:p>
        </w:tc>
      </w:tr>
      <w:tr>
        <w:trPr>
          <w:cantSplit/>
        </w:trPr>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Renta fija</w:t>
            </w:r>
          </w:p>
        </w:tc>
        <w:tc>
          <w:tcPr>
            <w:tcW w:type="dxa" w:w="68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Inversiones cuyo pago futuro está mayormente predefinido (bonos, depósitos), con menor variabilidad de resultado.</w:t>
            </w:r>
          </w:p>
        </w:tc>
      </w:tr>
      <w:tr>
        <w:trPr>
          <w:cantSplit/>
        </w:trPr>
        <w:tc>
          <w:tcPr>
            <w:tcW w:type="dxa" w:w="2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Renta variable</w:t>
            </w:r>
          </w:p>
        </w:tc>
        <w:tc>
          <w:tcPr>
            <w:tcW w:type="dxa" w:w="68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Inversiones cuyo valor depende del desempeño de empresas o mercados (acciones), con mayor potencial de ganancia y de pérdida.</w:t>
            </w:r>
          </w:p>
        </w:tc>
      </w:tr>
      <w:tr>
        <w:trPr>
          <w:cantSplit/>
        </w:trPr>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Retorno esperado (μ)</w:t>
            </w:r>
          </w:p>
        </w:tc>
        <w:tc>
          <w:tcPr>
            <w:tcW w:type="dxa" w:w="68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Promedio histórico de cuánto sube o baja el valor de una inversión en un periodo (típicamente un año).</w:t>
            </w:r>
          </w:p>
        </w:tc>
      </w:tr>
      <w:tr>
        <w:trPr>
          <w:cantSplit/>
        </w:trPr>
        <w:tc>
          <w:tcPr>
            <w:tcW w:type="dxa" w:w="2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Riesgo (σ)</w:t>
            </w:r>
          </w:p>
        </w:tc>
        <w:tc>
          <w:tcPr>
            <w:tcW w:type="dxa" w:w="68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Qué tan variable ha sido históricamente el valor de una inversión; a mayor σ, menos predecible el resultado.</w:t>
            </w:r>
          </w:p>
        </w:tc>
      </w:tr>
      <w:tr>
        <w:trPr>
          <w:cantSplit/>
        </w:trPr>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Covarianza</w:t>
            </w:r>
          </w:p>
        </w:tc>
        <w:tc>
          <w:tcPr>
            <w:tcW w:type="dxa" w:w="68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Medida de qué tanto se mueven juntos (o en direcciones opuestas) los valores de dos inversiones distintas.</w:t>
            </w:r>
          </w:p>
        </w:tc>
      </w:tr>
      <w:tr>
        <w:trPr>
          <w:cantSplit/>
        </w:trPr>
        <w:tc>
          <w:tcPr>
            <w:tcW w:type="dxa" w:w="2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Portafolio</w:t>
            </w:r>
          </w:p>
        </w:tc>
        <w:tc>
          <w:tcPr>
            <w:tcW w:type="dxa" w:w="68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Combinación de inversiones en distintas categorías, expresada como el porcentaje del dinero total puesto en cada una.</w:t>
            </w:r>
          </w:p>
        </w:tc>
      </w:tr>
      <w:tr>
        <w:trPr>
          <w:cantSplit/>
        </w:trPr>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Algoritmo genético</w:t>
            </w:r>
          </w:p>
        </w:tc>
        <w:tc>
          <w:tcPr>
            <w:tcW w:type="dxa" w:w="68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Método de búsqueda inspirado en la evolución biológica: genera muchas soluciones candidatas y las mejora por selección, cruce y mutación a lo largo de varias generaciones.</w:t>
            </w:r>
          </w:p>
        </w:tc>
      </w:tr>
      <w:tr>
        <w:trPr>
          <w:cantSplit/>
        </w:trPr>
        <w:tc>
          <w:tcPr>
            <w:tcW w:type="dxa" w:w="2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Inferencia bayesiana</w:t>
            </w:r>
          </w:p>
        </w:tc>
        <w:tc>
          <w:tcPr>
            <w:tcW w:type="dxa" w:w="68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Método estadístico que actualiza una estimación previa cuando llega nueva información, combinando ambas de forma ponderada.</w:t>
            </w:r>
          </w:p>
        </w:tc>
      </w:tr>
      <w:tr>
        <w:trPr>
          <w:cantSplit/>
        </w:trPr>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Lógica difusa</w:t>
            </w:r>
          </w:p>
        </w:tc>
        <w:tc>
          <w:tcPr>
            <w:tcW w:type="dxa" w:w="68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Enfoque que permite que un valor pertenezca parcialmente a varias categorías a la vez (por ejemplo, 2.5 años es en parte “corto” y en parte “mediano”), en lugar de obligar a elegir una sola.</w:t>
            </w:r>
          </w:p>
        </w:tc>
      </w:tr>
      <w:tr>
        <w:trPr>
          <w:cantSplit/>
        </w:trPr>
        <w:tc>
          <w:tcPr>
            <w:tcW w:type="dxa" w:w="2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Función de pertenencia</w:t>
            </w:r>
          </w:p>
        </w:tc>
        <w:tc>
          <w:tcPr>
            <w:tcW w:type="dxa" w:w="68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Curva que indica en qué grado (entre 0 y 1) un valor pertenece a un conjunto difuso.</w:t>
            </w:r>
          </w:p>
        </w:tc>
      </w:tr>
      <w:tr>
        <w:trPr>
          <w:cantSplit/>
        </w:trPr>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Inferencia Sugeno de orden cero</w:t>
            </w:r>
          </w:p>
        </w:tc>
        <w:tc>
          <w:tcPr>
            <w:tcW w:type="dxa" w:w="68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Esquema de inferencia difusa en el que cada regla produce un valor numérico fijo y la salida es el promedio de esos valores ponderado por el grado de activación de las reglas.</w:t>
            </w:r>
          </w:p>
        </w:tc>
      </w:tr>
      <w:tr>
        <w:trPr>
          <w:cantSplit/>
        </w:trPr>
        <w:tc>
          <w:tcPr>
            <w:tcW w:type="dxa" w:w="2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Horizonte temporal (H)</w:t>
            </w:r>
          </w:p>
        </w:tc>
        <w:tc>
          <w:tcPr>
            <w:tcW w:type="dxa" w:w="68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Tiempo durante el cual el usuario no necesitará el dinero invertido.</w:t>
            </w:r>
          </w:p>
        </w:tc>
      </w:tr>
      <w:tr>
        <w:trPr>
          <w:cantSplit/>
        </w:trPr>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Capacidad de absorción (CA)</w:t>
            </w:r>
          </w:p>
        </w:tc>
        <w:tc>
          <w:tcPr>
            <w:tcW w:type="dxa" w:w="68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Capacidad del usuario para soportar una pérdida temporal de lo invertido sin afectar sus necesidades básicas; se estima a partir de la proporción de ahorro comprometida y de su fondo de emergencia.</w:t>
            </w:r>
          </w:p>
        </w:tc>
      </w:tr>
      <w:tr>
        <w:trPr>
          <w:cantSplit/>
        </w:trPr>
        <w:tc>
          <w:tcPr>
            <w:tcW w:type="dxa" w:w="2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λ efectivo (λ</w:t>
            </w:r>
            <w:r>
              <w:rPr>
                <w:rFonts w:ascii="Times New Roman" w:cs="Times New Roman" w:eastAsia="Times New Roman" w:hAnsi="Times New Roman"/>
                <w:b w:val="false"/>
                <w:bCs w:val="false"/>
                <w:sz w:val="19"/>
                <w:szCs w:val="19"/>
                <w:vertAlign w:val="subscript"/>
              </w:rPr>
              <w:t xml:space="preserve">ef</w:t>
            </w:r>
            <w:r>
              <w:rPr>
                <w:rFonts w:ascii="Times New Roman" w:cs="Times New Roman" w:eastAsia="Times New Roman" w:hAnsi="Times New Roman"/>
                <w:b w:val="false"/>
                <w:bCs w:val="false"/>
                <w:sz w:val="19"/>
                <w:szCs w:val="19"/>
              </w:rPr>
              <w:t xml:space="preserve">)</w:t>
            </w:r>
          </w:p>
        </w:tc>
        <w:tc>
          <w:tcPr>
            <w:tcW w:type="dxa" w:w="68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Aversión al riesgo declarada por el usuario, modulada por su horizonte temporal.</w:t>
            </w:r>
          </w:p>
        </w:tc>
      </w:tr>
      <w:tr>
        <w:trPr>
          <w:cantSplit/>
        </w:trPr>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Factor de contexto</w:t>
            </w:r>
          </w:p>
        </w:tc>
        <w:tc>
          <w:tcPr>
            <w:tcW w:type="dxa" w:w="68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Condición del entorno (panorama político, estabilidad macroeconómica, tendencia de una categoría) que ajusta de forma acotada el retorno y el riesgo esperados.</w:t>
            </w:r>
          </w:p>
        </w:tc>
      </w:tr>
      <w:tr>
        <w:trPr>
          <w:cantSplit/>
        </w:trPr>
        <w:tc>
          <w:tcPr>
            <w:tcW w:type="dxa" w:w="2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Penalización por volatilidad</w:t>
            </w:r>
          </w:p>
        </w:tc>
        <w:tc>
          <w:tcPr>
            <w:tcW w:type="dxa" w:w="68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Término que resta puntaje a los portafolios cuyo riesgo supera la volatilidad máxima tolerable del usuario.</w:t>
            </w:r>
          </w:p>
        </w:tc>
      </w:tr>
    </w:tbl>
    <w:p>
      <w:pPr>
        <w:spacing w:after="100"/>
      </w:pPr>
    </w:p>
    <w:p>
      <w:pPr>
        <w:pStyle w:val="Heading1"/>
        <w:keepNext/>
      </w:pPr>
      <w:r>
        <w:rPr>
          <w:rFonts w:ascii="Times New Roman" w:cs="Times New Roman" w:eastAsia="Times New Roman" w:hAnsi="Times New Roman"/>
        </w:rPr>
        <w:t xml:space="preserve">Anexo A — Tabla de Categorías de Inversión de Referencia</w:t>
      </w:r>
    </w:p>
    <w:p>
      <w:pPr>
        <w:spacing w:after="120" w:line="276"/>
        <w:jc w:val="both"/>
      </w:pPr>
      <w:r>
        <w:rPr>
          <w:rFonts w:ascii="Times New Roman" w:cs="Times New Roman" w:eastAsia="Times New Roman" w:hAnsi="Times New Roman"/>
          <w:sz w:val="22"/>
          <w:szCs w:val="22"/>
        </w:rPr>
        <w:t xml:space="preserve">Valores de referencia utilizados como datos iniciales del módulo bayesiano (sección 4.3), correspondientes a promedios históricos reportados por la Asociación de Fondos Mutuos del Perú (AAFMP) y tasas referenciales de bonos soberanos y depósitos del sistema bancario peruano. Se presentan como categorías representativas, no como productos específicos (ver sección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2100"/>
        <w:gridCol w:w="2238"/>
      </w:tblGrid>
      <w:tr>
        <w:trPr>
          <w:cantSplit/>
          <w:tblHeader/>
        </w:trPr>
        <w:tc>
          <w:tcPr>
            <w:tcW w:type="dxa" w:w="28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Categoría (representativa)</w:t>
            </w:r>
          </w:p>
        </w:tc>
        <w:tc>
          <w:tcPr>
            <w:tcW w:type="dxa" w:w="25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Tipo</w:t>
            </w:r>
          </w:p>
        </w:tc>
        <w:tc>
          <w:tcPr>
            <w:tcW w:type="dxa" w:w="21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Retorno esperado μ (anual)</w:t>
            </w:r>
          </w:p>
        </w:tc>
        <w:tc>
          <w:tcPr>
            <w:tcW w:type="dxa" w:w="22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Riesgo σ (anual, aprox.)</w:t>
            </w:r>
          </w:p>
        </w:tc>
      </w:tr>
      <w:tr>
        <w:trPr>
          <w:cantSplit/>
        </w:trPr>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Fondos de acciones</w:t>
            </w:r>
          </w:p>
        </w:tc>
        <w:tc>
          <w:tcPr>
            <w:tcW w:type="dxa" w:w="25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Renta variable</w:t>
            </w:r>
          </w:p>
        </w:tc>
        <w:tc>
          <w:tcPr>
            <w:tcW w:type="dxa" w:w="21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12.2%</w:t>
            </w:r>
          </w:p>
        </w:tc>
        <w:tc>
          <w:tcPr>
            <w:tcW w:type="dxa" w:w="22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Alto (~18–20%)</w:t>
            </w:r>
          </w:p>
        </w:tc>
      </w:tr>
      <w:tr>
        <w:trPr>
          <w:cantSplit/>
        </w:trPr>
        <w:tc>
          <w:tcPr>
            <w:tcW w:type="dxa" w:w="2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Fondos mixtos</w:t>
            </w:r>
          </w:p>
        </w:tc>
        <w:tc>
          <w:tcPr>
            <w:tcW w:type="dxa" w:w="25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Renta variable + fija</w:t>
            </w:r>
          </w:p>
        </w:tc>
        <w:tc>
          <w:tcPr>
            <w:tcW w:type="dxa" w:w="21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6.1%</w:t>
            </w:r>
          </w:p>
        </w:tc>
        <w:tc>
          <w:tcPr>
            <w:tcW w:type="dxa" w:w="22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Medio (~8–10%)</w:t>
            </w:r>
          </w:p>
        </w:tc>
      </w:tr>
      <w:tr>
        <w:trPr>
          <w:cantSplit/>
        </w:trPr>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Fondos de deuda</w:t>
            </w:r>
          </w:p>
        </w:tc>
        <w:tc>
          <w:tcPr>
            <w:tcW w:type="dxa" w:w="25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Renta fija</w:t>
            </w:r>
          </w:p>
        </w:tc>
        <w:tc>
          <w:tcPr>
            <w:tcW w:type="dxa" w:w="21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2.4%</w:t>
            </w:r>
          </w:p>
        </w:tc>
        <w:tc>
          <w:tcPr>
            <w:tcW w:type="dxa" w:w="22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Bajo (~2–3%)</w:t>
            </w:r>
          </w:p>
        </w:tc>
      </w:tr>
      <w:tr>
        <w:trPr>
          <w:cantSplit/>
        </w:trPr>
        <w:tc>
          <w:tcPr>
            <w:tcW w:type="dxa" w:w="2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Bonos soberanos (BTP)</w:t>
            </w:r>
          </w:p>
        </w:tc>
        <w:tc>
          <w:tcPr>
            <w:tcW w:type="dxa" w:w="25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Renta fija gubernamental</w:t>
            </w:r>
          </w:p>
        </w:tc>
        <w:tc>
          <w:tcPr>
            <w:tcW w:type="dxa" w:w="21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6.5%</w:t>
            </w:r>
          </w:p>
        </w:tc>
        <w:tc>
          <w:tcPr>
            <w:tcW w:type="dxa" w:w="22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Bajo (~3–4%)</w:t>
            </w:r>
          </w:p>
        </w:tc>
      </w:tr>
      <w:tr>
        <w:trPr>
          <w:cantSplit/>
        </w:trPr>
        <w:tc>
          <w:tcPr>
            <w:tcW w:type="dxa" w:w="2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Depósito a plazo fijo</w:t>
            </w:r>
          </w:p>
        </w:tc>
        <w:tc>
          <w:tcPr>
            <w:tcW w:type="dxa" w:w="25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Ahorro bancario</w:t>
            </w:r>
          </w:p>
        </w:tc>
        <w:tc>
          <w:tcPr>
            <w:tcW w:type="dxa" w:w="21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4.5%</w:t>
            </w:r>
          </w:p>
        </w:tc>
        <w:tc>
          <w:tcPr>
            <w:tcW w:type="dxa" w:w="22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Muy bajo (~0.5%)</w:t>
            </w:r>
          </w:p>
        </w:tc>
      </w:tr>
    </w:tbl>
    <w:p>
      <w:pPr>
        <w:spacing w:after="100"/>
      </w:pPr>
    </w:p>
    <w:p>
      <w:pPr>
        <w:spacing w:after="120" w:line="276"/>
        <w:jc w:val="both"/>
      </w:pPr>
      <w:r>
        <w:rPr>
          <w:rFonts w:ascii="Times New Roman" w:cs="Times New Roman" w:eastAsia="Times New Roman" w:hAnsi="Times New Roman"/>
          <w:b/>
          <w:bCs/>
          <w:sz w:val="22"/>
          <w:szCs w:val="22"/>
        </w:rPr>
        <w:t xml:space="preserve">Ejemplo de cromosoma (portafolio):</w:t>
      </w:r>
      <w:r>
        <w:rPr>
          <w:rFonts w:ascii="Times New Roman" w:cs="Times New Roman" w:eastAsia="Times New Roman" w:hAnsi="Times New Roman"/>
          <w:sz w:val="22"/>
          <w:szCs w:val="22"/>
        </w:rPr>
        <w:t xml:space="preserve"> [0.25, 0.15, 0.20, 0.25, 0.15] equivale a 25% en fondos de acciones, 15% en fondos mixtos, 20% en fondos de deuda, 25% en bonos soberanos y 15% en depósito a plazo fijo.</w:t>
      </w:r>
    </w:p>
    <w:p>
      <w:pPr>
        <w:pStyle w:val="Heading1"/>
        <w:keepNext/>
      </w:pPr>
      <w:r>
        <w:rPr>
          <w:rFonts w:ascii="Times New Roman" w:cs="Times New Roman" w:eastAsia="Times New Roman" w:hAnsi="Times New Roman"/>
        </w:rPr>
        <w:t xml:space="preserve">Anexo B — Archivos del Proyecto</w:t>
      </w:r>
    </w:p>
    <w:p>
      <w:pPr>
        <w:pStyle w:val="ListParagraph"/>
        <w:numPr>
          <w:ilvl w:val="0"/>
          <w:numId w:val="2"/>
        </w:numPr>
        <w:spacing w:after="60" w:line="276"/>
      </w:pPr>
      <w:r>
        <w:rPr>
          <w:rFonts w:ascii="Times New Roman" w:cs="Times New Roman" w:eastAsia="Times New Roman" w:hAnsi="Times New Roman"/>
          <w:sz w:val="22"/>
          <w:szCs w:val="22"/>
        </w:rPr>
        <w:t xml:space="preserve">Informe técnico (este documento): base para el avance de la semana 5 y punto de partida del informe final.</w:t>
      </w:r>
    </w:p>
    <w:p>
      <w:pPr>
        <w:pStyle w:val="ListParagraph"/>
        <w:numPr>
          <w:ilvl w:val="0"/>
          <w:numId w:val="2"/>
        </w:numPr>
        <w:spacing w:after="60" w:line="276"/>
      </w:pPr>
      <w:r>
        <w:rPr>
          <w:rFonts w:ascii="Times New Roman" w:cs="Times New Roman" w:eastAsia="Times New Roman" w:hAnsi="Times New Roman"/>
          <w:sz w:val="22"/>
          <w:szCs w:val="22"/>
        </w:rPr>
        <w:t xml:space="preserve">Prototipo de algoritmo genético (Google Colab): Prototipo_Algoritmo_Genetico_Portafolio.ipynb — implementación funcional y probada del módulo heurístico.</w:t>
      </w:r>
    </w:p>
    <w:p>
      <w:pPr>
        <w:pStyle w:val="ListParagraph"/>
        <w:numPr>
          <w:ilvl w:val="0"/>
          <w:numId w:val="2"/>
        </w:numPr>
        <w:spacing w:after="60" w:line="276"/>
      </w:pPr>
      <w:r>
        <w:rPr>
          <w:rFonts w:ascii="Times New Roman" w:cs="Times New Roman" w:eastAsia="Times New Roman" w:hAnsi="Times New Roman"/>
          <w:sz w:val="22"/>
          <w:szCs w:val="22"/>
        </w:rPr>
        <w:t xml:space="preserve">Documento de referencia inicial del equipo: guía interna usada como insumo para este informe.</w:t>
      </w:r>
    </w:p>
    <w:p>
      <w:pPr>
        <w:pStyle w:val="ListParagraph"/>
        <w:numPr>
          <w:ilvl w:val="0"/>
          <w:numId w:val="2"/>
        </w:numPr>
        <w:spacing w:after="60" w:line="276"/>
      </w:pPr>
      <w:r>
        <w:rPr>
          <w:rFonts w:ascii="Times New Roman" w:cs="Times New Roman" w:eastAsia="Times New Roman" w:hAnsi="Times New Roman"/>
          <w:sz w:val="22"/>
          <w:szCs w:val="22"/>
        </w:rPr>
        <w:t xml:space="preserve">[Completar en semana 6–7]: código fuente integrado, manual de instalación, manual de usuario.</w:t>
      </w:r>
    </w:p>
    <w:p>
      <w:pPr>
        <w:pStyle w:val="Heading1"/>
        <w:keepNext/>
      </w:pPr>
      <w:r>
        <w:rPr>
          <w:rFonts w:ascii="Times New Roman" w:cs="Times New Roman" w:eastAsia="Times New Roman" w:hAnsi="Times New Roman"/>
        </w:rPr>
        <w:t xml:space="preserve">Anexo C — Parámetros del Módulo Difuso y de las Reglas de Contexto</w:t>
      </w:r>
    </w:p>
    <w:p>
      <w:pPr>
        <w:spacing w:after="120" w:line="276"/>
        <w:jc w:val="both"/>
      </w:pPr>
      <w:r>
        <w:rPr>
          <w:rFonts w:ascii="Times New Roman" w:cs="Times New Roman" w:eastAsia="Times New Roman" w:hAnsi="Times New Roman"/>
          <w:sz w:val="22"/>
          <w:szCs w:val="22"/>
        </w:rPr>
        <w:t xml:space="preserve">Todos los valores son </w:t>
      </w:r>
      <w:r>
        <w:rPr>
          <w:rFonts w:ascii="Times New Roman" w:cs="Times New Roman" w:eastAsia="Times New Roman" w:hAnsi="Times New Roman"/>
          <w:b/>
          <w:bCs/>
          <w:sz w:val="22"/>
          <w:szCs w:val="22"/>
        </w:rPr>
        <w:t xml:space="preserve">parámetros iniciales de trabajo</w:t>
      </w:r>
      <w:r>
        <w:rPr>
          <w:rFonts w:ascii="Times New Roman" w:cs="Times New Roman" w:eastAsia="Times New Roman" w:hAnsi="Times New Roman"/>
          <w:sz w:val="22"/>
          <w:szCs w:val="22"/>
        </w:rPr>
        <w:t xml:space="preserve">, definidos con criterio de diseño y sujetos a calibración y justificación con fuentes antes de la entrega final (ver advertencia en la sección 4.6). Los ajustes de retorno se expresan en puntos porcentuales (pp) anuales; el código debe convertirlos a decimales (1 pp = 0.01).</w:t>
      </w:r>
    </w:p>
    <w:p>
      <w:pPr>
        <w:pStyle w:val="Heading3"/>
        <w:keepNext/>
      </w:pPr>
      <w:r>
        <w:rPr>
          <w:rFonts w:ascii="Times New Roman" w:cs="Times New Roman" w:eastAsia="Times New Roman" w:hAnsi="Times New Roman"/>
        </w:rPr>
        <w:t xml:space="preserve">C.1. Sensibilidades por categoría (reglas de contexto)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8"/>
        <w:gridCol w:w="1300"/>
        <w:gridCol w:w="1400"/>
        <w:gridCol w:w="1400"/>
        <w:gridCol w:w="1300"/>
        <w:gridCol w:w="1300"/>
      </w:tblGrid>
      <w:tr>
        <w:trPr>
          <w:cantSplit/>
          <w:tblHeader/>
        </w:trPr>
        <w:tc>
          <w:tcPr>
            <w:tcW w:type="dxa" w:w="29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Categoría</w:t>
            </w:r>
          </w:p>
        </w:tc>
        <w:tc>
          <w:tcPr>
            <w:tcW w:type="dxa" w:w="13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b</w:t>
            </w:r>
            <w:r>
              <w:rPr>
                <w:rFonts w:ascii="Times New Roman" w:cs="Times New Roman" w:eastAsia="Times New Roman" w:hAnsi="Times New Roman"/>
                <w:b/>
                <w:bCs/>
                <w:color w:val="FFFFFF"/>
                <w:sz w:val="19"/>
                <w:szCs w:val="19"/>
                <w:vertAlign w:val="subscript"/>
              </w:rPr>
              <w:t xml:space="preserve">i</w:t>
            </w:r>
            <w:r>
              <w:rPr>
                <w:rFonts w:ascii="Times New Roman" w:cs="Times New Roman" w:eastAsia="Times New Roman" w:hAnsi="Times New Roman"/>
                <w:b/>
                <w:bCs/>
                <w:color w:val="FFFFFF"/>
                <w:sz w:val="19"/>
                <w:szCs w:val="19"/>
              </w:rPr>
              <w:t xml:space="preserve"> (pp)</w:t>
            </w:r>
          </w:p>
        </w:tc>
        <w:tc>
          <w:tcPr>
            <w:tcW w:type="dxa" w:w="14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β</w:t>
            </w:r>
            <w:r>
              <w:rPr>
                <w:rFonts w:ascii="Times New Roman" w:cs="Times New Roman" w:eastAsia="Times New Roman" w:hAnsi="Times New Roman"/>
                <w:b/>
                <w:bCs/>
                <w:color w:val="FFFFFF"/>
                <w:sz w:val="19"/>
                <w:szCs w:val="19"/>
                <w:vertAlign w:val="subscript"/>
              </w:rPr>
              <w:t xml:space="preserve">pol,i</w:t>
            </w:r>
            <w:r>
              <w:rPr>
                <w:rFonts w:ascii="Times New Roman" w:cs="Times New Roman" w:eastAsia="Times New Roman" w:hAnsi="Times New Roman"/>
                <w:b/>
                <w:bCs/>
                <w:color w:val="FFFFFF"/>
                <w:sz w:val="19"/>
                <w:szCs w:val="19"/>
              </w:rPr>
              <w:t xml:space="preserve"> (pp)</w:t>
            </w:r>
          </w:p>
        </w:tc>
        <w:tc>
          <w:tcPr>
            <w:tcW w:type="dxa" w:w="14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β</w:t>
            </w:r>
            <w:r>
              <w:rPr>
                <w:rFonts w:ascii="Times New Roman" w:cs="Times New Roman" w:eastAsia="Times New Roman" w:hAnsi="Times New Roman"/>
                <w:b/>
                <w:bCs/>
                <w:color w:val="FFFFFF"/>
                <w:sz w:val="19"/>
                <w:szCs w:val="19"/>
                <w:vertAlign w:val="subscript"/>
              </w:rPr>
              <w:t xml:space="preserve">mac,i</w:t>
            </w:r>
            <w:r>
              <w:rPr>
                <w:rFonts w:ascii="Times New Roman" w:cs="Times New Roman" w:eastAsia="Times New Roman" w:hAnsi="Times New Roman"/>
                <w:b/>
                <w:bCs/>
                <w:color w:val="FFFFFF"/>
                <w:sz w:val="19"/>
                <w:szCs w:val="19"/>
              </w:rPr>
              <w:t xml:space="preserve"> (pp)</w:t>
            </w:r>
          </w:p>
        </w:tc>
        <w:tc>
          <w:tcPr>
            <w:tcW w:type="dxa" w:w="13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γ</w:t>
            </w:r>
            <w:r>
              <w:rPr>
                <w:rFonts w:ascii="Times New Roman" w:cs="Times New Roman" w:eastAsia="Times New Roman" w:hAnsi="Times New Roman"/>
                <w:b/>
                <w:bCs/>
                <w:color w:val="FFFFFF"/>
                <w:sz w:val="19"/>
                <w:szCs w:val="19"/>
                <w:vertAlign w:val="subscript"/>
              </w:rPr>
              <w:t xml:space="preserve">pol,i</w:t>
            </w:r>
          </w:p>
        </w:tc>
        <w:tc>
          <w:tcPr>
            <w:tcW w:type="dxa" w:w="13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γ</w:t>
            </w:r>
            <w:r>
              <w:rPr>
                <w:rFonts w:ascii="Times New Roman" w:cs="Times New Roman" w:eastAsia="Times New Roman" w:hAnsi="Times New Roman"/>
                <w:b/>
                <w:bCs/>
                <w:color w:val="FFFFFF"/>
                <w:sz w:val="19"/>
                <w:szCs w:val="19"/>
                <w:vertAlign w:val="subscript"/>
              </w:rPr>
              <w:t xml:space="preserve">mac,i</w:t>
            </w:r>
          </w:p>
        </w:tc>
      </w:tr>
      <w:tr>
        <w:trPr>
          <w:cantSplit/>
        </w:trPr>
        <w:tc>
          <w:tcPr>
            <w:tcW w:type="dxa" w:w="29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Fondos de acciones</w:t>
            </w:r>
          </w:p>
        </w:tc>
        <w:tc>
          <w:tcPr>
            <w:tcW w:type="dxa" w:w="1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+0.5</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3.0</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1.0</w:t>
            </w:r>
          </w:p>
        </w:tc>
        <w:tc>
          <w:tcPr>
            <w:tcW w:type="dxa" w:w="1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0.50</w:t>
            </w:r>
          </w:p>
        </w:tc>
        <w:tc>
          <w:tcPr>
            <w:tcW w:type="dxa" w:w="1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0.20</w:t>
            </w:r>
          </w:p>
        </w:tc>
      </w:tr>
      <w:tr>
        <w:trPr>
          <w:cantSplit/>
        </w:trPr>
        <w:tc>
          <w:tcPr>
            <w:tcW w:type="dxa" w:w="29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Fondos mixtos</w:t>
            </w:r>
          </w:p>
        </w:tc>
        <w:tc>
          <w:tcPr>
            <w:tcW w:type="dxa" w:w="1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+0.3</w:t>
            </w:r>
          </w:p>
        </w:tc>
        <w:tc>
          <w:tcPr>
            <w:tcW w:type="dxa" w:w="14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1.5</w:t>
            </w:r>
          </w:p>
        </w:tc>
        <w:tc>
          <w:tcPr>
            <w:tcW w:type="dxa" w:w="14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0.8</w:t>
            </w:r>
          </w:p>
        </w:tc>
        <w:tc>
          <w:tcPr>
            <w:tcW w:type="dxa" w:w="1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0.25</w:t>
            </w:r>
          </w:p>
        </w:tc>
        <w:tc>
          <w:tcPr>
            <w:tcW w:type="dxa" w:w="1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0.10</w:t>
            </w:r>
          </w:p>
        </w:tc>
      </w:tr>
      <w:tr>
        <w:trPr>
          <w:cantSplit/>
        </w:trPr>
        <w:tc>
          <w:tcPr>
            <w:tcW w:type="dxa" w:w="29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Fondos de deuda</w:t>
            </w:r>
          </w:p>
        </w:tc>
        <w:tc>
          <w:tcPr>
            <w:tcW w:type="dxa" w:w="1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0.0</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0.5</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0.5</w:t>
            </w:r>
          </w:p>
        </w:tc>
        <w:tc>
          <w:tcPr>
            <w:tcW w:type="dxa" w:w="1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0.10</w:t>
            </w:r>
          </w:p>
        </w:tc>
        <w:tc>
          <w:tcPr>
            <w:tcW w:type="dxa" w:w="1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0.05</w:t>
            </w:r>
          </w:p>
        </w:tc>
      </w:tr>
      <w:tr>
        <w:trPr>
          <w:cantSplit/>
        </w:trPr>
        <w:tc>
          <w:tcPr>
            <w:tcW w:type="dxa" w:w="29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Bonos soberanos (BTP)</w:t>
            </w:r>
          </w:p>
        </w:tc>
        <w:tc>
          <w:tcPr>
            <w:tcW w:type="dxa" w:w="1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+0.2</w:t>
            </w:r>
          </w:p>
        </w:tc>
        <w:tc>
          <w:tcPr>
            <w:tcW w:type="dxa" w:w="14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1.0</w:t>
            </w:r>
          </w:p>
        </w:tc>
        <w:tc>
          <w:tcPr>
            <w:tcW w:type="dxa" w:w="14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0.5</w:t>
            </w:r>
          </w:p>
        </w:tc>
        <w:tc>
          <w:tcPr>
            <w:tcW w:type="dxa" w:w="1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0.20</w:t>
            </w:r>
          </w:p>
        </w:tc>
        <w:tc>
          <w:tcPr>
            <w:tcW w:type="dxa" w:w="1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0.10</w:t>
            </w:r>
          </w:p>
        </w:tc>
      </w:tr>
      <w:tr>
        <w:trPr>
          <w:cantSplit/>
        </w:trPr>
        <w:tc>
          <w:tcPr>
            <w:tcW w:type="dxa" w:w="29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Depósito a plazo fijo</w:t>
            </w:r>
          </w:p>
        </w:tc>
        <w:tc>
          <w:tcPr>
            <w:tcW w:type="dxa" w:w="1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−0.3</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0.0</w:t>
            </w:r>
          </w:p>
        </w:tc>
        <w:tc>
          <w:tcPr>
            <w:tcW w:type="dxa" w:w="14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0.3</w:t>
            </w:r>
          </w:p>
        </w:tc>
        <w:tc>
          <w:tcPr>
            <w:tcW w:type="dxa" w:w="1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0.00</w:t>
            </w:r>
          </w:p>
        </w:tc>
        <w:tc>
          <w:tcPr>
            <w:tcW w:type="dxa" w:w="1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0.00</w:t>
            </w:r>
          </w:p>
        </w:tc>
      </w:tr>
    </w:tbl>
    <w:p>
      <w:pPr>
        <w:spacing w:after="100"/>
      </w:pPr>
    </w:p>
    <w:p>
      <w:pPr>
        <w:spacing w:after="120" w:line="276"/>
        <w:jc w:val="both"/>
      </w:pPr>
      <w:r>
        <w:rPr>
          <w:rFonts w:ascii="Times New Roman" w:cs="Times New Roman" w:eastAsia="Times New Roman" w:hAnsi="Times New Roman"/>
          <w:b/>
          <w:bCs/>
          <w:sz w:val="22"/>
          <w:szCs w:val="22"/>
        </w:rPr>
        <w:t xml:space="preserve">Criterio de partida del valor por defecto:</w:t>
      </w:r>
      <w:r>
        <w:rPr>
          <w:rFonts w:ascii="Times New Roman" w:cs="Times New Roman" w:eastAsia="Times New Roman" w:hAnsi="Times New Roman"/>
          <w:sz w:val="22"/>
          <w:szCs w:val="22"/>
        </w:rPr>
        <w:t xml:space="preserve"> signo positivo para las categorías cuyo precedente histórico de rendimiento ha sido superior al de su referencia promedio (acciones, mixtos y bonos soberanos) y negativo para el depósito a plazo fijo, cuyo retorno real tiende a ser erosionado por la inflación. </w:t>
      </w:r>
      <w:r>
        <w:rPr>
          <w:rFonts w:ascii="Times New Roman" w:cs="Times New Roman" w:eastAsia="Times New Roman" w:hAnsi="Times New Roman"/>
          <w:b/>
          <w:bCs/>
          <w:sz w:val="22"/>
          <w:szCs w:val="22"/>
        </w:rPr>
        <w:t xml:space="preserve">Criterio de β y γ:</w:t>
      </w:r>
      <w:r>
        <w:rPr>
          <w:rFonts w:ascii="Times New Roman" w:cs="Times New Roman" w:eastAsia="Times New Roman" w:hAnsi="Times New Roman"/>
          <w:sz w:val="22"/>
          <w:szCs w:val="22"/>
        </w:rPr>
        <w:t xml:space="preserve"> mayor sensibilidad cuanto mayor es la exposición de la categoría a la renta variable. Estos criterios deben respaldarse con datos antes de la entrega final.</w:t>
      </w:r>
    </w:p>
    <w:p>
      <w:pPr>
        <w:pStyle w:val="Heading3"/>
        <w:keepNext/>
      </w:pPr>
      <w:r>
        <w:rPr>
          <w:rFonts w:ascii="Times New Roman" w:cs="Times New Roman" w:eastAsia="Times New Roman" w:hAnsi="Times New Roman"/>
        </w:rPr>
        <w:t xml:space="preserve">C.2. Parámetros globales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800"/>
        <w:gridCol w:w="2538"/>
      </w:tblGrid>
      <w:tr>
        <w:trPr>
          <w:cantSplit/>
          <w:tblHeader/>
        </w:trPr>
        <w:tc>
          <w:tcPr>
            <w:tcW w:type="dxa" w:w="30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Parámetro</w:t>
            </w:r>
          </w:p>
        </w:tc>
        <w:tc>
          <w:tcPr>
            <w:tcW w:type="dxa" w:w="23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Símbolo</w:t>
            </w:r>
          </w:p>
        </w:tc>
        <w:tc>
          <w:tcPr>
            <w:tcW w:type="dxa" w:w="1800"/>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Valor inicial</w:t>
            </w:r>
          </w:p>
        </w:tc>
        <w:tc>
          <w:tcPr>
            <w:tcW w:type="dxa" w:w="2538"/>
            <w:tcBorders>
              <w:top w:val="single" w:color="9FB7BA" w:sz="4"/>
              <w:left w:val="single" w:color="9FB7BA" w:sz="4"/>
              <w:bottom w:val="single" w:color="9FB7BA" w:sz="4"/>
              <w:right w:val="single" w:color="9FB7BA" w:sz="4"/>
            </w:tcBorders>
            <w:shd w:fill="1B6B73" w:color="auto" w:val="clear"/>
            <w:tcMar>
              <w:top w:type="dxa" w:w="60"/>
              <w:left w:type="dxa" w:w="100"/>
              <w:bottom w:type="dxa" w:w="60"/>
              <w:right w:type="dxa" w:w="100"/>
            </w:tcMar>
          </w:tcPr>
          <w:p>
            <w:pPr>
              <w:spacing w:after="30"/>
            </w:pPr>
            <w:r>
              <w:rPr>
                <w:rFonts w:ascii="Times New Roman" w:cs="Times New Roman" w:eastAsia="Times New Roman" w:hAnsi="Times New Roman"/>
                <w:b/>
                <w:bCs/>
                <w:color w:val="FFFFFF"/>
                <w:sz w:val="19"/>
                <w:szCs w:val="19"/>
              </w:rPr>
              <w:t xml:space="preserve">Uso</w:t>
            </w:r>
          </w:p>
        </w:tc>
      </w:tr>
      <w:tr>
        <w:trPr>
          <w:cantSplit/>
        </w:trPr>
        <w:tc>
          <w:tcPr>
            <w:tcW w:type="dxa" w:w="30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Tendencia: sensibilidad</w:t>
            </w:r>
          </w:p>
        </w:tc>
        <w:tc>
          <w:tcPr>
            <w:tcW w:type="dxa" w:w="2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β</w:t>
            </w:r>
            <w:r>
              <w:rPr>
                <w:rFonts w:ascii="Times New Roman" w:cs="Times New Roman" w:eastAsia="Times New Roman" w:hAnsi="Times New Roman"/>
                <w:b w:val="false"/>
                <w:bCs w:val="false"/>
                <w:sz w:val="19"/>
                <w:szCs w:val="19"/>
                <w:vertAlign w:val="subscript"/>
              </w:rPr>
              <w:t xml:space="preserve">tend</w:t>
            </w:r>
          </w:p>
        </w:tc>
        <w:tc>
          <w:tcPr>
            <w:tcW w:type="dxa" w:w="1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1.5 pp</w:t>
            </w:r>
          </w:p>
        </w:tc>
        <w:tc>
          <w:tcPr>
            <w:tcW w:type="dxa" w:w="25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Ajuste de retorno por unidad de s</w:t>
            </w:r>
            <w:r>
              <w:rPr>
                <w:rFonts w:ascii="Times New Roman" w:cs="Times New Roman" w:eastAsia="Times New Roman" w:hAnsi="Times New Roman"/>
                <w:b w:val="false"/>
                <w:bCs w:val="false"/>
                <w:sz w:val="19"/>
                <w:szCs w:val="19"/>
                <w:vertAlign w:val="subscript"/>
              </w:rPr>
              <w:t xml:space="preserve">tend,i</w:t>
            </w:r>
            <w:r>
              <w:rPr>
                <w:rFonts w:ascii="Times New Roman" w:cs="Times New Roman" w:eastAsia="Times New Roman" w:hAnsi="Times New Roman"/>
                <w:b w:val="false"/>
                <w:bCs w:val="false"/>
                <w:sz w:val="19"/>
                <w:szCs w:val="19"/>
              </w:rPr>
              <w:t xml:space="preserve"> (igual para todas las categorías).</w:t>
            </w:r>
          </w:p>
        </w:tc>
      </w:tr>
      <w:tr>
        <w:trPr>
          <w:cantSplit/>
        </w:trPr>
        <w:tc>
          <w:tcPr>
            <w:tcW w:type="dxa" w:w="30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Tope de influencia del contexto</w:t>
            </w:r>
          </w:p>
        </w:tc>
        <w:tc>
          <w:tcPr>
            <w:tcW w:type="dxa" w:w="2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vertAlign w:val="subscript"/>
              </w:rPr>
              <w:t xml:space="preserve">max</w:t>
            </w:r>
          </w:p>
        </w:tc>
        <w:tc>
          <w:tcPr>
            <w:tcW w:type="dxa" w:w="1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3.0 pp (0.03)</w:t>
            </w:r>
          </w:p>
        </w:tc>
        <w:tc>
          <w:tcPr>
            <w:tcW w:type="dxa" w:w="25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Límite de |c</w:t>
            </w:r>
            <w:r>
              <w:rPr>
                <w:rFonts w:ascii="Times New Roman" w:cs="Times New Roman" w:eastAsia="Times New Roman" w:hAnsi="Times New Roman"/>
                <w:b w:val="false"/>
                <w:bCs w:val="false"/>
                <w:sz w:val="19"/>
                <w:szCs w:val="19"/>
                <w:vertAlign w:val="subscript"/>
              </w:rPr>
              <w:t xml:space="preserve">i</w:t>
            </w:r>
            <w:r>
              <w:rPr>
                <w:rFonts w:ascii="Times New Roman" w:cs="Times New Roman" w:eastAsia="Times New Roman" w:hAnsi="Times New Roman"/>
                <w:b w:val="false"/>
                <w:bCs w:val="false"/>
                <w:sz w:val="19"/>
                <w:szCs w:val="19"/>
              </w:rPr>
              <w:t xml:space="preserve">| (regla RC7).</w:t>
            </w:r>
          </w:p>
        </w:tc>
      </w:tr>
      <w:tr>
        <w:trPr>
          <w:cantSplit/>
        </w:trPr>
        <w:tc>
          <w:tcPr>
            <w:tcW w:type="dxa" w:w="30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Multiplicadores de aversión (horizonte)</w:t>
            </w:r>
          </w:p>
        </w:tc>
        <w:tc>
          <w:tcPr>
            <w:tcW w:type="dxa" w:w="2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z</w:t>
            </w:r>
            <w:r>
              <w:rPr>
                <w:rFonts w:ascii="Times New Roman" w:cs="Times New Roman" w:eastAsia="Times New Roman" w:hAnsi="Times New Roman"/>
                <w:b w:val="false"/>
                <w:bCs w:val="false"/>
                <w:sz w:val="19"/>
                <w:szCs w:val="19"/>
                <w:vertAlign w:val="subscript"/>
              </w:rPr>
              <w:t xml:space="preserve">Corto</w:t>
            </w:r>
            <w:r>
              <w:rPr>
                <w:rFonts w:ascii="Times New Roman" w:cs="Times New Roman" w:eastAsia="Times New Roman" w:hAnsi="Times New Roman"/>
                <w:b w:val="false"/>
                <w:bCs w:val="false"/>
                <w:sz w:val="19"/>
                <w:szCs w:val="19"/>
              </w:rPr>
              <w:t xml:space="preserve">, z</w:t>
            </w:r>
            <w:r>
              <w:rPr>
                <w:rFonts w:ascii="Times New Roman" w:cs="Times New Roman" w:eastAsia="Times New Roman" w:hAnsi="Times New Roman"/>
                <w:b w:val="false"/>
                <w:bCs w:val="false"/>
                <w:sz w:val="19"/>
                <w:szCs w:val="19"/>
                <w:vertAlign w:val="subscript"/>
              </w:rPr>
              <w:t xml:space="preserve">Mediano</w:t>
            </w:r>
            <w:r>
              <w:rPr>
                <w:rFonts w:ascii="Times New Roman" w:cs="Times New Roman" w:eastAsia="Times New Roman" w:hAnsi="Times New Roman"/>
                <w:b w:val="false"/>
                <w:bCs w:val="false"/>
                <w:sz w:val="19"/>
                <w:szCs w:val="19"/>
              </w:rPr>
              <w:t xml:space="preserve">, z</w:t>
            </w:r>
            <w:r>
              <w:rPr>
                <w:rFonts w:ascii="Times New Roman" w:cs="Times New Roman" w:eastAsia="Times New Roman" w:hAnsi="Times New Roman"/>
                <w:b w:val="false"/>
                <w:bCs w:val="false"/>
                <w:sz w:val="19"/>
                <w:szCs w:val="19"/>
                <w:vertAlign w:val="subscript"/>
              </w:rPr>
              <w:t xml:space="preserve">Largo</w:t>
            </w:r>
          </w:p>
        </w:tc>
        <w:tc>
          <w:tcPr>
            <w:tcW w:type="dxa" w:w="1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1.5, 1.0, 0.7</w:t>
            </w:r>
          </w:p>
        </w:tc>
        <w:tc>
          <w:tcPr>
            <w:tcW w:type="dxa" w:w="25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Consecuentes de RH1–RH3.</w:t>
            </w:r>
          </w:p>
        </w:tc>
      </w:tr>
      <w:tr>
        <w:trPr>
          <w:cantSplit/>
        </w:trPr>
        <w:tc>
          <w:tcPr>
            <w:tcW w:type="dxa" w:w="30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Consecuentes de capacidad de absorción</w:t>
            </w:r>
          </w:p>
        </w:tc>
        <w:tc>
          <w:tcPr>
            <w:tcW w:type="dxa" w:w="2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z</w:t>
            </w:r>
            <w:r>
              <w:rPr>
                <w:rFonts w:ascii="Times New Roman" w:cs="Times New Roman" w:eastAsia="Times New Roman" w:hAnsi="Times New Roman"/>
                <w:b w:val="false"/>
                <w:bCs w:val="false"/>
                <w:sz w:val="19"/>
                <w:szCs w:val="19"/>
                <w:vertAlign w:val="subscript"/>
              </w:rPr>
              <w:t xml:space="preserve">Baja</w:t>
            </w:r>
            <w:r>
              <w:rPr>
                <w:rFonts w:ascii="Times New Roman" w:cs="Times New Roman" w:eastAsia="Times New Roman" w:hAnsi="Times New Roman"/>
                <w:b w:val="false"/>
                <w:bCs w:val="false"/>
                <w:sz w:val="19"/>
                <w:szCs w:val="19"/>
              </w:rPr>
              <w:t xml:space="preserve">, z</w:t>
            </w:r>
            <w:r>
              <w:rPr>
                <w:rFonts w:ascii="Times New Roman" w:cs="Times New Roman" w:eastAsia="Times New Roman" w:hAnsi="Times New Roman"/>
                <w:b w:val="false"/>
                <w:bCs w:val="false"/>
                <w:sz w:val="19"/>
                <w:szCs w:val="19"/>
                <w:vertAlign w:val="subscript"/>
              </w:rPr>
              <w:t xml:space="preserve">Media</w:t>
            </w:r>
            <w:r>
              <w:rPr>
                <w:rFonts w:ascii="Times New Roman" w:cs="Times New Roman" w:eastAsia="Times New Roman" w:hAnsi="Times New Roman"/>
                <w:b w:val="false"/>
                <w:bCs w:val="false"/>
                <w:sz w:val="19"/>
                <w:szCs w:val="19"/>
              </w:rPr>
              <w:t xml:space="preserve">, z</w:t>
            </w:r>
            <w:r>
              <w:rPr>
                <w:rFonts w:ascii="Times New Roman" w:cs="Times New Roman" w:eastAsia="Times New Roman" w:hAnsi="Times New Roman"/>
                <w:b w:val="false"/>
                <w:bCs w:val="false"/>
                <w:sz w:val="19"/>
                <w:szCs w:val="19"/>
                <w:vertAlign w:val="subscript"/>
              </w:rPr>
              <w:t xml:space="preserve">Alta</w:t>
            </w:r>
          </w:p>
        </w:tc>
        <w:tc>
          <w:tcPr>
            <w:tcW w:type="dxa" w:w="1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0.20, 0.50, 0.85</w:t>
            </w:r>
          </w:p>
        </w:tc>
        <w:tc>
          <w:tcPr>
            <w:tcW w:type="dxa" w:w="25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Consecuentes de RA1–RA6.</w:t>
            </w:r>
          </w:p>
        </w:tc>
      </w:tr>
      <w:tr>
        <w:trPr>
          <w:cantSplit/>
        </w:trPr>
        <w:tc>
          <w:tcPr>
            <w:tcW w:type="dxa" w:w="30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Volatilidad mínima tolerable</w:t>
            </w:r>
          </w:p>
        </w:tc>
        <w:tc>
          <w:tcPr>
            <w:tcW w:type="dxa" w:w="2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σ</w:t>
            </w:r>
            <w:r>
              <w:rPr>
                <w:rFonts w:ascii="Times New Roman" w:cs="Times New Roman" w:eastAsia="Times New Roman" w:hAnsi="Times New Roman"/>
                <w:b w:val="false"/>
                <w:bCs w:val="false"/>
                <w:sz w:val="19"/>
                <w:szCs w:val="19"/>
                <w:vertAlign w:val="subscript"/>
              </w:rPr>
              <w:t xml:space="preserve">piso</w:t>
            </w:r>
          </w:p>
        </w:tc>
        <w:tc>
          <w:tcPr>
            <w:tcW w:type="dxa" w:w="1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3% (0.03)</w:t>
            </w:r>
          </w:p>
        </w:tc>
        <w:tc>
          <w:tcPr>
            <w:tcW w:type="dxa" w:w="25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σ</w:t>
            </w:r>
            <w:r>
              <w:rPr>
                <w:rFonts w:ascii="Times New Roman" w:cs="Times New Roman" w:eastAsia="Times New Roman" w:hAnsi="Times New Roman"/>
                <w:b w:val="false"/>
                <w:bCs w:val="false"/>
                <w:sz w:val="19"/>
                <w:szCs w:val="19"/>
                <w:vertAlign w:val="subscript"/>
              </w:rPr>
              <w:t xml:space="preserve">max</w:t>
            </w:r>
            <w:r>
              <w:rPr>
                <w:rFonts w:ascii="Times New Roman" w:cs="Times New Roman" w:eastAsia="Times New Roman" w:hAnsi="Times New Roman"/>
                <w:b w:val="false"/>
                <w:bCs w:val="false"/>
                <w:sz w:val="19"/>
                <w:szCs w:val="19"/>
              </w:rPr>
              <w:t xml:space="preserve"> = σ</w:t>
            </w:r>
            <w:r>
              <w:rPr>
                <w:rFonts w:ascii="Times New Roman" w:cs="Times New Roman" w:eastAsia="Times New Roman" w:hAnsi="Times New Roman"/>
                <w:b w:val="false"/>
                <w:bCs w:val="false"/>
                <w:sz w:val="19"/>
                <w:szCs w:val="19"/>
                <w:vertAlign w:val="subscript"/>
              </w:rPr>
              <w:t xml:space="preserve">piso</w:t>
            </w:r>
            <w:r>
              <w:rPr>
                <w:rFonts w:ascii="Times New Roman" w:cs="Times New Roman" w:eastAsia="Times New Roman" w:hAnsi="Times New Roman"/>
                <w:b w:val="false"/>
                <w:bCs w:val="false"/>
                <w:sz w:val="19"/>
                <w:szCs w:val="19"/>
              </w:rPr>
              <w:t xml:space="preserve"> + a·CA.</w:t>
            </w:r>
          </w:p>
        </w:tc>
      </w:tr>
      <w:tr>
        <w:trPr>
          <w:cantSplit/>
        </w:trPr>
        <w:tc>
          <w:tcPr>
            <w:tcW w:type="dxa" w:w="30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Amplitud de volatilidad tolerable</w:t>
            </w:r>
          </w:p>
        </w:tc>
        <w:tc>
          <w:tcPr>
            <w:tcW w:type="dxa" w:w="2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a</w:t>
            </w:r>
          </w:p>
        </w:tc>
        <w:tc>
          <w:tcPr>
            <w:tcW w:type="dxa" w:w="1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13% (0.13)</w:t>
            </w:r>
          </w:p>
        </w:tc>
        <w:tc>
          <w:tcPr>
            <w:tcW w:type="dxa" w:w="25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σ</w:t>
            </w:r>
            <w:r>
              <w:rPr>
                <w:rFonts w:ascii="Times New Roman" w:cs="Times New Roman" w:eastAsia="Times New Roman" w:hAnsi="Times New Roman"/>
                <w:b w:val="false"/>
                <w:bCs w:val="false"/>
                <w:sz w:val="19"/>
                <w:szCs w:val="19"/>
                <w:vertAlign w:val="subscript"/>
              </w:rPr>
              <w:t xml:space="preserve">max</w:t>
            </w:r>
            <w:r>
              <w:rPr>
                <w:rFonts w:ascii="Times New Roman" w:cs="Times New Roman" w:eastAsia="Times New Roman" w:hAnsi="Times New Roman"/>
                <w:b w:val="false"/>
                <w:bCs w:val="false"/>
                <w:sz w:val="19"/>
                <w:szCs w:val="19"/>
              </w:rPr>
              <w:t xml:space="preserve"> varía entre 3% (CA = 0) y 16% (CA = 1).</w:t>
            </w:r>
          </w:p>
        </w:tc>
      </w:tr>
      <w:tr>
        <w:trPr>
          <w:cantSplit/>
        </w:trPr>
        <w:tc>
          <w:tcPr>
            <w:tcW w:type="dxa" w:w="30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Coeficiente de penalización</w:t>
            </w:r>
          </w:p>
        </w:tc>
        <w:tc>
          <w:tcPr>
            <w:tcW w:type="dxa" w:w="23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φ</w:t>
            </w:r>
          </w:p>
        </w:tc>
        <w:tc>
          <w:tcPr>
            <w:tcW w:type="dxa" w:w="1800"/>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50</w:t>
            </w:r>
          </w:p>
        </w:tc>
        <w:tc>
          <w:tcPr>
            <w:tcW w:type="dxa" w:w="2538"/>
            <w:tcBorders>
              <w:top w:val="single" w:color="9FB7BA" w:sz="4"/>
              <w:left w:val="single" w:color="9FB7BA" w:sz="4"/>
              <w:bottom w:val="single" w:color="9FB7BA" w:sz="4"/>
              <w:right w:val="single" w:color="9FB7BA" w:sz="4"/>
            </w:tcBorders>
            <w:shd w:fill="FFFFFF"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Peso del término de penalización en Fitness′.</w:t>
            </w:r>
          </w:p>
        </w:tc>
      </w:tr>
      <w:tr>
        <w:trPr>
          <w:cantSplit/>
        </w:trPr>
        <w:tc>
          <w:tcPr>
            <w:tcW w:type="dxa" w:w="30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Interruptores</w:t>
            </w:r>
          </w:p>
        </w:tc>
        <w:tc>
          <w:tcPr>
            <w:tcW w:type="dxa" w:w="23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w:t>
            </w:r>
          </w:p>
        </w:tc>
        <w:tc>
          <w:tcPr>
            <w:tcW w:type="dxa" w:w="1800"/>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Difuso: ON; Contexto: ON</w:t>
            </w:r>
          </w:p>
        </w:tc>
        <w:tc>
          <w:tcPr>
            <w:tcW w:type="dxa" w:w="2538"/>
            <w:tcBorders>
              <w:top w:val="single" w:color="9FB7BA" w:sz="4"/>
              <w:left w:val="single" w:color="9FB7BA" w:sz="4"/>
              <w:bottom w:val="single" w:color="9FB7BA" w:sz="4"/>
              <w:right w:val="single" w:color="9FB7BA" w:sz="4"/>
            </w:tcBorders>
            <w:shd w:fill="F2F7F8" w:color="auto" w:val="clear"/>
            <w:tcMar>
              <w:top w:type="dxa" w:w="60"/>
              <w:left w:type="dxa" w:w="100"/>
              <w:bottom w:type="dxa" w:w="60"/>
              <w:right w:type="dxa" w:w="100"/>
            </w:tcMar>
          </w:tcPr>
          <w:p>
            <w:pPr>
              <w:spacing w:after="30"/>
            </w:pPr>
            <w:r>
              <w:rPr>
                <w:rFonts w:ascii="Times New Roman" w:cs="Times New Roman" w:eastAsia="Times New Roman" w:hAnsi="Times New Roman"/>
                <w:b w:val="false"/>
                <w:bCs w:val="false"/>
                <w:sz w:val="19"/>
                <w:szCs w:val="19"/>
              </w:rPr>
              <w:t xml:space="preserve">Permiten las pruebas de ablación (sección 4.7).</w:t>
            </w:r>
          </w:p>
        </w:tc>
      </w:tr>
    </w:tbl>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7"/>
        <w:szCs w:val="17"/>
      </w:rPr>
      <w:t xml:space="preserve">Página </w:t>
    </w:r>
    <w:r>
      <w:rPr>
        <w:rFonts w:ascii="Times New Roman" w:cs="Times New Roman" w:eastAsia="Times New Roman" w:hAnsi="Times New Roman"/>
        <w:color w:val="777777"/>
        <w:sz w:val="17"/>
        <w:szCs w:val="17"/>
      </w:rPr>
      <w:fldChar w:fldCharType="begin"/>
      <w:instrText xml:space="preserve">PAGE</w:instrText>
      <w:fldChar w:fldCharType="separate"/>
      <w:fldChar w:fldCharType="end"/>
    </w:r>
    <w:r>
      <w:rPr>
        <w:rFonts w:ascii="Times New Roman" w:cs="Times New Roman" w:eastAsia="Times New Roman" w:hAnsi="Times New Roman"/>
        <w:color w:val="777777"/>
        <w:sz w:val="17"/>
        <w:szCs w:val="17"/>
      </w:rPr>
      <w:t xml:space="preserve"> de </w:t>
    </w:r>
    <w:r>
      <w:rPr>
        <w:rFonts w:ascii="Times New Roman" w:cs="Times New Roman" w:eastAsia="Times New Roman" w:hAnsi="Times New Roman"/>
        <w:color w:val="777777"/>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DE0" w:sz="4" w:space="4"/>
      </w:pBdr>
      <w:jc w:val="right"/>
    </w:pPr>
    <w:r>
      <w:rPr>
        <w:rFonts w:ascii="Times New Roman" w:cs="Times New Roman" w:eastAsia="Times New Roman" w:hAnsi="Times New Roman"/>
        <w:color w:val="777777"/>
        <w:sz w:val="17"/>
        <w:szCs w:val="17"/>
      </w:rPr>
      <w:t xml:space="preserve">Software Inteligente — Recomendador de Inversión / Portafolio Personal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DDE0" w:sz="6" w:space="3"/>
      </w:pBdr>
      <w:spacing w:after="160" w:before="360"/>
      <w:outlineLvl w:val="0"/>
    </w:pPr>
    <w:rPr>
      <w:rFonts w:ascii="Times New Roman" w:cs="Times New Roman" w:eastAsia="Times New Roman" w:hAnsi="Times New Roman"/>
      <w:b/>
      <w:bCs/>
      <w:color w:val="1B6B73"/>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val="false"/>
      <w:bCs w:val="false"/>
      <w:color w:val="1B6B73"/>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B6B7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a85ba73ef457e24ca3c3b529569d56ca4bfde8.png"/><Relationship Id="rId10" Type="http://schemas.openxmlformats.org/officeDocument/2006/relationships/image" Target="media/e9b00f8a06c11abdc40a3181a1e2eefb051bde36.png"/><Relationship Id="rId11" Type="http://schemas.openxmlformats.org/officeDocument/2006/relationships/image" Target="media/ef350bbb2a4c349114bb9cd4a9474f1c5eced9a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InvestWise v1.1</dc:title>
  <dc:creator>Equipo InvestWise</dc:creator>
  <cp:lastModifiedBy>Un-named</cp:lastModifiedBy>
  <cp:revision>1</cp:revision>
  <dcterms:created xsi:type="dcterms:W3CDTF">2026-09-29T04:50:28.196Z</dcterms:created>
  <dcterms:modified xsi:type="dcterms:W3CDTF">2026-09-29T04:50:28.196Z</dcterms:modified>
</cp:coreProperties>
</file>

<file path=docProps/custom.xml><?xml version="1.0" encoding="utf-8"?>
<Properties xmlns="http://schemas.openxmlformats.org/officeDocument/2006/custom-properties" xmlns:vt="http://schemas.openxmlformats.org/officeDocument/2006/docPropsVTypes"/>
</file>