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0000">
      <w:pPr>
        <w:spacing w:after="120"/>
        <w:jc w:val="center"/>
      </w:pPr>
      <w:r>
        <w:rPr>
          <w:b/>
          <w:sz w:val="48"/>
        </w:rPr>
        <w:t>项目周报</w:t>
      </w:r>
    </w:p>
    <w:p w14:paraId="00100002">
      <w:pPr>
        <w:spacing w:after="160"/>
        <w:jc w:val="center"/>
      </w:pPr>
      <w:r>
        <w:t>汇报周期：2026年8月17日—8月23日</w:t>
      </w:r>
    </w:p>
    <w:p w14:paraId="00100004">
      <w:pPr>
        <w:spacing w:after="200"/>
        <w:rPr>
          <w:rFonts w:hint="eastAsia" w:eastAsia="微软雅黑"/>
          <w:lang w:val="en-US" w:eastAsia="zh-CN"/>
        </w:rPr>
      </w:pPr>
      <w:r>
        <w:rPr>
          <w:b/>
        </w:rPr>
        <w:t>本周重点：新增室内照明常用模板与RAG补参证据修复；发布《照明设计智能体可行性评估与实施方案》</w:t>
      </w:r>
      <w:r>
        <w:rPr>
          <w:rFonts w:hint="eastAsia"/>
          <w:b/>
          <w:lang w:eastAsia="zh-CN"/>
        </w:rPr>
        <w:t>。</w:t>
      </w:r>
    </w:p>
    <w:p w14:paraId="00100006">
      <w:pPr>
        <w:spacing w:before="200" w:after="120"/>
      </w:pPr>
      <w:r>
        <w:rPr>
          <w:b/>
          <w:sz w:val="36"/>
        </w:rPr>
        <w:t>本周工作及产出</w:t>
      </w:r>
    </w:p>
    <w:p w14:paraId="00100008">
      <w:pPr>
        <w:numPr>
          <w:ilvl w:val="0"/>
          <w:numId w:val="1"/>
        </w:numPr>
        <w:spacing w:after="40" w:line="276" w:lineRule="auto"/>
      </w:pPr>
      <w:r>
        <w:t>阶段0离线基线（回归保障）含</w:t>
      </w:r>
      <w:r>
        <w:rPr>
          <w:rFonts w:hint="eastAsia"/>
          <w:lang w:val="en-US" w:eastAsia="zh-CN"/>
        </w:rPr>
        <w:t>1</w:t>
      </w:r>
      <w:r>
        <w:t>0个脱敏项目输入（覆盖普通办公室、会议室、视频会议室三类模板）、脱敏DXF平面图、GB50034-2024标准资料快照，以及固定的灯具候选与仿真结果快照</w:t>
      </w:r>
      <w:r>
        <w:rPr>
          <w:rFonts w:hint="eastAsia"/>
          <w:lang w:eastAsia="zh-CN"/>
        </w:rPr>
        <w:t>。</w:t>
      </w:r>
    </w:p>
    <w:p w14:paraId="0010000C">
      <w:pPr>
        <w:numPr>
          <w:ilvl w:val="0"/>
          <w:numId w:val="1"/>
        </w:numPr>
        <w:spacing w:after="40" w:line="276" w:lineRule="auto"/>
      </w:pPr>
      <w:r>
        <w:t>一键</w:t>
      </w:r>
      <w:r>
        <w:rPr>
          <w:rFonts w:hint="eastAsia"/>
          <w:lang w:val="en-US" w:eastAsia="zh-CN"/>
        </w:rPr>
        <w:t>启动</w:t>
      </w:r>
      <w:r>
        <w:t>脚本：</w:t>
      </w:r>
      <w:r>
        <w:rPr>
          <w:rFonts w:hint="eastAsia"/>
          <w:lang w:val="en-US" w:eastAsia="zh-CN"/>
        </w:rPr>
        <w:t>通过一行命令启动整个前后端，提高启动便捷性和解决前后端无法衔接问题。</w:t>
      </w:r>
    </w:p>
    <w:p w14:paraId="0010000E">
      <w:pPr>
        <w:numPr>
          <w:ilvl w:val="0"/>
          <w:numId w:val="1"/>
        </w:numPr>
        <w:spacing w:after="40" w:line="276" w:lineRule="auto"/>
      </w:pPr>
      <w:r>
        <w:t>室内照明常用模板：工作台新建项目支持按《建筑照明设计标准》（GB50034-2024）预填任务书，内置普通办公室、会议室、视频会议室三类模板（照度300/300/750lx、色温4000K、显色指数</w:t>
      </w:r>
      <w:r>
        <w:rPr>
          <w:rFonts w:hint="eastAsia"/>
          <w:lang w:val="en-US" w:eastAsia="zh-CN"/>
        </w:rPr>
        <w:t>8</w:t>
      </w:r>
      <w:r>
        <w:t>0、UGR</w:t>
      </w:r>
      <w:r>
        <w:rPr>
          <w:rFonts w:hint="eastAsia"/>
          <w:lang w:val="en-US" w:eastAsia="zh-CN"/>
        </w:rPr>
        <w:t>1</w:t>
      </w:r>
      <w:r>
        <w:t>9、均匀度0.6、LPD</w:t>
      </w:r>
      <w:r>
        <w:rPr>
          <w:rFonts w:hint="eastAsia"/>
          <w:lang w:val="en-US" w:eastAsia="zh-CN"/>
        </w:rPr>
        <w:t xml:space="preserve"> </w:t>
      </w:r>
      <w:r>
        <w:t>6.5</w:t>
      </w:r>
      <w:r>
        <w:rPr>
          <w:rFonts w:hint="eastAsia"/>
          <w:lang w:val="en-US" w:eastAsia="zh-CN"/>
        </w:rPr>
        <w:t xml:space="preserve"> </w:t>
      </w:r>
      <w:r>
        <w:t>W/m²），标注规范表号来源（表 5.3.2、4.5.1/4.5.2、6.3.5）；视频会议室 LPD 按会议室对照值预填并单独注明。</w:t>
      </w:r>
    </w:p>
    <w:p w14:paraId="1984EC8A">
      <w:pPr>
        <w:numPr>
          <w:ilvl w:val="0"/>
          <w:numId w:val="1"/>
        </w:numPr>
        <w:spacing w:after="40" w:line="276" w:lineRule="auto"/>
      </w:pPr>
      <w:r>
        <w:rPr>
          <w:rFonts w:hint="eastAsia"/>
          <w:lang w:val="en-US" w:eastAsia="zh-CN"/>
        </w:rPr>
        <w:t>增添RAG全局资料入库和项目级入库分离功能，修复RAG录入时默认为全局资料入库。</w:t>
      </w:r>
    </w:p>
    <w:p w14:paraId="00100010">
      <w:pPr>
        <w:numPr>
          <w:ilvl w:val="0"/>
          <w:numId w:val="1"/>
        </w:numPr>
        <w:spacing w:after="40" w:line="276" w:lineRule="auto"/>
      </w:pPr>
      <w:r>
        <w:t>RAG 补参证据修复：当检索到的照明参数与任务书现有值相同时，也记录证据来源，保证参数可追溯到出处；新增回归测试覆盖参数持久化与溯源、不覆盖手工确认值、同值也记录来源，以及提示词、后追问用户。</w:t>
      </w:r>
    </w:p>
    <w:p w14:paraId="00100016">
      <w:pPr>
        <w:numPr>
          <w:ilvl w:val="0"/>
          <w:numId w:val="1"/>
        </w:numPr>
        <w:spacing w:after="40" w:line="276" w:lineRule="auto"/>
      </w:pPr>
      <w:r>
        <w:t>可行性评估与实施方案：发布《照明设计智能体可行性评估与实施方案》，内容包括行业形态判断、技术生态与接入建议、当前能力盘点（已具备/不能承诺）、产品定位”、人机协作责任边界、推荐状态机与分层架构、阶段0—5分步实施计划、风险闸门与首个试点建议</w:t>
      </w:r>
      <w:r>
        <w:rPr>
          <w:rFonts w:hint="eastAsia"/>
          <w:lang w:eastAsia="zh-CN"/>
        </w:rPr>
        <w:t>。</w:t>
      </w:r>
    </w:p>
    <w:p w14:paraId="00100018">
      <w:pPr>
        <w:spacing w:before="200" w:after="120"/>
      </w:pPr>
      <w:r>
        <w:rPr>
          <w:b/>
          <w:sz w:val="36"/>
        </w:rPr>
        <w:t>已实现能力总览</w:t>
      </w: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3"/>
        <w:gridCol w:w="7053"/>
      </w:tblGrid>
      <w:tr w14:paraId="5DCCF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0010001A">
            <w:r>
              <w:rPr>
                <w:b/>
                <w:color w:val="FFFFFF"/>
                <w:sz w:val="21"/>
              </w:rPr>
              <w:t>能力模块</w:t>
            </w:r>
          </w:p>
        </w:tc>
        <w:tc>
          <w:tcPr>
            <w:tcW w:w="0" w:type="auto"/>
            <w:shd w:val="clear" w:color="auto" w:fill="1F4E79"/>
          </w:tcPr>
          <w:p w14:paraId="0010001C">
            <w:r>
              <w:rPr>
                <w:b/>
                <w:color w:val="FFFFFF"/>
                <w:sz w:val="21"/>
              </w:rPr>
              <w:t>当前实现</w:t>
            </w:r>
          </w:p>
        </w:tc>
      </w:tr>
      <w:tr w14:paraId="0928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10001E">
            <w:r>
              <w:rPr>
                <w:sz w:val="20"/>
              </w:rPr>
              <w:t>项目事实与版本</w:t>
            </w:r>
          </w:p>
        </w:tc>
        <w:tc>
          <w:tcPr>
            <w:tcW w:w="0" w:type="auto"/>
          </w:tcPr>
          <w:p w14:paraId="00100020">
            <w:r>
              <w:rPr>
                <w:sz w:val="20"/>
              </w:rPr>
              <w:t>ProjectState + SQLite 持久化，不可变 revision 快照与写入冲突检查；聊天不是事实源，</w:t>
            </w:r>
          </w:p>
        </w:tc>
      </w:tr>
      <w:tr w14:paraId="6CB61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100022">
            <w:r>
              <w:rPr>
                <w:sz w:val="20"/>
              </w:rPr>
              <w:t>资料入库与检索</w:t>
            </w:r>
          </w:p>
        </w:tc>
        <w:tc>
          <w:tcPr>
            <w:tcW w:w="0" w:type="auto"/>
          </w:tcPr>
          <w:p w14:paraId="00100024">
            <w:r>
              <w:rPr>
                <w:sz w:val="20"/>
              </w:rPr>
              <w:t>Chroma 向量检索（可切换 SQLite 关键词），.md/.txt/.docx/.pdf 语义检索，PDF 可对接 PaddleOCR，保留原文片段与定位信息</w:t>
            </w:r>
          </w:p>
        </w:tc>
      </w:tr>
      <w:tr w14:paraId="07F2A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100026">
            <w:r>
              <w:rPr>
                <w:sz w:val="20"/>
              </w:rPr>
              <w:t>照明参数自动补全</w:t>
            </w:r>
          </w:p>
        </w:tc>
        <w:tc>
          <w:tcPr>
            <w:tcW w:w="0" w:type="auto"/>
          </w:tcPr>
          <w:p w14:paraId="00100028">
            <w:r>
              <w:rPr>
                <w:sz w:val="20"/>
              </w:rPr>
              <w:t>检索照度、色温、Ra、UGR、U0、LPD 证据并写入任务书，记录证据来源（含同值场景），不覆盖手工确认值</w:t>
            </w:r>
          </w:p>
        </w:tc>
      </w:tr>
      <w:tr w14:paraId="5E2C6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10002A">
            <w:r>
              <w:rPr>
                <w:sz w:val="20"/>
              </w:rPr>
              <w:t>确定性初算与规则校核</w:t>
            </w:r>
          </w:p>
        </w:tc>
        <w:tc>
          <w:tcPr>
            <w:tcW w:w="0" w:type="auto"/>
          </w:tcPr>
          <w:p w14:paraId="0010002C">
            <w:r>
              <w:rPr>
                <w:sz w:val="20"/>
              </w:rPr>
              <w:t>流明法初算（记录输入、假设与局限）；规则校核只用显式带证据来源的阈值，缺证据或观测值不虚报合格</w:t>
            </w:r>
          </w:p>
        </w:tc>
      </w:tr>
      <w:tr w14:paraId="06E1C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10002E">
            <w:r>
              <w:rPr>
                <w:sz w:val="20"/>
              </w:rPr>
              <w:t>灯具检索与选型</w:t>
            </w:r>
          </w:p>
        </w:tc>
        <w:tc>
          <w:tcPr>
            <w:tcW w:w="0" w:type="auto"/>
          </w:tcPr>
          <w:p w14:paraId="00100030">
            <w:r>
              <w:rPr>
                <w:sz w:val="20"/>
              </w:rPr>
              <w:t>DIALux Luminaire Finder 两阶段查询（搜索列表+详情页），功率/IP/品牌条件过滤，字段缺失标注 incomplete；最终型号一次性确认</w:t>
            </w:r>
          </w:p>
        </w:tc>
      </w:tr>
      <w:tr w14:paraId="3570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100032">
            <w:r>
              <w:rPr>
                <w:sz w:val="20"/>
              </w:rPr>
              <w:t>配光资产归档</w:t>
            </w:r>
          </w:p>
        </w:tc>
        <w:tc>
          <w:tcPr>
            <w:tcW w:w="0" w:type="auto"/>
          </w:tcPr>
          <w:p w14:paraId="00100034">
            <w:r>
              <w:rPr>
                <w:sz w:val="20"/>
              </w:rPr>
              <w:t>ULD/IES/LDT 安全下载（防压缩炸弹、跨主机重定向）、解压归档、SHA-256 校验、按项目持久化，失败可重试</w:t>
            </w:r>
          </w:p>
        </w:tc>
      </w:tr>
      <w:tr w14:paraId="3EC09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100036">
            <w:r>
              <w:rPr>
                <w:sz w:val="20"/>
              </w:rPr>
              <w:t>CAD 平面图辅助</w:t>
            </w:r>
          </w:p>
        </w:tc>
        <w:tc>
          <w:tcPr>
            <w:tcW w:w="0" w:type="auto"/>
          </w:tcPr>
          <w:p w14:paraId="00100038">
            <w:r>
              <w:rPr>
                <w:sz w:val="20"/>
              </w:rPr>
              <w:t>DXF 上传（安装 ODA File Converter 后可扩展 DWG），提取单位、边界、文字与闭合房间边界，面积候选经确认后写入任务书</w:t>
            </w:r>
          </w:p>
        </w:tc>
      </w:tr>
      <w:tr w14:paraId="22B56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10003A">
            <w:r>
              <w:rPr>
                <w:sz w:val="20"/>
              </w:rPr>
              <w:t>DIALux 交接与回灌</w:t>
            </w:r>
          </w:p>
        </w:tc>
        <w:tc>
          <w:tcPr>
            <w:tcW w:w="0" w:type="auto"/>
          </w:tcPr>
          <w:p w14:paraId="0010003C">
            <w:r>
              <w:rPr>
                <w:sz w:val="20"/>
              </w:rPr>
              <w:t>不可变 handoff_id 与输入快照 SHA-256 交接包；仿真结果结构化回灌，matched/mismatch 校验，条件变化自动标记 stale 并派生工作流状态</w:t>
            </w:r>
          </w:p>
        </w:tc>
      </w:tr>
      <w:tr w14:paraId="6F69A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10003E">
            <w:r>
              <w:rPr>
                <w:sz w:val="20"/>
              </w:rPr>
              <w:t>交付物</w:t>
            </w:r>
          </w:p>
        </w:tc>
        <w:tc>
          <w:tcPr>
            <w:tcW w:w="0" w:type="auto"/>
          </w:tcPr>
          <w:p w14:paraId="00100040">
            <w:r>
              <w:rPr>
                <w:sz w:val="20"/>
              </w:rPr>
              <w:t>Markdown 设计报告（证据/输入/计算/规则/候选灯具/待确认事项/人工复核声明）与 DIALux evo 仿真交接包</w:t>
            </w:r>
          </w:p>
        </w:tc>
      </w:tr>
      <w:tr w14:paraId="31E95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100042">
            <w:r>
              <w:rPr>
                <w:sz w:val="20"/>
              </w:rPr>
              <w:t>Web 工作台</w:t>
            </w:r>
          </w:p>
        </w:tc>
        <w:tc>
          <w:tcPr>
            <w:tcW w:w="0" w:type="auto"/>
          </w:tcPr>
          <w:p w14:paraId="00100044">
            <w:r>
              <w:rPr>
                <w:sz w:val="20"/>
              </w:rPr>
              <w:t>Next.js + FastAPI：智能对话（工具轨迹、LLM 重试提示、上下文占用）、项目概览、灯具选型、计算与交付面板</w:t>
            </w:r>
          </w:p>
        </w:tc>
      </w:tr>
      <w:tr w14:paraId="041C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100046">
            <w:r>
              <w:rPr>
                <w:sz w:val="20"/>
              </w:rPr>
              <w:t>离线与回归保障</w:t>
            </w:r>
          </w:p>
        </w:tc>
        <w:tc>
          <w:tcPr>
            <w:tcW w:w="0" w:type="auto"/>
          </w:tcPr>
          <w:p w14:paraId="00100048">
            <w:r>
              <w:rPr>
                <w:sz w:val="20"/>
              </w:rPr>
              <w:t>本地嵌入模型缓存、双检索后端；阶段0脱敏基线不访问外部服务，95 项测试通过，verify-phase0.ps1 一键回归</w:t>
            </w:r>
          </w:p>
        </w:tc>
      </w:tr>
      <w:tr w14:paraId="64831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010004A">
            <w:r>
              <w:rPr>
                <w:sz w:val="20"/>
              </w:rPr>
              <w:t>常用模板</w:t>
            </w:r>
          </w:p>
        </w:tc>
        <w:tc>
          <w:tcPr>
            <w:tcW w:w="0" w:type="auto"/>
          </w:tcPr>
          <w:p w14:paraId="0010004C">
            <w:r>
              <w:rPr>
                <w:sz w:val="20"/>
              </w:rPr>
              <w:t>按 GB 50034-2024 预填普通办公室、会议室、视频会议室任务书（照度、4000K、Ra 80、UGR 19、U0 0.6、LPD 6.5 W/m²）</w:t>
            </w:r>
          </w:p>
        </w:tc>
      </w:tr>
    </w:tbl>
    <w:p w14:paraId="00100068">
      <w:pPr>
        <w:spacing w:before="200" w:after="80"/>
      </w:pPr>
      <w:r>
        <w:rPr>
          <w:b/>
          <w:sz w:val="22"/>
        </w:rPr>
        <w:t>UI概览</w:t>
      </w:r>
    </w:p>
    <w:p w14:paraId="0010006A">
      <w:pPr>
        <w:spacing w:after="40"/>
        <w:jc w:val="center"/>
      </w:pPr>
      <w:r>
        <w:drawing>
          <wp:inline distT="0" distB="0" distL="0" distR="0">
            <wp:extent cx="5267960" cy="2546350"/>
            <wp:effectExtent l="0" t="0" r="5080" b="13970"/>
            <wp:docPr id="1026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3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6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06C">
      <w:pPr>
        <w:spacing w:after="200"/>
        <w:jc w:val="center"/>
      </w:pPr>
      <w:r>
        <w:rPr>
          <w:color w:val="595959"/>
          <w:sz w:val="18"/>
        </w:rPr>
        <w:t>图1 项目概览：设计链路、设计状态与待确认事项一屏展示</w:t>
      </w:r>
    </w:p>
    <w:p w14:paraId="0010006E">
      <w:pPr>
        <w:spacing w:after="40"/>
        <w:jc w:val="center"/>
      </w:pPr>
      <w:r>
        <w:drawing>
          <wp:inline distT="0" distB="0" distL="0" distR="0">
            <wp:extent cx="5266055" cy="2559685"/>
            <wp:effectExtent l="0" t="0" r="6985" b="635"/>
            <wp:docPr id="1027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2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596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070">
      <w:pPr>
        <w:spacing w:after="200"/>
        <w:jc w:val="center"/>
        <w:rPr>
          <w:color w:val="595959"/>
          <w:sz w:val="18"/>
        </w:rPr>
      </w:pPr>
      <w:r>
        <w:rPr>
          <w:color w:val="595959"/>
          <w:sz w:val="18"/>
        </w:rPr>
        <w:t>图2 智能对话：会话消息、快速指令与工具执行调试面板</w:t>
      </w:r>
    </w:p>
    <w:p w14:paraId="58CEC8E5">
      <w:pPr>
        <w:spacing w:after="200"/>
        <w:jc w:val="center"/>
        <w:rPr>
          <w:color w:val="595959"/>
          <w:sz w:val="18"/>
        </w:rPr>
      </w:pPr>
      <w:r>
        <w:drawing>
          <wp:inline distT="0" distB="0" distL="114300" distR="114300">
            <wp:extent cx="5268595" cy="252412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FFD87">
      <w:pPr>
        <w:spacing w:after="200"/>
        <w:jc w:val="center"/>
        <w:rPr>
          <w:color w:val="595959"/>
          <w:sz w:val="18"/>
        </w:rPr>
      </w:pPr>
      <w:r>
        <w:rPr>
          <w:color w:val="595959"/>
          <w:sz w:val="18"/>
        </w:rPr>
        <w:t>图</w:t>
      </w:r>
      <w:r>
        <w:rPr>
          <w:rFonts w:hint="eastAsia"/>
          <w:color w:val="595959"/>
          <w:sz w:val="18"/>
          <w:lang w:val="en-US" w:eastAsia="zh-CN"/>
        </w:rPr>
        <w:t>3</w:t>
      </w:r>
      <w:r>
        <w:rPr>
          <w:color w:val="595959"/>
          <w:sz w:val="18"/>
        </w:rPr>
        <w:t xml:space="preserve"> </w:t>
      </w:r>
      <w:r>
        <w:rPr>
          <w:rFonts w:hint="eastAsia"/>
          <w:color w:val="595959"/>
          <w:sz w:val="18"/>
          <w:lang w:val="en-US" w:eastAsia="zh-CN"/>
        </w:rPr>
        <w:t>RAG资料入库</w:t>
      </w:r>
      <w:r>
        <w:rPr>
          <w:color w:val="595959"/>
          <w:sz w:val="18"/>
        </w:rPr>
        <w:t>：会话消息、快速指令与工具执行调试面板</w:t>
      </w:r>
    </w:p>
    <w:p w14:paraId="00100072">
      <w:pPr>
        <w:spacing w:before="200" w:after="80"/>
      </w:pPr>
      <w:r>
        <w:rPr>
          <w:b/>
          <w:sz w:val="22"/>
        </w:rPr>
        <w:t>需关注事项</w:t>
      </w:r>
    </w:p>
    <w:p w14:paraId="00100074">
      <w:pPr>
        <w:numPr>
          <w:ilvl w:val="0"/>
          <w:numId w:val="2"/>
        </w:numPr>
        <w:spacing w:after="40" w:line="276" w:lineRule="auto"/>
      </w:pPr>
      <w:r>
        <w:t>阶段0基线是离线确定性回归，不覆盖真实 LLM 编排、Chroma 在线索引与 DIALux 在线接口，端到端表现仍需在试点项目中验证。</w:t>
      </w:r>
    </w:p>
    <w:p w14:paraId="00100076">
      <w:pPr>
        <w:numPr>
          <w:ilvl w:val="0"/>
          <w:numId w:val="2"/>
        </w:numPr>
        <w:spacing w:after="40" w:line="276" w:lineRule="auto"/>
      </w:pPr>
      <w:r>
        <w:t>平面图上传仅支持 DXF（安装 ODA File Converter 后可扩展 DWG），输出面积/边界候选，几何与面积须经工程师确认后才写入任务书；不做比例校准与三维场景。</w:t>
      </w:r>
    </w:p>
    <w:p w14:paraId="00100078">
      <w:pPr>
        <w:numPr>
          <w:ilvl w:val="0"/>
          <w:numId w:val="2"/>
        </w:numPr>
        <w:spacing w:after="40" w:line="276" w:lineRule="auto"/>
      </w:pPr>
      <w:r>
        <w:t>嵌入模型首次使用需先下载（默认仅读本地缓存），新机器离线安装需提前准备模型缓存或配置国内镜像。</w:t>
      </w:r>
    </w:p>
    <w:p w14:paraId="0010007A">
      <w:pPr>
        <w:numPr>
          <w:ilvl w:val="0"/>
          <w:numId w:val="2"/>
        </w:numPr>
        <w:spacing w:after="40" w:line="276" w:lineRule="auto"/>
      </w:pPr>
      <w:r>
        <w:t>DIALux 仿真回灌目前仅支持手动表单指标；PDF/CSV 自动解析、规则自动重跑与修订循环尚未实现，且只有 matched 结果才能作为项目结论。</w:t>
      </w:r>
    </w:p>
    <w:p w14:paraId="0010007E">
      <w:pPr>
        <w:numPr>
          <w:ilvl w:val="0"/>
          <w:numId w:val="2"/>
        </w:numPr>
        <w:spacing w:after="40" w:line="276" w:lineRule="auto"/>
      </w:pPr>
      <w:r>
        <w:t>在线资料抓取、审批与许可证治理尚未实现，纳入知识库的资料需人工筛选把关。</w:t>
      </w:r>
    </w:p>
    <w:p w14:paraId="11950422">
      <w:pPr>
        <w:numPr>
          <w:ilvl w:val="0"/>
          <w:numId w:val="2"/>
        </w:numPr>
        <w:spacing w:after="40" w:line="276" w:lineRule="auto"/>
      </w:pPr>
      <w:r>
        <w:rPr>
          <w:rFonts w:hint="eastAsia"/>
          <w:lang w:val="en-US" w:eastAsia="zh-CN"/>
        </w:rPr>
        <w:t>由于DIALux并无开放API，配光文件只能手动导入DIALux。</w:t>
      </w:r>
    </w:p>
    <w:p w14:paraId="00100080">
      <w:pPr>
        <w:spacing w:before="200" w:after="120"/>
      </w:pPr>
      <w:r>
        <w:rPr>
          <w:b/>
          <w:sz w:val="36"/>
        </w:rPr>
        <w:t>下周计划</w:t>
      </w:r>
    </w:p>
    <w:p w14:paraId="00100082">
      <w:pPr>
        <w:numPr>
          <w:ilvl w:val="0"/>
          <w:numId w:val="3"/>
        </w:numPr>
        <w:spacing w:after="40" w:line="276" w:lineRule="auto"/>
      </w:pPr>
      <w:r>
        <w:t>启动阶段1”：完善 DIALux evo 结果导入与输入版本核验，研究仿真输出 PDF/CSV 的结构化解析，推进—校核—修订。</w:t>
      </w:r>
    </w:p>
    <w:p w14:paraId="00100084">
      <w:pPr>
        <w:numPr>
          <w:ilvl w:val="0"/>
          <w:numId w:val="3"/>
        </w:numPr>
        <w:spacing w:after="40" w:line="276" w:lineRule="auto"/>
      </w:pPr>
      <w:r>
        <w:t>开展阶段2预研：IES/LDT 配光解析与照度快速预览、热力图，辅助灯具比选。</w:t>
      </w:r>
    </w:p>
    <w:p w14:paraId="00100086">
      <w:pPr>
        <w:numPr>
          <w:ilvl w:val="0"/>
          <w:numId w:val="3"/>
        </w:numPr>
        <w:spacing w:after="40" w:line="276" w:lineRule="auto"/>
      </w:pPr>
      <w:r>
        <w:t>继续打磨前端交互：重点优化对话与灯具选型体验，完善常用模板落单流程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优化用户体验</w:t>
      </w:r>
      <w:bookmarkStart w:id="0" w:name="_GoBack"/>
      <w:bookmarkEnd w:id="0"/>
      <w:r>
        <w:t>。</w:t>
      </w:r>
    </w:p>
    <w:p w14:paraId="00100088">
      <w:pPr>
        <w:numPr>
          <w:ilvl w:val="0"/>
          <w:numId w:val="3"/>
        </w:numPr>
        <w:spacing w:after="40" w:line="276" w:lineRule="auto"/>
      </w:pPr>
      <w:r>
        <w:t>以517会议室等项目跑通→初算→校核→选型→交接→仿真→回灌，收集试点问题并扩充脱敏基线用例。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08A">
    <w:pPr>
      <w:jc w:val="center"/>
    </w:pPr>
    <w:r>
      <w:rPr>
        <w:sz w:val="18"/>
      </w:rPr>
      <w:t xml:space="preserve">项目周报  |  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abstractNum w:abstractNumId="2">
    <w:nsid w:val="00000002"/>
    <w:multiLevelType w:val="multilevel"/>
    <w:tmpl w:val="0000000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74314A9"/>
    <w:rsid w:val="3D3779F1"/>
    <w:rsid w:val="4F5075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微软雅黑" w:hAnsi="微软雅黑" w:eastAsia="微软雅黑" w:cs="微软雅黑"/>
      <w:sz w:val="22"/>
      <w:szCs w:val="22"/>
    </w:rPr>
  </w:style>
  <w:style w:type="character" w:default="1" w:styleId="3">
    <w:name w:val="Default Paragraph Font"/>
    <w:uiPriority w:val="0"/>
  </w:style>
  <w:style w:type="table" w:default="1" w:styleId="2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1624</Words>
  <Characters>2060</Characters>
  <Paragraphs>68</Paragraphs>
  <TotalTime>16</TotalTime>
  <ScaleCrop>false</ScaleCrop>
  <LinksUpToDate>false</LinksUpToDate>
  <CharactersWithSpaces>2140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2026-08-22T09:21:00Z</dcterms:created>
  <dc:creator>OfficeCLI</dc:creator>
  <cp:lastModifiedBy>宋海同</cp:lastModifiedBy>
  <dcterms:modified xsi:type="dcterms:W3CDTF">2026-08-23T01:51:12Z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1.0.144</vt:lpwstr>
  </property>
  <property fmtid="{D5CDD505-2E9C-101B-9397-08002B2CF9AE}" pid="3" name="OfficeCLI.LastModified">
    <vt:lpwstr>2026-08-22T09:24:05Z</vt:lpwstr>
  </property>
  <property fmtid="{D5CDD505-2E9C-101B-9397-08002B2CF9AE}" pid="4" name="KSOTemplateDocerSaveRecord">
    <vt:lpwstr>eyJoZGlkIjoiOTBhNDJmZDhhODU3MjNhYzk5OTcyOGZmZTFmNGVkMmEiLCJ1c2VySWQiOiIxNzk1MjcxNzk3In0=</vt:lpwstr>
  </property>
  <property fmtid="{D5CDD505-2E9C-101B-9397-08002B2CF9AE}" pid="5" name="KSOProductBuildVer">
    <vt:lpwstr>2052-12.1.0.28043</vt:lpwstr>
  </property>
  <property fmtid="{D5CDD505-2E9C-101B-9397-08002B2CF9AE}" pid="6" name="ICV">
    <vt:lpwstr>368F4A97768B4B9B858A4733657394F6_12</vt:lpwstr>
  </property>
</Properties>
</file>