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文档办公与效率工具方案</w:t>
      </w:r>
    </w:p>
    <w:p>
      <w:r>
        <w:rPr>
          <w:b w:val="0"/>
          <w:i/>
          <w:color w:val="606060"/>
          <w:sz w:val="22"/>
        </w:rPr>
        <w:t>—— 本地化、轻量、无广告的桌面端效率百宝箱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cantSplit/>
          <w:tblHeader/>
        </w:trPr>
        <w:tc>
          <w:tcPr>
            <w:tcW w:type="dxa" w:w="1814"/>
            <w:shd w:val="clear" w:fill="D9E2F3"/>
          </w:tcPr>
          <w:p>
            <w:pPr>
              <w:jc w:val="center"/>
            </w:pPr>
            <w:r/>
            <w:r>
              <w:rPr>
                <w:b/>
              </w:rPr>
              <w:t>项目</w:t>
            </w:r>
          </w:p>
        </w:tc>
        <w:tc>
          <w:tcPr>
            <w:tcW w:type="dxa" w:w="6973"/>
            <w:shd w:val="clear" w:fill="D9E2F3"/>
          </w:tcPr>
          <w:p>
            <w:pPr>
              <w:jc w:val="center"/>
            </w:pPr>
            <w:r/>
            <w:r>
              <w:rPr>
                <w:b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</w:tcPr>
          <w:p>
            <w:r>
              <w:t>文档名称</w:t>
            </w:r>
          </w:p>
        </w:tc>
        <w:tc>
          <w:tcPr>
            <w:tcW w:type="dxa" w:w="6973"/>
          </w:tcPr>
          <w:p>
            <w:r>
              <w:t>文档办公与效率工具方案</w:t>
            </w:r>
          </w:p>
        </w:tc>
      </w:tr>
      <w:tr>
        <w:trPr>
          <w:cantSplit/>
        </w:trPr>
        <w:tc>
          <w:tcPr>
            <w:tcW w:type="dxa" w:w="1814"/>
          </w:tcPr>
          <w:p>
            <w:r>
              <w:t>版本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>
              <w:t>V1.2</w:t>
            </w:r>
          </w:p>
        </w:tc>
      </w:tr>
      <w:tr>
        <w:trPr>
          <w:cantSplit/>
        </w:trPr>
        <w:tc>
          <w:tcPr>
            <w:tcW w:type="dxa" w:w="1814"/>
          </w:tcPr>
          <w:p>
            <w:r>
              <w:t>编写人</w:t>
            </w:r>
          </w:p>
        </w:tc>
        <w:tc>
          <w:tcPr>
            <w:tcW w:type="dxa" w:w="6973"/>
          </w:tcPr>
          <w:p>
            <w:r>
              <w:t>宋建</w:t>
            </w:r>
          </w:p>
        </w:tc>
      </w:tr>
      <w:tr>
        <w:trPr>
          <w:cantSplit/>
        </w:trPr>
        <w:tc>
          <w:tcPr>
            <w:tcW w:type="dxa" w:w="1814"/>
          </w:tcPr>
          <w:p>
            <w:r>
              <w:t>日期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>
              <w:t>2026-09-06</w:t>
            </w:r>
          </w:p>
        </w:tc>
      </w:tr>
      <w:tr>
        <w:trPr>
          <w:cantSplit/>
        </w:trPr>
        <w:tc>
          <w:tcPr>
            <w:tcW w:type="dxa" w:w="1814"/>
          </w:tcPr>
          <w:p>
            <w:r>
              <w:t>状态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>
              <w:t>评审修订稿</w:t>
            </w:r>
          </w:p>
        </w:tc>
      </w:tr>
      <w:tr>
        <w:trPr>
          <w:cantSplit/>
        </w:trPr>
        <w:tc>
          <w:tcPr>
            <w:tcW w:type="dxa" w:w="1814"/>
          </w:tcPr>
          <w:p>
            <w:r>
              <w:t>适用范围</w:t>
            </w:r>
          </w:p>
        </w:tc>
        <w:tc>
          <w:tcPr>
            <w:tcW w:type="dxa" w:w="6973"/>
          </w:tcPr>
          <w:p>
            <w:r>
              <w:t>桌面端效率工具（Windows 优先，预留 macOS/Linux 扩展）</w:t>
            </w:r>
          </w:p>
        </w:tc>
      </w:tr>
    </w:tbl>
    <w:p/>
    <w:p>
      <w:pPr>
        <w:pStyle w:val="Heading1"/>
        <w:keepNext/>
      </w:pPr>
      <w: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</w:trPr>
        <w:tc>
          <w:tcPr>
            <w:tcW w:type="dxa" w:w="1020"/>
            <w:shd w:val="clear" w:fill="D9E2F3"/>
          </w:tcPr>
          <w:p>
            <w:pPr>
              <w:jc w:val="center"/>
            </w:pPr>
            <w:r/>
            <w:r>
              <w:rPr>
                <w:b/>
              </w:rPr>
              <w:t>版本</w:t>
            </w:r>
          </w:p>
        </w:tc>
        <w:tc>
          <w:tcPr>
            <w:tcW w:type="dxa" w:w="1474"/>
            <w:shd w:val="clear" w:fill="D9E2F3"/>
          </w:tcPr>
          <w:p>
            <w:pPr>
              <w:jc w:val="center"/>
            </w:pPr>
            <w:r/>
            <w:r>
              <w:rPr>
                <w:b/>
              </w:rPr>
              <w:t>日期</w:t>
            </w:r>
          </w:p>
        </w:tc>
        <w:tc>
          <w:tcPr>
            <w:tcW w:type="dxa" w:w="1134"/>
            <w:shd w:val="clear" w:fill="D9E2F3"/>
          </w:tcPr>
          <w:p>
            <w:pPr>
              <w:jc w:val="center"/>
            </w:pPr>
            <w:r/>
            <w:r>
              <w:rPr>
                <w:b/>
              </w:rPr>
              <w:t>修订人</w:t>
            </w:r>
          </w:p>
        </w:tc>
        <w:tc>
          <w:tcPr>
            <w:tcW w:type="dxa" w:w="5159"/>
            <w:shd w:val="clear" w:fill="D9E2F3"/>
          </w:tcPr>
          <w:p>
            <w:pPr>
              <w:jc w:val="center"/>
            </w:pPr>
            <w:r/>
            <w:r>
              <w:rPr>
                <w:b/>
              </w:rPr>
              <w:t>修订说明</w:t>
            </w:r>
          </w:p>
        </w:tc>
      </w:tr>
      <w:tr>
        <w:trPr>
          <w:cantSplit/>
        </w:trPr>
        <w:tc>
          <w:tcPr>
            <w:tcW w:type="dxa" w:w="1020"/>
          </w:tcPr>
          <w:p>
            <w:r>
              <w:t>V1.0</w:t>
            </w:r>
          </w:p>
        </w:tc>
        <w:tc>
          <w:tcPr>
            <w:tcW w:type="dxa" w:w="1474"/>
          </w:tcPr>
          <w:p>
            <w:r>
              <w:t>2026-09-06</w:t>
            </w:r>
          </w:p>
        </w:tc>
        <w:tc>
          <w:tcPr>
            <w:tcW w:type="dxa" w:w="1134"/>
          </w:tcPr>
          <w:p>
            <w:r>
              <w:t>宋建</w:t>
            </w:r>
          </w:p>
        </w:tc>
        <w:tc>
          <w:tcPr>
            <w:tcW w:type="dxa" w:w="5159"/>
          </w:tcPr>
          <w:p>
            <w:r>
              <w:t>初稿：核心模块技术栈笔记与七大功能模块规划</w:t>
            </w:r>
          </w:p>
        </w:tc>
      </w:tr>
      <w:tr>
        <w:trPr>
          <w:cantSplit/>
        </w:trPr>
        <w:tc>
          <w:tcPr>
            <w:tcW w:type="dxa" w:w="1020"/>
          </w:tcPr>
          <w:p>
            <w:r>
              <w:t>V1.1</w:t>
            </w:r>
          </w:p>
        </w:tc>
        <w:tc>
          <w:tcPr>
            <w:tcW w:type="dxa" w:w="1474"/>
          </w:tcPr>
          <w:p>
            <w:r>
              <w:t>2026-09-06</w:t>
            </w:r>
          </w:p>
        </w:tc>
        <w:tc>
          <w:tcPr>
            <w:tcW w:type="dxa" w:w="1134"/>
          </w:tcPr>
          <w:p>
            <w:r>
              <w:t>宋建</w:t>
            </w:r>
          </w:p>
        </w:tc>
        <w:tc>
          <w:tcPr>
            <w:tcW w:type="dxa" w:w="5159"/>
          </w:tcPr>
          <w:p>
            <w:r>
              <w:t>补充完善：新增背景与目标、框架选型对比、系统架构、实施计划、评估指标、风险应对、支持资源等章节；规范化技术栈表述并修正许可证隐患</w:t>
            </w:r>
          </w:p>
        </w:tc>
      </w:tr>
      <w:tr>
        <w:trPr>
          <w:cantSplit/>
        </w:trPr>
        <w:tc>
          <w:tcPr>
            <w:tcW w:type="dxa" w:w="2239"/>
          </w:tcPr>
          <w:p>
            <w:pPr>
              <w:spacing w:after="40" w:before="40"/>
            </w:pPr>
            <w:r>
              <w:t>V1.2</w:t>
            </w:r>
          </w:p>
        </w:tc>
        <w:tc>
          <w:tcPr>
            <w:tcW w:type="dxa" w:w="2239"/>
          </w:tcPr>
          <w:p>
            <w:pPr>
              <w:spacing w:after="40" w:before="40"/>
            </w:pPr>
            <w:r>
              <w:t>2026-09-06</w:t>
            </w:r>
          </w:p>
        </w:tc>
        <w:tc>
          <w:tcPr>
            <w:tcW w:type="dxa" w:w="2239"/>
          </w:tcPr>
          <w:p>
            <w:pPr>
              <w:spacing w:after="40" w:before="40"/>
            </w:pPr>
            <w:r>
              <w:t>宋建</w:t>
            </w:r>
          </w:p>
        </w:tc>
        <w:tc>
          <w:tcPr>
            <w:tcW w:type="dxa" w:w="2239"/>
          </w:tcPr>
          <w:p>
            <w:pPr>
              <w:spacing w:after="40" w:before="40"/>
            </w:pPr>
            <w:r>
              <w:t>修正技术能力边界、P0/P1/P2 与里程碑映射、人力估算前提及量化验收口径</w:t>
            </w:r>
          </w:p>
        </w:tc>
      </w:tr>
    </w:tbl>
    <w:p/>
    <w:p>
      <w:pPr>
        <w:pStyle w:val="Heading1"/>
        <w:keepNext/>
      </w:pPr>
      <w:r>
        <w:t>1 项目背景与目标</w:t>
      </w:r>
    </w:p>
    <w:p>
      <w:pPr>
        <w:pStyle w:val="Heading2"/>
        <w:keepNext/>
      </w:pPr>
      <w:r>
        <w:t>1.1 背景</w:t>
      </w:r>
    </w:p>
    <w:p>
      <w:pPr>
        <w:pStyle w:val="ListBullet"/>
      </w:pPr>
      <w:r>
        <w:t>日常办公中频繁在多个单一功能网站与小工具间切换（格式转换、OCR、二维码、汇率换算、压缩解压等），操作割裂、效率低。</w:t>
      </w:r>
    </w:p>
    <w:p>
      <w:pPr>
        <w:pStyle w:val="ListBullet"/>
      </w:pPr>
      <w:r>
        <w:t>在线工具普遍存在广告多、需要付费、文件上传带来的隐私泄露风险，敏感文档（合同、发票、身份证件）不宜上传第三方网站。</w:t>
      </w:r>
    </w:p>
    <w:p>
      <w:pPr>
        <w:pStyle w:val="ListBullet"/>
      </w:pPr>
      <w:r>
        <w:t>现有同类"百宝箱"软件体积臃肿、内置广告、功能堆砌，轻量纯净的替代品存在明确需求空间。</w:t>
      </w:r>
    </w:p>
    <w:p>
      <w:pPr>
        <w:pStyle w:val="Heading2"/>
        <w:keepNext/>
      </w:pPr>
      <w:r>
        <w:t>1.2 项目目标</w:t>
      </w:r>
    </w:p>
    <w:p>
      <w:r>
        <w:t>打造一款本地化、轻量、无广告的桌面端“效率百宝箱”。产品路线图覆盖 7 大模块约 40 项能力；16 周 V1.0 只承诺 P0 与 P1，P2 进入 V1.1 及后续版本。量化目标如下，最终以第 6 章口径验收：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  <w:tblHeader/>
        </w:trPr>
        <w:tc>
          <w:tcPr>
            <w:tcW w:type="dxa" w:w="2268"/>
            <w:shd w:val="clear" w:fill="D9E2F3"/>
          </w:tcPr>
          <w:p>
            <w:pPr>
              <w:spacing w:after="40" w:before="40"/>
            </w:pPr>
            <w:r>
              <w:t>指标</w:t>
            </w:r>
          </w:p>
        </w:tc>
        <w:tc>
          <w:tcPr>
            <w:tcW w:type="dxa" w:w="1701"/>
            <w:shd w:val="clear" w:fill="D9E2F3"/>
          </w:tcPr>
          <w:p>
            <w:pPr>
              <w:spacing w:after="40" w:before="40"/>
            </w:pPr>
            <w:r>
              <w:t>目标值</w:t>
            </w:r>
          </w:p>
        </w:tc>
        <w:tc>
          <w:tcPr>
            <w:tcW w:type="dxa" w:w="4819"/>
            <w:shd w:val="clear" w:fill="D9E2F3"/>
          </w:tcPr>
          <w:p>
            <w:pPr>
              <w:spacing w:after="40" w:before="40"/>
            </w:pPr>
            <w:r>
              <w:t>说明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/>
            </w:pPr>
            <w:r>
              <w:t>基础安装包体积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t>≤ 30 MB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t>Windows x64 基础安装包；不含 WebView2 固定运行时、LibreOffice、AI 模型及可选插件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/>
            </w:pPr>
            <w:r>
              <w:t>冷启动时间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t>P95 ≤ 1.5 秒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t>参考设备与计时边界见第 6 章；原型阶段先建立基线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/>
            </w:pPr>
            <w:r>
              <w:t>空闲内存占用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t>P95 ≤ 80 MB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t>启动后空闲 10 分钟采样；不含外部 LibreOffice 与模型进程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/>
            </w:pPr>
            <w:r>
              <w:t>常用功能操作步数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t>≥ 90% 的 P0/P1 功能 ≤ 2 步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t>从首页或全局搜索进入目标功能，文本录入和文件选择不计为导航步骤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/>
            </w:pPr>
            <w:r>
              <w:t>离线可用功能占比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t>≥ 80%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t>以冻结后的 P0/P1 功能清单为分母；已安装的本地模型或运行时可计入离线能力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/>
            </w:pPr>
            <w:r>
              <w:t>无崩溃会话率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t>≥ 99.9%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t>至少累计 10,000 次授权统计会话；样本不足时只报告实际值，不判定达标</w:t>
            </w:r>
          </w:p>
        </w:tc>
      </w:tr>
    </w:tbl>
    <w:p/>
    <w:p>
      <w:pPr>
        <w:pStyle w:val="Heading2"/>
        <w:keepNext/>
      </w:pPr>
      <w:r>
        <w:t>1.3 目标用户与典型场景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cantSplit/>
          <w:tblHeader/>
        </w:trPr>
        <w:tc>
          <w:tcPr>
            <w:tcW w:type="dxa" w:w="2268"/>
            <w:shd w:val="clear" w:fill="D9E2F3"/>
          </w:tcPr>
          <w:p>
            <w:pPr>
              <w:jc w:val="center"/>
            </w:pPr>
            <w:r/>
            <w:r>
              <w:rPr>
                <w:b/>
              </w:rPr>
              <w:t>目标用户</w:t>
            </w:r>
          </w:p>
        </w:tc>
        <w:tc>
          <w:tcPr>
            <w:tcW w:type="dxa" w:w="6520"/>
            <w:shd w:val="clear" w:fill="D9E2F3"/>
          </w:tcPr>
          <w:p>
            <w:pPr>
              <w:jc w:val="center"/>
            </w:pPr>
            <w:r/>
            <w:r>
              <w:rPr>
                <w:b/>
              </w:rPr>
              <w:t>典型场景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t>办公文员/行政</w:t>
            </w:r>
          </w:p>
        </w:tc>
        <w:tc>
          <w:tcPr>
            <w:tcW w:type="dxa" w:w="6520"/>
          </w:tcPr>
          <w:p>
            <w:r>
              <w:t>批量 Office 导出 PDF、PDF 合并拆分、批量重命名、压缩解压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t>财务/报销人员</w:t>
            </w:r>
          </w:p>
        </w:tc>
        <w:tc>
          <w:tcPr>
            <w:tcW w:type="dxa" w:w="6520"/>
          </w:tcPr>
          <w:p>
            <w:r>
              <w:t>发票批量拍照识别录入、个税/房贷计算、敏感信息脱敏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t>开发/测试人员</w:t>
            </w:r>
          </w:p>
        </w:tc>
        <w:tc>
          <w:tcPr>
            <w:tcW w:type="dxa" w:w="6520"/>
          </w:tcPr>
          <w:p>
            <w:r>
              <w:t>网速测试、Ping/端口检测、二维码生成识别、IP 查询、局域网快传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t>学生/内容创作者</w:t>
            </w:r>
          </w:p>
        </w:tc>
        <w:tc>
          <w:tcPr>
            <w:tcW w:type="dxa" w:w="6520"/>
          </w:tcPr>
          <w:p>
            <w:r>
              <w:t>OCR 文字识别、截图长截图、AI 抠图证件照、音视频转文字/字幕、番茄钟白噪音</w:t>
            </w:r>
          </w:p>
        </w:tc>
      </w:tr>
    </w:tbl>
    <w:p/>
    <w:p>
      <w:pPr>
        <w:pStyle w:val="Heading1"/>
        <w:keepNext/>
      </w:pPr>
      <w:r>
        <w:t>2 功能规划（七大模块）</w:t>
      </w:r>
    </w:p>
    <w:p>
      <w:r>
        <w:t>路线图共 7 大模块约 40 项能力。P0 为阶段一 MVP 必备，P1 为 V1.0 必备，P2 为 V1.1 及后续候选；P2 不计入 16 周交付承诺。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</w:trPr>
        <w:tc>
          <w:tcPr>
            <w:tcW w:type="dxa" w:w="1474"/>
            <w:shd w:val="clear" w:fill="D9E2F3"/>
          </w:tcPr>
          <w:p>
            <w:pPr>
              <w:spacing w:after="40" w:before="40"/>
            </w:pPr>
            <w:r>
              <w:t>模块</w:t>
            </w:r>
          </w:p>
        </w:tc>
        <w:tc>
          <w:tcPr>
            <w:tcW w:type="dxa" w:w="4139"/>
            <w:shd w:val="clear" w:fill="D9E2F3"/>
          </w:tcPr>
          <w:p>
            <w:pPr>
              <w:spacing w:after="40" w:before="40"/>
            </w:pPr>
            <w:r>
              <w:t>功能分级</w:t>
            </w:r>
          </w:p>
        </w:tc>
        <w:tc>
          <w:tcPr>
            <w:tcW w:type="dxa" w:w="2494"/>
            <w:shd w:val="clear" w:fill="D9E2F3"/>
          </w:tcPr>
          <w:p>
            <w:pPr>
              <w:spacing w:after="40" w:before="40"/>
            </w:pPr>
            <w:r>
              <w:t>范围边界</w:t>
            </w:r>
          </w:p>
        </w:tc>
        <w:tc>
          <w:tcPr>
            <w:tcW w:type="dxa" w:w="1247"/>
            <w:shd w:val="clear" w:fill="D9E2F3"/>
          </w:tcPr>
          <w:p>
            <w:pPr>
              <w:spacing w:after="40" w:before="40"/>
            </w:pPr>
            <w:r>
              <w:t>计划版本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 w:before="40"/>
            </w:pPr>
            <w:r>
              <w:t>01 文档办公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>
              <w:t>P0：PDF 合并/拆分、批量重命名</w:t>
              <w:br/>
              <w:t>P1：Office 导出 PDF、压缩/解压、办公模板、OCR 文字识别</w:t>
              <w:br/>
              <w:t>P2：PDF 结构化导出 DOCX/XLSX（Beta）、AI 摘要/润色、样式统一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t>Office 导出 PDF 依赖本机 LibreOffice；PDF 反向导出仅提取文本/表格，不承诺原版式还原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t>P0：阶段一</w:t>
              <w:br/>
              <w:t>P1：阶段二/三</w:t>
              <w:br/>
              <w:t>P2：V1.1+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 w:before="40"/>
            </w:pPr>
            <w:r>
              <w:t>02 效率助手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>
              <w:t>P1：待办清单、番茄钟、快捷便签、日历提醒</w:t>
              <w:br/>
              <w:t>P2：快捷键速查、会议纪要模板、白噪音/专注环境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t>提醒采用本机通知；跨设备同步不在 V1.0 范围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t>P1：阶段二</w:t>
              <w:br/>
              <w:t>P2：V1.1+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 w:before="40"/>
            </w:pPr>
            <w:r>
              <w:t>03 数据计算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>
              <w:t>P0：单位换算、日期/年龄、百分比计算</w:t>
              <w:br/>
              <w:t>P1：汇率、房贷/个税、BMI</w:t>
              <w:br/>
              <w:t>P2：发票/票据识别录入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t>汇率需联网取最新数据并显示时间戳；税费规则需标注适用地区和生效日期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t>P0：阶段一</w:t>
              <w:br/>
              <w:t>P1：阶段二</w:t>
              <w:br/>
              <w:t>P2：V1.1+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 w:before="40"/>
            </w:pPr>
            <w:r>
              <w:t>04 网络工具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>
              <w:t>P0：二维码生成/识别</w:t>
              <w:br/>
              <w:t>P1：网速测试、IP 查询、Ping、端口检测</w:t>
              <w:br/>
              <w:t>P2：短链接、局域网文件快传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t>外网类功能不计入离线能力；端口检测只允许用户指定的目标和端口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t>P0：阶段一</w:t>
              <w:br/>
              <w:t>P1：阶段三</w:t>
              <w:br/>
              <w:t>P2：V1.1+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 w:before="40"/>
            </w:pPr>
            <w:r>
              <w:t>05 图片处理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>
              <w:t>P0：图片压缩、格式转换</w:t>
              <w:br/>
              <w:t>P1：截图/长截图、批量加水印、长图拼接</w:t>
              <w:br/>
              <w:t>P2：AI 抠图/证件照、对象移除（仅限自有内容）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t>AI 模型按需下载；对象移除需在界面提示版权与使用边界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t>P0：阶段一</w:t>
              <w:br/>
              <w:t>P1：阶段三</w:t>
              <w:br/>
              <w:t>P2：V1.1+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 w:before="40"/>
            </w:pPr>
            <w:r>
              <w:t>06 音视频处理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>
              <w:t>P2：音视频转文字/字幕、音频格式转换/剪辑、视频封面提取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t>转文字使用可选 Whisper 本地模型；本模块不进入 V1.0 验收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t>V1.1+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 w:before="40"/>
            </w:pPr>
            <w:r>
              <w:t>07 安全隐私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>
              <w:t>P0：强密码生成、密码强度检测</w:t>
              <w:br/>
              <w:t>P1：文件加密/解密、敏感信息脱敏</w:t>
              <w:br/>
              <w:t>P2：隐私清理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t>密码不持久化；加密使用成熟格式和库；覆盖原文件或清理前必须预览、确认并提供恢复路径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t>P0：阶段一</w:t>
              <w:br/>
              <w:t>P1：阶段三</w:t>
              <w:br/>
              <w:t>P2：V1.1+</w:t>
            </w:r>
          </w:p>
        </w:tc>
      </w:tr>
    </w:tbl>
    <w:p/>
    <w:p>
      <w:pPr>
        <w:pStyle w:val="Heading1"/>
        <w:keepNext/>
      </w:pPr>
      <w:r>
        <w:t>3 技术选型</w:t>
      </w:r>
    </w:p>
    <w:p>
      <w:pPr>
        <w:pStyle w:val="Heading2"/>
        <w:keepNext/>
      </w:pPr>
      <w:r>
        <w:t>3.1 桌面框架对比与结论</w:t>
      </w:r>
    </w:p>
    <w:p>
      <w:r>
        <w:rPr>
          <w:b w:val="0"/>
          <w:i w:val="0"/>
        </w:rPr>
        <w:t>候选框架从体积、性能、生态、跨平台、团队成本五个维度对比如下：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cantSplit/>
          <w:tblHeader/>
        </w:trPr>
        <w:tc>
          <w:tcPr>
            <w:tcW w:type="dxa" w:w="1928"/>
            <w:shd w:val="clear" w:fill="D9E2F3"/>
          </w:tcPr>
          <w:p>
            <w:pPr>
              <w:jc w:val="center"/>
            </w:pPr>
            <w:r/>
            <w:r>
              <w:rPr>
                <w:b/>
              </w:rPr>
              <w:t>评估维度</w:t>
            </w:r>
          </w:p>
        </w:tc>
        <w:tc>
          <w:tcPr>
            <w:tcW w:type="dxa" w:w="1701"/>
            <w:shd w:val="clear" w:fill="D9E2F3"/>
          </w:tcPr>
          <w:p>
            <w:pPr>
              <w:jc w:val="center"/>
            </w:pPr>
            <w:r/>
            <w:r>
              <w:rPr>
                <w:b/>
              </w:rPr>
              <w:t>Electron</w:t>
            </w:r>
          </w:p>
        </w:tc>
        <w:tc>
          <w:tcPr>
            <w:tcW w:type="dxa" w:w="1928"/>
            <w:shd w:val="clear" w:fill="D9E2F3"/>
          </w:tcPr>
          <w:p>
            <w:pPr>
              <w:jc w:val="center"/>
            </w:pPr>
            <w:r/>
            <w:r>
              <w:rPr>
                <w:b/>
              </w:rPr>
              <w:t>Tauri 2.x（选定）</w:t>
            </w:r>
          </w:p>
        </w:tc>
        <w:tc>
          <w:tcPr>
            <w:tcW w:type="dxa" w:w="1587"/>
            <w:shd w:val="clear" w:fill="D9E2F3"/>
          </w:tcPr>
          <w:p>
            <w:pPr>
              <w:jc w:val="center"/>
            </w:pPr>
            <w:r/>
            <w:r>
              <w:rPr>
                <w:b/>
              </w:rPr>
              <w:t>Qt/C++</w:t>
            </w:r>
          </w:p>
        </w:tc>
        <w:tc>
          <w:tcPr>
            <w:tcW w:type="dxa" w:w="1644"/>
            <w:shd w:val="clear" w:fill="D9E2F3"/>
          </w:tcPr>
          <w:p>
            <w:pPr>
              <w:jc w:val="center"/>
            </w:pPr>
            <w:r/>
            <w:r>
              <w:rPr>
                <w:b/>
              </w:rPr>
              <w:t>.NET (WPF/WinUI)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t>安装包体积</w:t>
            </w:r>
          </w:p>
        </w:tc>
        <w:tc>
          <w:tcPr>
            <w:tcW w:type="dxa" w:w="1701"/>
          </w:tcPr>
          <w:p>
            <w:r>
              <w:t>80–150MB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t>通常较小（以原型构建实测为准）</w:t>
            </w:r>
          </w:p>
        </w:tc>
        <w:tc>
          <w:tcPr>
            <w:tcW w:type="dxa" w:w="1587"/>
          </w:tcPr>
          <w:p>
            <w:r>
              <w:t>20–50MB</w:t>
            </w:r>
          </w:p>
        </w:tc>
        <w:tc>
          <w:tcPr>
            <w:tcW w:type="dxa" w:w="1644"/>
          </w:tcPr>
          <w:p>
            <w:r>
              <w:t>40–80MB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t>内存占用</w:t>
            </w:r>
          </w:p>
        </w:tc>
        <w:tc>
          <w:tcPr>
            <w:tcW w:type="dxa" w:w="1701"/>
          </w:tcPr>
          <w:p>
            <w:r>
              <w:t>高（200MB+）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t>通常较低（以原型实测为准）</w:t>
            </w:r>
          </w:p>
        </w:tc>
        <w:tc>
          <w:tcPr>
            <w:tcW w:type="dxa" w:w="1587"/>
          </w:tcPr>
          <w:p>
            <w:r>
              <w:t>低</w:t>
            </w:r>
          </w:p>
        </w:tc>
        <w:tc>
          <w:tcPr>
            <w:tcW w:type="dxa" w:w="1644"/>
          </w:tcPr>
          <w:p>
            <w:r>
              <w:t>中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t>前端生态</w:t>
            </w:r>
          </w:p>
        </w:tc>
        <w:tc>
          <w:tcPr>
            <w:tcW w:type="dxa" w:w="1701"/>
          </w:tcPr>
          <w:p>
            <w:r>
              <w:t>极丰富</w:t>
            </w:r>
          </w:p>
        </w:tc>
        <w:tc>
          <w:tcPr>
            <w:tcW w:type="dxa" w:w="1928"/>
          </w:tcPr>
          <w:p>
            <w:r>
              <w:t>复用 Web 生态</w:t>
            </w:r>
          </w:p>
        </w:tc>
        <w:tc>
          <w:tcPr>
            <w:tcW w:type="dxa" w:w="1587"/>
          </w:tcPr>
          <w:p>
            <w:r>
              <w:t>弱</w:t>
            </w:r>
          </w:p>
        </w:tc>
        <w:tc>
          <w:tcPr>
            <w:tcW w:type="dxa" w:w="1644"/>
          </w:tcPr>
          <w:p>
            <w:r>
              <w:t>弱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t>后端性能/安全</w:t>
            </w:r>
          </w:p>
        </w:tc>
        <w:tc>
          <w:tcPr>
            <w:tcW w:type="dxa" w:w="1701"/>
          </w:tcPr>
          <w:p>
            <w:r>
              <w:t>Node 较弱</w:t>
            </w:r>
          </w:p>
        </w:tc>
        <w:tc>
          <w:tcPr>
            <w:tcW w:type="dxa" w:w="1928"/>
          </w:tcPr>
          <w:p>
            <w:r>
              <w:t>Rust 内存安全</w:t>
            </w:r>
          </w:p>
        </w:tc>
        <w:tc>
          <w:tcPr>
            <w:tcW w:type="dxa" w:w="1587"/>
          </w:tcPr>
          <w:p>
            <w:r>
              <w:t>强</w:t>
            </w:r>
          </w:p>
        </w:tc>
        <w:tc>
          <w:tcPr>
            <w:tcW w:type="dxa" w:w="1644"/>
          </w:tcPr>
          <w:p>
            <w:r>
              <w:t>强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t>跨平台</w:t>
            </w:r>
          </w:p>
        </w:tc>
        <w:tc>
          <w:tcPr>
            <w:tcW w:type="dxa" w:w="1701"/>
          </w:tcPr>
          <w:p>
            <w:r>
              <w:t>优</w:t>
            </w:r>
          </w:p>
        </w:tc>
        <w:tc>
          <w:tcPr>
            <w:tcW w:type="dxa" w:w="1928"/>
          </w:tcPr>
          <w:p>
            <w:r>
              <w:t>优（含移动端）</w:t>
            </w:r>
          </w:p>
        </w:tc>
        <w:tc>
          <w:tcPr>
            <w:tcW w:type="dxa" w:w="1587"/>
          </w:tcPr>
          <w:p>
            <w:r>
              <w:t>优</w:t>
            </w:r>
          </w:p>
        </w:tc>
        <w:tc>
          <w:tcPr>
            <w:tcW w:type="dxa" w:w="1644"/>
          </w:tcPr>
          <w:p>
            <w:r>
              <w:t>仅 Windows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t>学习曲线/团队储备</w:t>
            </w:r>
          </w:p>
        </w:tc>
        <w:tc>
          <w:tcPr>
            <w:tcW w:type="dxa" w:w="1701"/>
          </w:tcPr>
          <w:p>
            <w:r>
              <w:t>低</w:t>
            </w:r>
          </w:p>
        </w:tc>
        <w:tc>
          <w:tcPr>
            <w:tcW w:type="dxa" w:w="1928"/>
          </w:tcPr>
          <w:p>
            <w:r>
              <w:t>中（需 Rust）</w:t>
            </w:r>
          </w:p>
        </w:tc>
        <w:tc>
          <w:tcPr>
            <w:tcW w:type="dxa" w:w="1587"/>
          </w:tcPr>
          <w:p>
            <w:r>
              <w:t>高</w:t>
            </w:r>
          </w:p>
        </w:tc>
        <w:tc>
          <w:tcPr>
            <w:tcW w:type="dxa" w:w="1644"/>
          </w:tcPr>
          <w:p>
            <w:r>
              <w:t>中</w:t>
            </w:r>
          </w:p>
        </w:tc>
      </w:tr>
    </w:tbl>
    <w:p/>
    <w:p>
      <w:r>
        <w:t>结论：基于轻量、本地处理和跨平台目标，V1.0 采用 Tauri 2.x + Vue 3；阶段一结束设置技术门禁。理由：</w:t>
      </w:r>
    </w:p>
    <w:p>
      <w:pPr>
        <w:pStyle w:val="ListNumber"/>
      </w:pPr>
      <w:r>
        <w:t>Rust 后端处理文件、加密、网络等底层操作天然安全高效，契合"安全隐私"与"轻量"定位；</w:t>
      </w:r>
    </w:p>
    <w:p>
      <w:pPr>
        <w:pStyle w:val="ListNumber"/>
      </w:pPr>
      <w:r>
        <w:t>复用 Vue3 生态（Element Plus / Ant Design Vue 组件库开箱即用），UI 开发成本低；</w:t>
      </w:r>
    </w:p>
    <w:p>
      <w:pPr>
        <w:pStyle w:val="ListNumber"/>
      </w:pPr>
      <w:r>
        <w:t>Tauri 2.x 可复用系统 WebView，具备较小安装包与较低内存占用的潜力，实际目标必须由阶段一原型验证；</w:t>
      </w:r>
    </w:p>
    <w:p>
      <w:pPr>
        <w:pStyle w:val="ListNumber"/>
      </w:pPr>
      <w:r>
        <w:t>阶段一完成文件 I/O、更新签名和 LibreOffice 调用技术验证；若参考设备上的体积、启动或转换稳定性不达标，在进入阶段二前重新评估框架或缩减范围。</w:t>
      </w:r>
    </w:p>
    <w:p>
      <w:pPr>
        <w:pStyle w:val="Heading2"/>
        <w:keepNext/>
      </w:pPr>
      <w:r>
        <w:t>3.2 核心模块技术栈</w:t>
      </w:r>
    </w:p>
    <w:p>
      <w:r>
        <w:t>以下实现按能力边界组合使用；解析或对象操作库不得表述为完整的 Office/PDF 高保真互转引擎：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  <w:tblHeader/>
        </w:trPr>
        <w:tc>
          <w:tcPr>
            <w:tcW w:type="dxa" w:w="1928"/>
            <w:shd w:val="clear" w:fill="D9E2F3"/>
          </w:tcPr>
          <w:p>
            <w:pPr>
              <w:spacing w:after="40" w:before="40"/>
            </w:pPr>
            <w:r>
              <w:t>模块</w:t>
            </w:r>
          </w:p>
        </w:tc>
        <w:tc>
          <w:tcPr>
            <w:tcW w:type="dxa" w:w="2608"/>
            <w:shd w:val="clear" w:fill="D9E2F3"/>
          </w:tcPr>
          <w:p>
            <w:pPr>
              <w:spacing w:after="40" w:before="40"/>
            </w:pPr>
            <w:r>
              <w:t>选定实现</w:t>
            </w:r>
          </w:p>
        </w:tc>
        <w:tc>
          <w:tcPr>
            <w:tcW w:type="dxa" w:w="4252"/>
            <w:shd w:val="clear" w:fill="D9E2F3"/>
          </w:tcPr>
          <w:p>
            <w:pPr>
              <w:spacing w:after="40" w:before="40"/>
            </w:pPr>
            <w:r>
              <w:t>能力边界与依赖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before="40"/>
            </w:pPr>
            <w:r>
              <w:t>文档处理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t>PDF：lopdf</w:t>
              <w:br/>
              <w:t>XLSX：calamine（读）+ rust_xlsxwriter（写）</w:t>
              <w:br/>
              <w:t>DOCX：docx-rs</w:t>
              <w:br/>
              <w:t>Office 导出 PDF：LibreOffice CLI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>
              <w:t>calamine 不写文件且不读取完整格式；docx-rs 的 OOXML 支持不完整；lopdf 负责 PDF 对象操作。LibreOffice 为外部运行时，不计入基础安装包。PDF 反向导出仅作为 P2 Beta。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before="40"/>
            </w:pPr>
            <w:r>
              <w:t>OCR 文字识别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t>PaddleOCR 模型 + ONNX Runtime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>
              <w:t>模型按需下载并校验哈希；V1.0 限中文印刷体与常见图片/PDF 页面，手写体不纳入准确率承诺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before="40"/>
            </w:pPr>
            <w:r>
              <w:t>图片处理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t>image + fast_image_resize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>
              <w:t>常见位图处理走 Rust；截图与长截图需按 Windows 多屏、缩放和权限状态单独验证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before="40"/>
            </w:pPr>
            <w:r>
              <w:t>文件加密与密码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t>age 文件格式与 age crate；系统安全随机源；Argon2 仅用于需要口令校验的场景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>
              <w:t>不自研加密算法；采用认证加密；密钥/口令不写日志，覆盖源文件前必须生成可恢复副本或要求另存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before="40"/>
            </w:pPr>
            <w:r>
              <w:t>网络工具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t>reqwest + 平台网络 API/经验证的 Ping 库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>
              <w:t>统一设置超时、取消与并发上限；Ping 权限及 IPv4/IPv6 差异需在 Win10/11 验证</w:t>
            </w:r>
          </w:p>
        </w:tc>
      </w:tr>
    </w:tbl>
    <w:p/>
    <w:p>
      <w:pPr>
        <w:pStyle w:val="Heading2"/>
        <w:keepNext/>
      </w:pPr>
      <w:r>
        <w:t>3.3 AI 能力接入策略</w:t>
      </w:r>
    </w:p>
    <w:p>
      <w:pPr>
        <w:pStyle w:val="ListBullet"/>
      </w:pPr>
      <w:r>
        <w:t>统一策略：轻量 AI（摘要、润色）走云端 API（通义千问/智谱等）；重量模型（PaddleOCR、Whisper、抠图）作为"本地插件"按需下载，基础安装包不含模型，避免包体积膨胀。</w:t>
      </w:r>
    </w:p>
    <w:p>
      <w:pPr>
        <w:pStyle w:val="ListBullet"/>
      </w:pPr>
      <w:r>
        <w:t>云端调用前向用户显式提示"内容将发送至第三方服务"，涉密内容默认仅允许本地模型处理。</w:t>
      </w:r>
    </w:p>
    <w:p>
      <w:pPr>
        <w:pStyle w:val="ListBullet"/>
      </w:pPr>
      <w:r>
        <w:t>供应商抽象层设计：摘要/抠图等能力定义统一接口，可随时切换通义/智谱/Remove.bg 等供应商，避免单一供应商锁定。</w:t>
      </w:r>
    </w:p>
    <w:p>
      <w:pPr>
        <w:pStyle w:val="Heading2"/>
        <w:keepNext/>
      </w:pPr>
      <w:r>
        <w:t>3.4 许可证合规要点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  <w:tblHeader/>
        </w:trPr>
        <w:tc>
          <w:tcPr>
            <w:tcW w:type="dxa" w:w="2948"/>
            <w:shd w:val="clear" w:fill="D9E2F3"/>
          </w:tcPr>
          <w:p>
            <w:pPr>
              <w:spacing w:after="40" w:before="40"/>
            </w:pPr>
            <w:r>
              <w:t>组件</w:t>
            </w:r>
          </w:p>
        </w:tc>
        <w:tc>
          <w:tcPr>
            <w:tcW w:type="dxa" w:w="1928"/>
            <w:shd w:val="clear" w:fill="D9E2F3"/>
          </w:tcPr>
          <w:p>
            <w:pPr>
              <w:spacing w:after="40" w:before="40"/>
            </w:pPr>
            <w:r>
              <w:t>许可证</w:t>
            </w:r>
          </w:p>
        </w:tc>
        <w:tc>
          <w:tcPr>
            <w:tcW w:type="dxa" w:w="3912"/>
            <w:shd w:val="clear" w:fill="D9E2F3"/>
          </w:tcPr>
          <w:p>
            <w:pPr>
              <w:spacing w:after="40" w:before="40"/>
            </w:pPr>
            <w:r>
              <w:t>合规结论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40" w:before="40"/>
            </w:pPr>
            <w:r>
              <w:t>age、calamine、docx-rs、lopdf、rust_xlsxwriter、image 等 Rust crates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t>MIT 或 MIT/Apache-2.0（以锁定版本为准）</w:t>
            </w:r>
          </w:p>
        </w:tc>
        <w:tc>
          <w:tcPr>
            <w:tcW w:type="dxa" w:w="3912"/>
          </w:tcPr>
          <w:p>
            <w:pPr>
              <w:spacing w:after="40" w:before="40"/>
            </w:pPr>
            <w:r>
              <w:t>引入和升级时逐项扫描并保留声明；锁文件变更触发许可证复核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40" w:before="40"/>
            </w:pPr>
            <w:r>
              <w:t>Vue 3 / Element Plus（V1.0 只选一个主组件库）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t>MIT</w:t>
            </w:r>
          </w:p>
        </w:tc>
        <w:tc>
          <w:tcPr>
            <w:tcW w:type="dxa" w:w="3912"/>
          </w:tcPr>
          <w:p>
            <w:pPr>
              <w:spacing w:after="40" w:before="40"/>
            </w:pPr>
            <w:r>
              <w:t>可商用；避免同时引入两个完整组件库造成体积和样式成本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40" w:before="40"/>
            </w:pPr>
            <w:r>
              <w:t>LibreOffice（外部进程调用）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t>MPL-2.0</w:t>
            </w:r>
          </w:p>
        </w:tc>
        <w:tc>
          <w:tcPr>
            <w:tcW w:type="dxa" w:w="3912"/>
          </w:tcPr>
          <w:p>
            <w:pPr>
              <w:spacing w:after="40" w:before="40"/>
            </w:pPr>
            <w:r>
              <w:t>V1.0 优先检测用户已有安装；如另行分发，需随包履行对应许可证和源代码提供义务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40" w:before="40"/>
            </w:pPr>
            <w:r>
              <w:t>iText / iTextSharp 社区版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t>AGPL</w:t>
            </w:r>
          </w:p>
        </w:tc>
        <w:tc>
          <w:tcPr>
            <w:tcW w:type="dxa" w:w="3912"/>
          </w:tcPr>
          <w:p>
            <w:pPr>
              <w:spacing w:after="40" w:before="40"/>
            </w:pPr>
            <w:r>
              <w:t>闭源商业版本禁用，除非另购商业许可证并完成法务评审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40" w:before="40"/>
            </w:pPr>
            <w:r>
              <w:t>PaddleOCR / Whisper 代码与模型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t>按具体仓库、模型分别核验</w:t>
            </w:r>
          </w:p>
        </w:tc>
        <w:tc>
          <w:tcPr>
            <w:tcW w:type="dxa" w:w="3912"/>
          </w:tcPr>
          <w:p>
            <w:pPr>
              <w:spacing w:after="40" w:before="40"/>
            </w:pPr>
            <w:r>
              <w:t>下载页展示来源、版本、许可证、文件大小和哈希；不得仅凭项目总许可证判断模型权利</w:t>
            </w:r>
          </w:p>
        </w:tc>
      </w:tr>
    </w:tbl>
    <w:p/>
    <w:p>
      <w:pPr>
        <w:pStyle w:val="Heading1"/>
        <w:keepNext/>
      </w:pPr>
      <w:r>
        <w:t>4 系统架构设计</w:t>
      </w:r>
    </w:p>
    <w:p>
      <w:pPr>
        <w:pStyle w:val="Heading2"/>
        <w:keepNext/>
      </w:pPr>
      <w:r>
        <w:t>4.1 总体分层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  <w:tblHeader/>
        </w:trPr>
        <w:tc>
          <w:tcPr>
            <w:tcW w:type="dxa" w:w="1701"/>
            <w:shd w:val="clear" w:fill="D9E2F3"/>
          </w:tcPr>
          <w:p>
            <w:pPr>
              <w:jc w:val="center"/>
            </w:pPr>
            <w:r/>
            <w:r>
              <w:rPr>
                <w:b/>
              </w:rPr>
              <w:t>层级</w:t>
            </w:r>
          </w:p>
        </w:tc>
        <w:tc>
          <w:tcPr>
            <w:tcW w:type="dxa" w:w="2948"/>
            <w:shd w:val="clear" w:fill="D9E2F3"/>
          </w:tcPr>
          <w:p>
            <w:pPr>
              <w:jc w:val="center"/>
            </w:pPr>
            <w:r/>
            <w:r>
              <w:rPr>
                <w:b/>
              </w:rPr>
              <w:t>技术</w:t>
            </w:r>
          </w:p>
        </w:tc>
        <w:tc>
          <w:tcPr>
            <w:tcW w:type="dxa" w:w="4139"/>
            <w:shd w:val="clear" w:fill="D9E2F3"/>
          </w:tcPr>
          <w:p>
            <w:pPr>
              <w:jc w:val="center"/>
            </w:pPr>
            <w:r/>
            <w:r>
              <w:rPr>
                <w:b/>
              </w:rPr>
              <w:t>职责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t>表现层</w:t>
            </w:r>
          </w:p>
        </w:tc>
        <w:tc>
          <w:tcPr>
            <w:tcW w:type="dxa" w:w="2948"/>
          </w:tcPr>
          <w:p>
            <w:r>
              <w:t>Vue3 + Pinia + Element Plus</w:t>
            </w:r>
          </w:p>
        </w:tc>
        <w:tc>
          <w:tcPr>
            <w:tcW w:type="dxa" w:w="4139"/>
          </w:tcPr>
          <w:p>
            <w:r>
              <w:t>界面渲染与交互，统一功能入口与全局搜索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t>桥接层</w:t>
            </w:r>
          </w:p>
        </w:tc>
        <w:tc>
          <w:tcPr>
            <w:tcW w:type="dxa" w:w="2948"/>
          </w:tcPr>
          <w:p>
            <w:r>
              <w:t>Tauri IPC（invoke/事件）</w:t>
            </w:r>
          </w:p>
        </w:tc>
        <w:tc>
          <w:tcPr>
            <w:tcW w:type="dxa" w:w="4139"/>
          </w:tcPr>
          <w:p>
            <w:r>
              <w:t>前端与 Rust 通信；文件、加密、网络等敏感操作全部下沉 Rust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t>核心服务层</w:t>
            </w:r>
          </w:p>
        </w:tc>
        <w:tc>
          <w:tcPr>
            <w:tcW w:type="dxa" w:w="2948"/>
          </w:tcPr>
          <w:p>
            <w:r>
              <w:t>Rust（五大原生模块）</w:t>
            </w:r>
          </w:p>
        </w:tc>
        <w:tc>
          <w:tcPr>
            <w:tcW w:type="dxa" w:w="4139"/>
          </w:tcPr>
          <w:p>
            <w:r>
              <w:t>文档处理、OCR、图片、加密、网络检测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t>数据层</w:t>
            </w:r>
          </w:p>
        </w:tc>
        <w:tc>
          <w:tcPr>
            <w:tcW w:type="dxa" w:w="2948"/>
          </w:tcPr>
          <w:p>
            <w:r>
              <w:t>SQLite（rusqlite）+ tauri-plugin-store</w:t>
            </w:r>
          </w:p>
        </w:tc>
        <w:tc>
          <w:tcPr>
            <w:tcW w:type="dxa" w:w="4139"/>
          </w:tcPr>
          <w:p>
            <w:r>
              <w:t>待办/历史记录/设置等本地数据，不依赖任何云端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t>插件层</w:t>
            </w:r>
          </w:p>
        </w:tc>
        <w:tc>
          <w:tcPr>
            <w:tcW w:type="dxa" w:w="2948"/>
          </w:tcPr>
          <w:p>
            <w:r>
              <w:t>按需下载的本地模型插件</w:t>
            </w:r>
          </w:p>
        </w:tc>
        <w:tc>
          <w:tcPr>
            <w:tcW w:type="dxa" w:w="4139"/>
          </w:tcPr>
          <w:p>
            <w:r>
              <w:t>PaddleOCR / Whisper / 抠图模型，独立目录管理、可单独更新卸载</w:t>
            </w:r>
          </w:p>
        </w:tc>
      </w:tr>
    </w:tbl>
    <w:p/>
    <w:p>
      <w:pPr>
        <w:pStyle w:val="Heading2"/>
        <w:keepNext/>
      </w:pPr>
      <w:r>
        <w:t>4.2 关键机制</w:t>
      </w:r>
    </w:p>
    <w:p>
      <w:pPr>
        <w:pStyle w:val="ListBullet"/>
      </w:pPr>
      <w:r>
        <w:t>自动更新：使用 Tauri Updater 与签名更新包；签名验证不可关闭。V1.0 支持检查、下载和安装策略配置，不承诺增量更新；私钥仅存于受控 CI 密钥环境。</w:t>
      </w:r>
    </w:p>
    <w:p>
      <w:pPr>
        <w:pStyle w:val="ListBullet"/>
      </w:pPr>
      <w:r>
        <w:t>隐私边界：密码生成/加密/脱敏全程本地完成；数据不出本机是产品核心卖点，架构上确保无默认上报。</w:t>
      </w:r>
    </w:p>
    <w:p>
      <w:pPr>
        <w:pStyle w:val="ListBullet"/>
      </w:pPr>
      <w:r>
        <w:t>日志与诊断：本地滚动日志，崩溃信息仅在用户授权后匿名上报，用于质量指标（第 6 章）统计。</w:t>
      </w:r>
    </w:p>
    <w:p>
      <w:pPr>
        <w:pStyle w:val="Heading1"/>
        <w:keepNext/>
      </w:pPr>
      <w:r>
        <w:t>5 实施计划</w:t>
      </w:r>
    </w:p>
    <w:p>
      <w:pPr>
        <w:pStyle w:val="Heading2"/>
        <w:keepNext/>
      </w:pPr>
      <w:r>
        <w:t>5.1 分阶段里程碑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</w:trPr>
        <w:tc>
          <w:tcPr>
            <w:tcW w:type="dxa" w:w="1587"/>
            <w:shd w:val="clear" w:fill="D9E2F3"/>
          </w:tcPr>
          <w:p>
            <w:pPr>
              <w:spacing w:after="40" w:before="40"/>
            </w:pPr>
            <w:r>
              <w:t>阶段</w:t>
            </w:r>
          </w:p>
        </w:tc>
        <w:tc>
          <w:tcPr>
            <w:tcW w:type="dxa" w:w="1247"/>
            <w:shd w:val="clear" w:fill="D9E2F3"/>
          </w:tcPr>
          <w:p>
            <w:pPr>
              <w:spacing w:after="40" w:before="40"/>
            </w:pPr>
            <w:r>
              <w:t>周期</w:t>
            </w:r>
          </w:p>
        </w:tc>
        <w:tc>
          <w:tcPr>
            <w:tcW w:type="dxa" w:w="3969"/>
            <w:shd w:val="clear" w:fill="D9E2F3"/>
          </w:tcPr>
          <w:p>
            <w:pPr>
              <w:spacing w:after="40" w:before="40"/>
            </w:pPr>
            <w:r>
              <w:t>交付范围</w:t>
            </w:r>
          </w:p>
        </w:tc>
        <w:tc>
          <w:tcPr>
            <w:tcW w:type="dxa" w:w="1984"/>
            <w:shd w:val="clear" w:fill="D9E2F3"/>
          </w:tcPr>
          <w:p>
            <w:pPr>
              <w:spacing w:after="40" w:before="40"/>
            </w:pPr>
            <w:r>
              <w:t>阶段验收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 w:before="40"/>
            </w:pPr>
            <w:r>
              <w:t>阶段一（MVP）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t>第 1-4 周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>
              <w:t>脚手架、主窗口/导航/全局搜索、本地设置、签名更新技术验证；全部 P0：PDF 合并/拆分、批量重命名、单位/日期/百分比计算、二维码、图片压缩/格式转换、密码生成/强度检测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>
              <w:t>P0 清单全部可用；参考设备形成启动/内存/体积基线；LibreOffice 调用、更新签名和加密格式完成技术验证后方可进入阶段二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 w:before="40"/>
            </w:pPr>
            <w:r>
              <w:t>阶段二（Beta 1）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t>第 5-8 周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>
              <w:t>P1 第一批：Office 导出 PDF、压缩/解压、办公模板；待办、番茄钟、便签、日历提醒；汇率、房贷/个税、BMI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>
              <w:t>功能清单逐项通过正常、边界和取消场景；Office 导出 PDF 按第 6 章样本集验收；规则型计算显示版本或生效日期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 w:before="40"/>
            </w:pPr>
            <w:r>
              <w:t>阶段三（Beta 2）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t>第 9-12 周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>
              <w:t>P1 第二批：OCR；网速/IP/Ping/端口；截图/长截图、加水印、长图拼接；文件加密/解密、敏感信息脱敏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>
              <w:t>模型插件可独立安装/卸载并校验哈希；OCR、加密恢复、网络超时和多屏截图完成定向验收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 w:before="40"/>
            </w:pPr>
            <w:r>
              <w:t>阶段四（RC/V1.0）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t>第 13-16 周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>
              <w:t>只处理 P0/P1 集成、兼容性、性能、隐私、可访问性、安装签名、灰度反馈和发布缺陷；不新增 P2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>
              <w:t>第 6 章指标与发布检查单全部满足；样本不足的统计指标明确标记，未达到门禁则延期而非降低口径</w:t>
            </w:r>
          </w:p>
        </w:tc>
      </w:tr>
    </w:tbl>
    <w:p/>
    <w:p>
      <w:pPr>
        <w:pStyle w:val="Heading2"/>
        <w:keepNext/>
      </w:pPr>
      <w:r>
        <w:t>5.2 资源、估算前提与职责</w:t>
      </w:r>
    </w:p>
    <w:p>
      <w:pPr>
        <w:pStyle w:val="ListBullet"/>
      </w:pPr>
      <w:r>
        <w:t>排期基线：16 周按 4 名全职开发测算（2 名 Rust/Tauri、2 名 Vue/全栈），另需产品与交互、测试各 0.5 个全职当量（FTE）。该配置是交付前提，不代表资源已经到位。</w:t>
      </w:r>
    </w:p>
    <w:p>
      <w:pPr>
        <w:pStyle w:val="ListBullet"/>
      </w:pPr>
      <w:r>
        <w:t>职责：技术负责人负责架构、IPC、安全与发布门禁；模块负责人对功能和自动化测试负责；产品负责人冻结范围与验收样本；测试负责人维护兼容性矩阵、转换语料和发布检查单。</w:t>
      </w:r>
    </w:p>
    <w:p>
      <w:pPr>
        <w:pStyle w:val="ListBullet"/>
      </w:pPr>
      <w:r>
        <w:t>工作量：开发容量共 64 人周，其中至少预留 10 人周用于集成、缺陷和发布；资源不足或高风险技术验证失败时，重新评审版本范围与排期并更新本文档，不降低已冻结的验收标准。</w:t>
      </w:r>
    </w:p>
    <w:p>
      <w:pPr>
        <w:pStyle w:val="Heading2"/>
        <w:keepNext/>
      </w:pPr>
      <w:r>
        <w:t>5.3 工程规范与流程</w:t>
      </w:r>
    </w:p>
    <w:p>
      <w:pPr>
        <w:pStyle w:val="ListBullet"/>
      </w:pPr>
      <w:r>
        <w:t>工程流程：main/develop/feature-* 分支；合并必须通过代码审查、定向测试和许可证检查；采用语义化版本号。</w:t>
      </w:r>
    </w:p>
    <w:p>
      <w:pPr>
        <w:pStyle w:val="ListBullet"/>
      </w:pPr>
      <w:r>
        <w:t>CI/CD：GitHub Actions 执行前端 lint/测试、Rust fmt/clippy/测试、Windows 打包、产物哈希、更新签名和归档；签名私钥不得进入仓库或普通日志。</w:t>
      </w:r>
    </w:p>
    <w:p>
      <w:pPr>
        <w:pStyle w:val="ListBullet"/>
      </w:pPr>
      <w:r>
        <w:t>第 1 周前置项：冻结 V1.0 功能清单、参考设备、转换/OCR 样本集、LibreOffice 支持版本、代码签名预算和 API 费用上限。</w:t>
      </w:r>
    </w:p>
    <w:p>
      <w:pPr>
        <w:pStyle w:val="Heading2"/>
        <w:keepNext/>
      </w:pPr>
      <w:r>
        <w:t>5.4 测试与发布计划</w:t>
      </w:r>
    </w:p>
    <w:p>
      <w:pPr>
        <w:pStyle w:val="ListBullet"/>
      </w:pPr>
      <w:r>
        <w:t>核心算法和服务层执行单元测试；文件转换、IPC、插件安装与取消流程执行集成测试；关键文档输出使用固定语料和人工抽样做版式检查。</w:t>
      </w:r>
    </w:p>
    <w:p>
      <w:pPr>
        <w:pStyle w:val="ListBullet"/>
      </w:pPr>
      <w:r>
        <w:t>兼容性：Win10 22H2 / Win11 23H2 及更高受支持版本，覆盖 1080p/2K、100%/125%/150% 缩放；多屏和无 LibreOffice 环境作为独立场景。</w:t>
      </w:r>
    </w:p>
    <w:p>
      <w:pPr>
        <w:pStyle w:val="ListBullet"/>
      </w:pPr>
      <w:r>
        <w:t>性能回归：每个 RC 只在同一参考设备、同一构建类型上记录冷启动、空闲内存和安装包体积；达到第 6 章门禁后才能发布。</w:t>
      </w:r>
    </w:p>
    <w:p>
      <w:pPr>
        <w:pStyle w:val="ListBullet"/>
      </w:pPr>
      <w:r>
        <w:t>发布前灰度 1-2 周；无崩溃会话样本不足 10,000 时继续报告实际样本和置信边界，不以小样本宣称达标。</w:t>
      </w:r>
    </w:p>
    <w:p>
      <w:pPr>
        <w:pStyle w:val="Heading1"/>
        <w:keepNext/>
        <w:pageBreakBefore/>
      </w:pPr>
      <w:r>
        <w:t>6 预期效果与评估指标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</w:trPr>
        <w:tc>
          <w:tcPr>
            <w:tcW w:type="dxa" w:w="1134"/>
            <w:shd w:val="clear" w:fill="D9E2F3"/>
          </w:tcPr>
          <w:p>
            <w:pPr>
              <w:spacing w:after="40" w:before="40"/>
            </w:pPr>
            <w:r>
              <w:t>类别</w:t>
            </w:r>
          </w:p>
        </w:tc>
        <w:tc>
          <w:tcPr>
            <w:tcW w:type="dxa" w:w="2608"/>
            <w:shd w:val="clear" w:fill="D9E2F3"/>
          </w:tcPr>
          <w:p>
            <w:pPr>
              <w:spacing w:after="40" w:before="40"/>
            </w:pPr>
            <w:r>
              <w:t>指标</w:t>
            </w:r>
          </w:p>
        </w:tc>
        <w:tc>
          <w:tcPr>
            <w:tcW w:type="dxa" w:w="1701"/>
            <w:shd w:val="clear" w:fill="D9E2F3"/>
          </w:tcPr>
          <w:p>
            <w:pPr>
              <w:spacing w:after="40" w:before="40"/>
            </w:pPr>
            <w:r>
              <w:t>目标值</w:t>
            </w:r>
          </w:p>
        </w:tc>
        <w:tc>
          <w:tcPr>
            <w:tcW w:type="dxa" w:w="3345"/>
            <w:shd w:val="clear" w:fill="D9E2F3"/>
          </w:tcPr>
          <w:p>
            <w:pPr>
              <w:spacing w:after="40" w:before="40"/>
            </w:pPr>
            <w:r>
              <w:t>测量与判定方式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before="40"/>
            </w:pPr>
            <w:r>
              <w:t>性能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t>冷启动时间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t>P95 ≤ 1.5 秒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>
              <w:t>Win11 23H2、i5/8 GB、SSD、WebView2 已安装；Release 构建；从进程创建到主窗口可交互，重启后测 20 次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before="40"/>
            </w:pPr>
            <w:r>
              <w:t>性能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t>空闲内存占用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t>P95 ≤ 80 MB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>
              <w:t>同一参考设备；启动后空闲 10 分钟，每分钟采样；不含 LibreOffice/模型外部进程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before="40"/>
            </w:pPr>
            <w:r>
              <w:t>体积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t>基础安装包大小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t>≤ 30 MB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>
              <w:t>CI 对 Windows x64 安装包计字节；排除 WebView2 固定运行时、LibreOffice、模型和可选插件，并同时披露完整依赖体积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before="40"/>
            </w:pPr>
            <w:r>
              <w:t>质量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t>PDF 合并/拆分成功率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t>≥ 99.5%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>
              <w:t>500 份合法、无密码样本；任务无错误、结果可打开、页数与顺序符合预期；损坏/加密输入单列错误处理测试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before="40"/>
            </w:pPr>
            <w:r>
              <w:t>质量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t>Office 导出 PDF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t>任务成功率 ≥ 98%；版式抽检通过率 ≥ 95%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>
              <w:t>在锁定 LibreOffice 版本上执行 200 份合法 DOCX/XLSX/PPTX；另抽 50 份按字体替代、分页、表格、图片四项检查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before="40"/>
            </w:pPr>
            <w:r>
              <w:t>质量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t>OCR 中文印刷体字符错误率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t>CER ≤ 3%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>
              <w:t>冻结的独立测试集不少于 1,000 行；按编辑距离/真实字符数计算；手写、旋转和严重污损样本分组报告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before="40"/>
            </w:pPr>
            <w:r>
              <w:t>体验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t>功能到达步数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t>≥ 90% 的 P0/P1 功能 ≤ 2 步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>
              <w:t>从首页或全局搜索开始；点击/键盘命令计一步，文本录入与系统文件选择器操作不计入导航步数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before="40"/>
            </w:pPr>
            <w:r>
              <w:t>使用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t>离线可用功能占比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t>≥ 80%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>
              <w:t>以冻结的 P0/P1 独立功能项为分母；断开公网后完成核心任务才计入，外网测速/IP/汇率等天然在线能力计为不可离线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before="40"/>
            </w:pPr>
            <w:r>
              <w:t>稳定性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t>无崩溃会话率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t>≥ 99.9%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>
              <w:t>用户授权后匿名统计；累计至少 10,000 会话，按（总会话-崩溃会话）/总会话计算；不足样本不判定达标</w:t>
            </w:r>
          </w:p>
        </w:tc>
      </w:tr>
    </w:tbl>
    <w:p/>
    <w:p>
      <w:pPr>
        <w:pStyle w:val="Heading1"/>
        <w:keepNext/>
      </w:pPr>
      <w:r>
        <w:t>7 风险分析与应对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</w:trPr>
        <w:tc>
          <w:tcPr>
            <w:tcW w:type="dxa" w:w="2494"/>
            <w:shd w:val="clear" w:fill="D9E2F3"/>
          </w:tcPr>
          <w:p>
            <w:pPr>
              <w:jc w:val="center"/>
            </w:pPr>
            <w:r/>
            <w:r>
              <w:rPr>
                <w:b/>
              </w:rPr>
              <w:t>风险</w:t>
            </w:r>
          </w:p>
        </w:tc>
        <w:tc>
          <w:tcPr>
            <w:tcW w:type="dxa" w:w="794"/>
            <w:shd w:val="clear" w:fill="D9E2F3"/>
          </w:tcPr>
          <w:p>
            <w:pPr>
              <w:jc w:val="center"/>
            </w:pPr>
            <w:r/>
            <w:r>
              <w:rPr>
                <w:b/>
              </w:rPr>
              <w:t>等级</w:t>
            </w:r>
          </w:p>
        </w:tc>
        <w:tc>
          <w:tcPr>
            <w:tcW w:type="dxa" w:w="1701"/>
            <w:shd w:val="clear" w:fill="D9E2F3"/>
          </w:tcPr>
          <w:p>
            <w:pPr>
              <w:jc w:val="center"/>
            </w:pPr>
            <w:r/>
            <w:r>
              <w:rPr>
                <w:b/>
              </w:rPr>
              <w:t>影响</w:t>
            </w:r>
          </w:p>
        </w:tc>
        <w:tc>
          <w:tcPr>
            <w:tcW w:type="dxa" w:w="3798"/>
            <w:shd w:val="clear" w:fill="D9E2F3"/>
          </w:tcPr>
          <w:p>
            <w:pPr>
              <w:jc w:val="center"/>
            </w:pPr>
            <w:r/>
            <w:r>
              <w:rPr>
                <w:b/>
              </w:rPr>
              <w:t>应对措施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/>
            </w:pPr>
            <w:r>
              <w:t>Rust/Tauri 经验或人力不足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>
              <w:t>高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t>里程碑延期、关键模块质量不足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>
              <w:t>阶段一先完成三项技术验证；按第 5.2 节配置资源；不达门禁则缩减未开始的 P1 并重排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/>
            </w:pPr>
            <w:r>
              <w:t>云端 AI 供应商收费、限流或停服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>
              <w:t>中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t>P2 AI 功能不可用或成本失控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>
              <w:t>P2 才接入；统一供应商接口、费用上限与显式授权；核心 P0/P1 不依赖 AI 云服务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/>
            </w:pPr>
            <w:r>
              <w:t>开源许可证或模型权利核验遗漏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>
              <w:t>高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t>发布受阻、法律风险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>
              <w:t>锁版本许可证扫描；模型、权重和运行时分别登记来源、版本、许可证与哈希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/>
            </w:pPr>
            <w:r>
              <w:t>本地模型包体积与兼容性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>
              <w:t>中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t>下载失败、老机型不可用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>
              <w:t>模型按需下载、断点续传和哈希校验；展示大小和硬件要求；提供独立卸载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/>
            </w:pPr>
            <w:r>
              <w:t>WebView2 运行时缺失或版本不兼容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>
              <w:t>中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t>应用无法启动或显示异常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>
              <w:t>安装前检测；提供明确修复入口；固定运行时方案单独评估体积和许可证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/>
            </w:pPr>
            <w:r>
              <w:t>对象移除被用于处理无权内容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>
              <w:t>中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t>版权与合规争议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>
              <w:t>功能列为 P2；只描述为对象移除；首次使用提示仅处理自有或已授权内容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/>
            </w:pPr>
            <w:r>
              <w:t>隐私清理/脱敏误改用户数据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>
              <w:t>高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t>数据损失、隐私泄露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>
              <w:t>V1.0 只交付可预览的脱敏副本；隐私清理列为 P2；默认另存、可撤销并保留本地操作记录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/>
            </w:pPr>
            <w:r>
              <w:t>未签名程序被系统或杀毒软件拦截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>
              <w:t>中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t>安装与更新受阻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>
              <w:t>发布前取得代码签名证书；更新包强制签名；灰度阶段完成 Defender 与主流杀毒软件送测</w:t>
            </w:r>
          </w:p>
        </w:tc>
      </w:tr>
      <w:tr>
        <w:trPr>
          <w:cantSplit/>
        </w:trPr>
        <w:tc>
          <w:tcPr>
            <w:tcW w:type="dxa" w:w="2239"/>
          </w:tcPr>
          <w:p>
            <w:pPr>
              <w:spacing w:after="40" w:before="40"/>
            </w:pPr>
            <w:r>
              <w:t>LibreOffice 缺失、版本差异或反向转换保真不足</w:t>
            </w:r>
          </w:p>
        </w:tc>
        <w:tc>
          <w:tcPr>
            <w:tcW w:type="dxa" w:w="2239"/>
          </w:tcPr>
          <w:p>
            <w:pPr>
              <w:spacing w:after="40" w:before="40"/>
            </w:pPr>
            <w:r>
              <w:t>高</w:t>
            </w:r>
          </w:p>
        </w:tc>
        <w:tc>
          <w:tcPr>
            <w:tcW w:type="dxa" w:w="2239"/>
          </w:tcPr>
          <w:p>
            <w:pPr>
              <w:spacing w:after="40" w:before="40"/>
            </w:pPr>
            <w:r>
              <w:t>Office 导出失败、用户误解能力范围</w:t>
            </w:r>
          </w:p>
        </w:tc>
        <w:tc>
          <w:tcPr>
            <w:tcW w:type="dxa" w:w="2239"/>
          </w:tcPr>
          <w:p>
            <w:pPr>
              <w:spacing w:after="40" w:before="40"/>
            </w:pPr>
            <w:r>
              <w:t>启动时检测并展示支持版本；锁定测试版本；PDF 反向导出仅列为 P2 Beta，界面明确不保证版式还原</w:t>
            </w:r>
          </w:p>
        </w:tc>
      </w:tr>
    </w:tbl>
    <w:p/>
    <w:p>
      <w:pPr>
        <w:pStyle w:val="Heading1"/>
        <w:keepNext/>
      </w:pPr>
      <w:r>
        <w:t>8 支持资源与依赖</w:t>
      </w:r>
    </w:p>
    <w:p>
      <w:pPr>
        <w:pStyle w:val="Heading2"/>
        <w:keepNext/>
      </w:pPr>
      <w:r>
        <w:t>8.1 第三方服务与账号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  <w:tblHeader/>
        </w:trPr>
        <w:tc>
          <w:tcPr>
            <w:tcW w:type="dxa" w:w="2608"/>
            <w:shd w:val="clear" w:fill="D9E2F3"/>
          </w:tcPr>
          <w:p>
            <w:pPr>
              <w:jc w:val="center"/>
            </w:pPr>
            <w:r/>
            <w:r>
              <w:rPr>
                <w:b/>
              </w:rPr>
              <w:t>服务</w:t>
            </w:r>
          </w:p>
        </w:tc>
        <w:tc>
          <w:tcPr>
            <w:tcW w:type="dxa" w:w="2041"/>
            <w:shd w:val="clear" w:fill="D9E2F3"/>
          </w:tcPr>
          <w:p>
            <w:pPr>
              <w:jc w:val="center"/>
            </w:pPr>
            <w:r/>
            <w:r>
              <w:rPr>
                <w:b/>
              </w:rPr>
              <w:t>用途</w:t>
            </w:r>
          </w:p>
        </w:tc>
        <w:tc>
          <w:tcPr>
            <w:tcW w:type="dxa" w:w="4139"/>
            <w:shd w:val="clear" w:fill="D9E2F3"/>
          </w:tcPr>
          <w:p>
            <w:pPr>
              <w:jc w:val="center"/>
            </w:pPr>
            <w:r/>
            <w:r>
              <w:rPr>
                <w:b/>
              </w:rPr>
              <w:t>准备事项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t>通义千问 / 智谱开放平台</w:t>
            </w:r>
          </w:p>
        </w:tc>
        <w:tc>
          <w:tcPr>
            <w:tcW w:type="dxa" w:w="2041"/>
          </w:tcPr>
          <w:p>
            <w:r>
              <w:t>AI 摘要、润色</w:t>
            </w:r>
          </w:p>
        </w:tc>
        <w:tc>
          <w:tcPr>
            <w:tcW w:type="dxa" w:w="4139"/>
          </w:tcPr>
          <w:p>
            <w:r>
              <w:t>申请 API Key，确认免费额度与单价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t>百度/腾讯 OCR</w:t>
            </w:r>
          </w:p>
        </w:tc>
        <w:tc>
          <w:tcPr>
            <w:tcW w:type="dxa" w:w="2041"/>
          </w:tcPr>
          <w:p>
            <w:r>
              <w:t>在线 OCR 兜底</w:t>
            </w:r>
          </w:p>
        </w:tc>
        <w:tc>
          <w:tcPr>
            <w:tcW w:type="dxa" w:w="4139"/>
          </w:tcPr>
          <w:p>
            <w:r>
              <w:t>申请 Key，设置每日调用上限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t>Remove.bg 或本地抠图模型</w:t>
            </w:r>
          </w:p>
        </w:tc>
        <w:tc>
          <w:tcPr>
            <w:tcW w:type="dxa" w:w="2041"/>
          </w:tcPr>
          <w:p>
            <w:r>
              <w:t>AI 抠图/证件照</w:t>
            </w:r>
          </w:p>
        </w:tc>
        <w:tc>
          <w:tcPr>
            <w:tcW w:type="dxa" w:w="4139"/>
          </w:tcPr>
          <w:p>
            <w:r>
              <w:t>双模式：优先本地，云端备用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before="40"/>
            </w:pPr>
            <w:r>
              <w:t>短链接服务（P2）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t>短链生成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>
              <w:t>V1.0 不接入；立项时再评估隐私、稳定性、配额与自建成本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before="40"/>
            </w:pPr>
            <w:r>
              <w:t>静态文件服务或 GitHub Releases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t>签名更新包与模型插件分发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>
              <w:t>隔离更新签名私钥；设置回滚版本、哈希校验、带宽预算与不可用降级策略</w:t>
            </w:r>
          </w:p>
        </w:tc>
      </w:tr>
    </w:tbl>
    <w:p/>
    <w:p>
      <w:pPr>
        <w:pStyle w:val="Heading2"/>
        <w:keepNext/>
      </w:pPr>
      <w:r>
        <w:t>8.2 设计与环境资源</w:t>
      </w:r>
    </w:p>
    <w:p>
      <w:pPr>
        <w:pStyle w:val="ListBullet"/>
      </w:pPr>
      <w:r>
        <w:t>设计：图标库（Tabler/Lucide）、UI 设计规范、产品 Logo 与各模块图标。</w:t>
      </w:r>
    </w:p>
    <w:p>
      <w:pPr>
        <w:pStyle w:val="ListBullet"/>
      </w:pPr>
      <w:r>
        <w:t>环境：Win10 22H2 / Win11 23H2 及更高受支持版本测试机；锁定一版 LibreOffice 作为转换验收基线；macOS/Linux 在 V1.0 后另行立项。</w:t>
      </w:r>
    </w:p>
    <w:p>
      <w:pPr>
        <w:pStyle w:val="ListBullet"/>
      </w:pPr>
      <w:r>
        <w:t>工具：Git 仓库、GitHub Actions、Windows 代码签名证书、转换/OCR 固定测试语料、崩溃统计的用户授权与匿名化机制。</w:t>
      </w:r>
    </w:p>
    <w:p>
      <w:pPr>
        <w:pStyle w:val="ListBullet"/>
      </w:pPr>
      <w:r>
        <w:t>预算：代码签名、API、模型/CDN 流量、测试设备与设计支持均需在第 1 周前明确负责人和上限；未确认的资源不得写入交付承诺。</w:t>
      </w:r>
    </w:p>
    <w:p>
      <w:pPr>
        <w:pStyle w:val="Heading2"/>
        <w:keepNext/>
      </w:pPr>
      <w:r>
        <w:t>8.3 文档资产</w:t>
      </w:r>
    </w:p>
    <w:p>
      <w:pPr>
        <w:pStyle w:val="ListBullet"/>
      </w:pPr>
      <w:r>
        <w:t>用户手册与功能速查页；隐私政策（涉及云端 AI 与可选匿名统计，发布前必须具备）；更新日志（CHANGELOG）。</w:t>
      </w:r>
    </w:p>
    <w:p>
      <w:pPr>
        <w:pStyle w:val="Heading1"/>
        <w:keepNext/>
      </w:pPr>
      <w:r>
        <w:t>9 附录：参考资料</w:t>
      </w:r>
    </w:p>
    <w:p>
      <w:pPr>
        <w:pStyle w:val="ListNumber"/>
      </w:pPr>
      <w:r>
        <w:t>Tauri 2.x 官方文档与 Updater 签名说明 — v2.tauri.app</w:t>
      </w:r>
    </w:p>
    <w:p>
      <w:pPr>
        <w:pStyle w:val="ListNumber"/>
      </w:pPr>
      <w:r>
        <w:t>Vue 3 官方文档 — vuejs.org</w:t>
      </w:r>
    </w:p>
    <w:p>
      <w:pPr>
        <w:pStyle w:val="ListNumber"/>
      </w:pPr>
      <w:r>
        <w:t>Element Plus — element-plus.org / Ant Design Vue — antdv.com</w:t>
      </w:r>
    </w:p>
    <w:p>
      <w:pPr>
        <w:pStyle w:val="ListNumber"/>
      </w:pPr>
      <w:r>
        <w:t>PaddleOCR — github.com/PaddlePaddle/PaddleOCR</w:t>
      </w:r>
    </w:p>
    <w:p>
      <w:pPr>
        <w:pStyle w:val="ListNumber"/>
      </w:pPr>
      <w:r>
        <w:t>Whisper — github.com/openai/whisper</w:t>
      </w:r>
    </w:p>
    <w:p>
      <w:pPr>
        <w:pStyle w:val="ListNumber"/>
      </w:pPr>
      <w:r>
        <w:t>Rust crates：calamine、rust_xlsxwriter、docx-rs、lopdf、age、image、fast_image_resize、reqwest — docs.rs / crates.io</w:t>
      </w:r>
    </w:p>
    <w:p>
      <w:pPr>
        <w:pStyle w:val="ListNumber"/>
      </w:pPr>
      <w:r>
        <w:t>LibreOffice 命令行参数（--headless、--convert-to）— help.libreoffice.org；通义千问/智谱 AI 平台文档与定价</w:t>
      </w:r>
    </w:p>
    <w:sectPr w:rsidR="00FC693F" w:rsidRPr="0006063C" w:rsidSect="00034616">
      <w:footerReference w:type="default" r:id="rId9"/>
      <w:pgSz w:w="11906" w:h="16838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  <w:fldChar w:fldCharType="begin"/>
      <w:instrText xml:space="preserve"> PAGE </w:instrText>
      <w:fldChar w:fldCharType="separate"/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文档办公与效率工具方案</dc:title>
  <dc:subject>V1.2 评审修订稿</dc:subject>
  <dc:creator>宋建</dc:creator>
  <cp:keywords/>
  <dc:description>修正技术能力边界、范围与里程碑映射、人力估算前提及验收口径。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