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 w:before="0" w:after="0"/>
        <w:ind/>
      </w:pPr>
    </w:p>
    <w:p>
      <w:pPr>
        <w:spacing w:line="360" w:lineRule="auto" w:before="0" w:after="0"/>
        <w:ind/>
      </w:pPr>
    </w:p>
    <w:p>
      <w:pPr>
        <w:spacing w:line="360" w:lineRule="auto" w:before="0" w:after="0"/>
        <w:ind/>
      </w:pPr>
    </w:p>
    <w:p>
      <w:pPr>
        <w:spacing w:line="312" w:lineRule="auto" w:before="0" w:after="120"/>
        <w:ind/>
        <w:jc w:val="center"/>
      </w:pPr>
      <w:r>
        <w:rPr>
          <w:rFonts w:ascii="Arial" w:hAnsi="Arial" w:eastAsia="黑体"/>
          <w:b/>
          <w:color w:val="000000"/>
          <w:sz w:val="52"/>
        </w:rPr>
        <w:t>改性塑料颗粒销售</w:t>
      </w:r>
    </w:p>
    <w:p>
      <w:pPr>
        <w:spacing w:line="312" w:lineRule="auto" w:before="0" w:after="280"/>
        <w:ind/>
        <w:jc w:val="center"/>
      </w:pPr>
      <w:r>
        <w:rPr>
          <w:rFonts w:ascii="Arial" w:hAnsi="Arial" w:eastAsia="黑体"/>
          <w:b/>
          <w:color w:val="000000"/>
          <w:sz w:val="52"/>
        </w:rPr>
        <w:t>个人工作进度跟踪管理规范</w:t>
      </w:r>
    </w:p>
    <w:p>
      <w:pPr>
        <w:spacing w:line="312" w:lineRule="auto" w:before="0" w:after="600"/>
        <w:ind/>
        <w:jc w:val="center"/>
      </w:pPr>
      <w:r>
        <w:rPr>
          <w:rFonts w:ascii="Arial" w:hAnsi="Arial" w:eastAsia="楷体"/>
          <w:b w:val="0"/>
          <w:color w:val="000000"/>
          <w:sz w:val="28"/>
        </w:rPr>
        <w:t>—— 单人销售 ERP 业务基线、技术架构与打开 / 关闭 / 颜色 / UI 细则</w:t>
      </w:r>
    </w:p>
    <w:p>
      <w:pPr>
        <w:spacing w:line="360" w:lineRule="auto" w:before="0" w:after="0"/>
        <w:ind/>
      </w:pPr>
    </w:p>
    <w:p>
      <w:pPr>
        <w:spacing w:line="360" w:lineRule="auto" w:before="0" w:after="0"/>
        <w:ind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551"/>
        <w:gridCol w:w="12474"/>
      </w:tblGrid>
      <w:tr>
        <w:trPr>
          <w:cantSplit/>
          <w:tblHeader w:val="true"/>
        </w:trPr>
        <w:tc>
          <w:tcPr>
            <w:tcW w:type="dxa" w:w="255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247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文档名称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改性塑料颗粒销售个人工作进度跟踪管理规范（单人销售 ERP）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文档定位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业务基线 + 技术架构 + 桌面端交互 / 视觉（UI）实现细则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使用对象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单人销售（一人兼任客户、样品、报价、订单、送货、对账、采购协同）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运行形态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绿色免安装、U 盘便携、纯本地离线、无需管理员权限的单机程序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版本 / 日期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V1.1（草案）／ 2026-09-12，后续按“第 1.4 节”版本约定维护；修订历史见文首表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配套交付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本规范为开发与验收依据；字段、状态、颜色、控件均以本文表格为准</w:t>
            </w:r>
          </w:p>
        </w:tc>
      </w:tr>
    </w:tbl>
    <w:p>
      <w:pPr>
        <w:spacing w:line="240" w:lineRule="auto" w:before="0" w:after="40"/>
        <w:ind/>
      </w:pPr>
    </w:p>
    <w:p>
      <w:pPr>
        <w:spacing w:after="0"/>
      </w:pPr>
      <w:r>
        <w:br w:type="page"/>
      </w:r>
    </w:p>
    <w:p>
      <w:r>
        <w:rPr>
          <w:b/>
        </w:rPr>
        <w:t>修订历史</w:t>
      </w:r>
      <w:r>
        <w:t>（本文档随版本维护，规则见第 1.4 节）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814"/>
        <w:gridCol w:w="3572"/>
        <w:gridCol w:w="5386"/>
        <w:gridCol w:w="4252"/>
      </w:tblGrid>
      <w:tr>
        <w:trPr>
          <w:cantSplit/>
          <w:tblHeader w:val="true"/>
        </w:trPr>
        <w:tc>
          <w:tcPr>
            <w:tcW w:type="dxa" w:w="181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版本</w:t>
            </w:r>
          </w:p>
        </w:tc>
        <w:tc>
          <w:tcPr>
            <w:tcW w:type="dxa" w:w="357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日期</w:t>
            </w:r>
          </w:p>
        </w:tc>
        <w:tc>
          <w:tcPr>
            <w:tcW w:type="dxa" w:w="5386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变更内容</w:t>
            </w:r>
          </w:p>
        </w:tc>
        <w:tc>
          <w:tcPr>
            <w:tcW w:type="dxa" w:w="425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修订人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V1.0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2026-09（初稿）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全文初稿：业务基线、技术架构、打开 / 关闭流程、颜色与 UI 规范、实施计划、附录 A 状态对照总表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V1.1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2026-09-12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补充：1.5 背景与量化目标、2.4 历史数据迁移、2.5 打印规格、3.3 选型对比与组件库定案、3.5 异地容灾、8.4 测试策略、8.5 评估机制、第 9 章风险与应对、附录 B 数据字典、修订历史表；修正回款状态流转、关闭指标、导航分组、基础设置模块等一致性问题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—</w:t>
            </w:r>
          </w:p>
        </w:tc>
      </w:tr>
    </w:tbl>
    <w:p/>
    <w:p>
      <w:pPr>
        <w:keepNext/>
        <w:spacing w:line="312" w:lineRule="auto" w:before="0" w:after="200"/>
        <w:ind/>
        <w:jc w:val="center"/>
      </w:pPr>
      <w:r>
        <w:rPr>
          <w:rFonts w:ascii="Arial" w:hAnsi="Arial" w:eastAsia="黑体"/>
          <w:b/>
          <w:color w:val="000000"/>
          <w:sz w:val="36"/>
        </w:rPr>
        <w:t>目  录</w:t>
      </w:r>
    </w:p>
    <w:p>
      <w:pPr>
        <w:spacing w:line="360" w:lineRule="auto" w:before="0" w:after="120"/>
        <w:ind/>
      </w:pPr>
      <w:r>
        <w:rPr>
          <w:rFonts w:ascii="Arial" w:hAnsi="Arial" w:eastAsia="宋体"/>
          <w:color w:val="808080"/>
          <w:sz w:val="21"/>
        </w:rPr>
        <w:fldChar w:fldCharType="begin"/>
        <w:instrText xml:space="preserve"> TOC \o "1-2" \h \z \u </w:instrText>
        <w:fldChar w:fldCharType="separate"/>
        <w:t>【目录：在 WPS/Word 中按 F9 或右键“更新域”生成；如已显示目录可忽略本行】</w:t>
        <w:fldChar w:fldCharType="end"/>
      </w:r>
    </w:p>
    <w:p>
      <w:pPr>
        <w:pStyle w:val="3"/>
        <w:keepNext/>
        <w:pageBreakBefore/>
        <w:spacing w:before="280" w:after="120" w:line="336" w:lineRule="auto"/>
      </w:pPr>
      <w:r>
        <w:rPr>
          <w:rFonts w:ascii="Arial" w:hAnsi="Arial" w:eastAsia="黑体"/>
          <w:b/>
          <w:color w:val="000000"/>
          <w:sz w:val="32"/>
        </w:rPr>
        <w:t>1  文档说明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1.1  编制目的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本规范用于统一“单人改性塑料颗粒销售管理程序（以下简称本程序或本 ERP）”的业务边界、技术架构与桌面端交互视觉标准，使业务功能、本地数据、启动关闭行为、界面颜色与控件细节有唯一、可核验的开发与验收依据，避免开发过程中因口径不一致造成返工。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本文重点细化四类最容易在实现阶段被忽略、却直接决定日常使用体验的内容：程序的“打开（启动）”、“关闭（退出）”、界面“颜色”以及通用“UI 控件”细节；业务与技术章节为这些细节提供上下文。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1.2  适用范围与读者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835"/>
        <w:gridCol w:w="7087"/>
        <w:gridCol w:w="5103"/>
      </w:tblGrid>
      <w:tr>
        <w:trPr>
          <w:cantSplit/>
          <w:tblHeader w:val="true"/>
        </w:trPr>
        <w:tc>
          <w:tcPr>
            <w:tcW w:type="dxa" w:w="2835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读者</w:t>
            </w:r>
          </w:p>
        </w:tc>
        <w:tc>
          <w:tcPr>
            <w:tcW w:type="dxa" w:w="7087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阅读重点</w:t>
            </w:r>
          </w:p>
        </w:tc>
        <w:tc>
          <w:tcPr>
            <w:tcW w:type="dxa" w:w="510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程序使用人（本人）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第 2 章业务、第 4–7 章交互与界面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确认业务流程、操作习惯与界面预期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开发 / AI 编码实现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全文，重点第 3–7 章与附录 A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作为功能、架构、状态、颜色、控件的实现依据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验收 / 后期维护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第 2.3、第 6、第 7 章与附录 A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逐条核对状态流转、配色与控件行为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1.3  术语与缩写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551"/>
        <w:gridCol w:w="12474"/>
      </w:tblGrid>
      <w:tr>
        <w:trPr>
          <w:cantSplit/>
          <w:tblHeader w:val="true"/>
        </w:trPr>
        <w:tc>
          <w:tcPr>
            <w:tcW w:type="dxa" w:w="255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术语</w:t>
            </w:r>
          </w:p>
        </w:tc>
        <w:tc>
          <w:tcPr>
            <w:tcW w:type="dxa" w:w="1247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本程序 / 本 ERP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面向单人销售的本地桌面管理程序，覆盖客户到回款全流程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绿色免安装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不写系统盘、不写注册表、不依赖安装包，解压或拷贝即可运行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便携 / U 盘运行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程序与数据放在同一目录，可整体拷贝到 U 盘，在任意 Windows 电脑即插即用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牌号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改性塑料颗粒的材料编号，如 PC/ABS、PP+EPDM-TD20、遮光/光扩散 PP、PPS 等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TD20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填充 20% 滑石粉（Talc）的改性料，类似标注还有 GF（玻纤）等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送样 / 封样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向客户提供测试用料、双方封存留样的过程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账期 / 账龄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约定付款周期；账龄为应收款从产生到当前的逾期时长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托盘（Tray）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系统后台驻留区（屏幕右下角图标），区别于任务栏窗口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单实例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同一时刻只允许运行一个程序进程，重复打开只激活已有窗口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脏数据 / 脏表单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存在未保存修改的表单或录入内容，关闭前需要拦截处理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1.4  版本约定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采用“主版本.次版本”编号：业务流程或数据结构发生不兼容调整时升主版本；仅补充字段、优化界面或修复问题时升次版本。每次修改在程序“关于 / 变更记录”中登记日期、变更点与原因；本文与程序实际行为不一致时，以较新版本为准，并同步回填本规范。</w:t>
      </w:r>
    </w:p>
    <w:p>
      <w:pPr>
        <w:spacing w:after="0"/>
      </w:pPr>
      <w:r>
        <w:br w:type="page"/>
      </w:r>
    </w:p>
    <w:p>
      <w:pPr>
        <w:pStyle w:val="4"/>
      </w:pPr>
      <w:r>
        <w:t>1.5  项目背景与量化目标</w:t>
      </w:r>
    </w:p>
    <w:p>
      <w:r>
        <w:t>本节说明自建本程序的必要性与可度量的业务目标，作为立项依据，并为第 8 章验收与第 8.5 节评估提供对照基线。</w:t>
      </w:r>
    </w:p>
    <w:p>
      <w:r>
        <w:rPr>
          <w:b/>
        </w:rPr>
        <w:t>现状与痛点：</w:t>
      </w:r>
      <w:r>
        <w:t>目前销售业务分散在多个 Excel 表格、微信聊天记录与纸质笔记中，已出现或可预见以下问题：</w:t>
      </w:r>
    </w:p>
    <w:p>
      <w:pPr>
        <w:pStyle w:val="16"/>
      </w:pPr>
      <w:r>
        <w:t>跟进遗漏：客户跟进、送样反馈、回签与回款日期依赖记忆与手工翻表，存在超期与对账遗漏风险；</w:t>
      </w:r>
    </w:p>
    <w:p>
      <w:pPr>
        <w:pStyle w:val="16"/>
      </w:pPr>
      <w:r>
        <w:t>数据分散：客户、报价、订单、应收分散在不同表格，统计月度销售额与应收账龄需手工汇总，耗时且易错；</w:t>
      </w:r>
    </w:p>
    <w:p>
      <w:pPr>
        <w:pStyle w:val="16"/>
      </w:pPr>
      <w:r>
        <w:t>无预警：账期临近、订单逾期、库存低于安全量无自动提醒，风险后知后觉；</w:t>
      </w:r>
    </w:p>
    <w:p>
      <w:pPr>
        <w:pStyle w:val="16"/>
      </w:pPr>
      <w:r>
        <w:t>安全弱：Excel 多副本版本混乱，U 盘丢失即数据全失，无自动备份与异地容灾。</w:t>
      </w:r>
    </w:p>
    <w:p>
      <w:r>
        <w:rPr>
          <w:b/>
        </w:rPr>
        <w:t>替代方案对比：</w:t>
      </w:r>
      <w:r>
        <w:t>编制时曾评估以下方案，均不满足需求，结论如下。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984"/>
        <w:gridCol w:w="9072"/>
        <w:gridCol w:w="3969"/>
      </w:tblGrid>
      <w:tr>
        <w:trPr>
          <w:cantSplit/>
          <w:tblHeader w:val="true"/>
        </w:trPr>
        <w:tc>
          <w:tcPr>
            <w:tcW w:type="dxa" w:w="198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方案</w:t>
            </w:r>
          </w:p>
        </w:tc>
        <w:tc>
          <w:tcPr>
            <w:tcW w:type="dxa" w:w="907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结论</w:t>
            </w:r>
          </w:p>
        </w:tc>
        <w:tc>
          <w:tcPr>
            <w:tcW w:type="dxa" w:w="3969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原因</w:t>
            </w:r>
          </w:p>
        </w:tc>
      </w:tr>
      <w:tr>
        <w:trPr>
          <w:cantSplit/>
        </w:trPr>
        <w:tc>
          <w:tcPr>
            <w:tcW w:type="dxa" w:w="198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金蝶 / 用友等商业 ERP</w:t>
            </w:r>
          </w:p>
        </w:tc>
        <w:tc>
          <w:tcPr>
            <w:tcW w:type="dxa" w:w="907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不采用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需安装与订阅费用，功能面向多人组织过剩，不满足第 3.1 节绿色便携与离线约束</w:t>
            </w:r>
          </w:p>
        </w:tc>
      </w:tr>
      <w:tr>
        <w:trPr>
          <w:cantSplit/>
        </w:trPr>
        <w:tc>
          <w:tcPr>
            <w:tcW w:type="dxa" w:w="198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Excel + 手工提醒</w:t>
            </w:r>
          </w:p>
        </w:tc>
        <w:tc>
          <w:tcPr>
            <w:tcW w:type="dxa" w:w="907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不采用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无状态流转与事务保障，数据量增大后易错乱，无预警与看板</w:t>
            </w:r>
          </w:p>
        </w:tc>
      </w:tr>
      <w:tr>
        <w:trPr>
          <w:cantSplit/>
        </w:trPr>
        <w:tc>
          <w:tcPr>
            <w:tcW w:type="dxa" w:w="198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现成单机进销存软件</w:t>
            </w:r>
          </w:p>
        </w:tc>
        <w:tc>
          <w:tcPr>
            <w:tcW w:type="dxa" w:w="907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不采用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无材料牌号、送样测试等行业关键环节，颜色与交互不可定制</w:t>
            </w:r>
          </w:p>
        </w:tc>
      </w:tr>
      <w:tr>
        <w:trPr>
          <w:cantSplit/>
        </w:trPr>
        <w:tc>
          <w:tcPr>
            <w:tcW w:type="dxa" w:w="198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自建单机绿色程序</w:t>
            </w:r>
          </w:p>
        </w:tc>
        <w:tc>
          <w:tcPr>
            <w:tcW w:type="dxa" w:w="907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采用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完全贴合单人业务链路，数据随身、零订阅成本，可按第 6、7 章定制体验</w:t>
            </w:r>
          </w:p>
        </w:tc>
      </w:tr>
    </w:tbl>
    <w:p/>
    <w:p>
      <w:r>
        <w:rPr>
          <w:b/>
        </w:rPr>
        <w:t>量化目标：</w:t>
      </w:r>
      <w:r>
        <w:t>以下基线为编制时估算，试运行期（第 8.5 节）按实测校准。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814"/>
        <w:gridCol w:w="3572"/>
        <w:gridCol w:w="5386"/>
        <w:gridCol w:w="4252"/>
      </w:tblGrid>
      <w:tr>
        <w:trPr>
          <w:cantSplit/>
          <w:tblHeader w:val="true"/>
        </w:trPr>
        <w:tc>
          <w:tcPr>
            <w:tcW w:type="dxa" w:w="181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目标</w:t>
            </w:r>
          </w:p>
        </w:tc>
        <w:tc>
          <w:tcPr>
            <w:tcW w:type="dxa" w:w="357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基线（现状）</w:t>
            </w:r>
          </w:p>
        </w:tc>
        <w:tc>
          <w:tcPr>
            <w:tcW w:type="dxa" w:w="5386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目标值</w:t>
            </w:r>
          </w:p>
        </w:tc>
        <w:tc>
          <w:tcPr>
            <w:tcW w:type="dxa" w:w="425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验证方式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跟进超期率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无统计、偶发遗漏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≤ 5%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工作台超期待办月度统计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月度对账耗时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约半天（手工汇总）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≤ 1 小时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对账单自动生成 + 实测计时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应收账龄可视性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事后手工核对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T+0 自动分档着色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第 6.5 节账龄分档自动生效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数据备份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手工拷贝、易遗忘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每次退出自动备份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第 5.3 节关闭时序验证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单据录入耗时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—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客户 / 报价 / 订单 ≤ 1 分钟 / 单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秒表实测</w:t>
            </w:r>
          </w:p>
        </w:tc>
      </w:tr>
    </w:tbl>
    <w:p>
      <w:pPr>
        <w:pStyle w:val="3"/>
        <w:keepNext/>
        <w:spacing w:before="280" w:after="120" w:line="336" w:lineRule="auto"/>
      </w:pPr>
      <w:r>
        <w:rPr>
          <w:rFonts w:ascii="Arial" w:hAnsi="Arial" w:eastAsia="黑体"/>
          <w:b/>
          <w:color w:val="000000"/>
          <w:sz w:val="32"/>
        </w:rPr>
        <w:t>2  业务基线与 ERP 功能内容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2.1  单人销售业务全景与角色分工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本程序只有一名使用人，但业务链路由其一人兼任多个岗位角色。程序不设复杂权限体系，但功能划分仍按下表岗位视角组织，保证每个环节都有对应模块承接、不遗漏动作。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551"/>
        <w:gridCol w:w="8505"/>
        <w:gridCol w:w="3969"/>
      </w:tblGrid>
      <w:tr>
        <w:trPr>
          <w:cantSplit/>
          <w:tblHeader w:val="true"/>
        </w:trPr>
        <w:tc>
          <w:tcPr>
            <w:tcW w:type="dxa" w:w="255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兼任角色</w:t>
            </w:r>
          </w:p>
        </w:tc>
        <w:tc>
          <w:tcPr>
            <w:tcW w:type="dxa" w:w="850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核心职责</w:t>
            </w:r>
          </w:p>
        </w:tc>
        <w:tc>
          <w:tcPr>
            <w:tcW w:type="dxa" w:w="3969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对应模块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客户开发 / 销售</w:t>
            </w:r>
          </w:p>
        </w:tc>
        <w:tc>
          <w:tcPr>
            <w:tcW w:type="dxa" w:w="850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客户建档、拜访与跟进、推动送样与定点、阶段推进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客户跟进、工作台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材料 / 技术支持</w:t>
            </w:r>
          </w:p>
        </w:tc>
        <w:tc>
          <w:tcPr>
            <w:tcW w:type="dxa" w:w="850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维护材料牌号与性能、匹配客户需求、跟进测试反馈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材料牌号库、样品管理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报价员</w:t>
            </w:r>
          </w:p>
        </w:tc>
        <w:tc>
          <w:tcPr>
            <w:tcW w:type="dxa" w:w="850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核算并出具报价、管理报价版本与有效期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报价管理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订单 / 跟单</w:t>
            </w:r>
          </w:p>
        </w:tc>
        <w:tc>
          <w:tcPr>
            <w:tcW w:type="dxa" w:w="850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接收订单、备货排产协调、送货与回签跟踪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订单与送货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对账 / 收款</w:t>
            </w:r>
          </w:p>
        </w:tc>
        <w:tc>
          <w:tcPr>
            <w:tcW w:type="dxa" w:w="850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对账、账期与账龄管理、回款登记、欠款预警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对账与回款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采购 / 供应链协调</w:t>
            </w:r>
          </w:p>
        </w:tc>
        <w:tc>
          <w:tcPr>
            <w:tcW w:type="dxa" w:w="850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向供应商询价采购、库存与安全余量管理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采购与库存协同</w:t>
            </w:r>
          </w:p>
        </w:tc>
      </w:tr>
    </w:tbl>
    <w:p>
      <w:pPr>
        <w:spacing w:line="240" w:lineRule="auto" w:before="0" w:after="40"/>
        <w:ind/>
      </w:pP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业务主线为：客户建档 → 需求匹配与送样 → 测试反馈 → 报价 → 定点/订单 → 备货送货 → 对账回款；材料牌号库与采购库存为全程提供支撑，工作台汇总每日待办与进度。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2.2  功能模块清单与核心字段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各模块只列单人销售真正需要的字段，避免冗余；标注“字典”的字段使用可自定义下拉选项，标注“必填”的字段在录入时强制校验（校验规则见第 7.5 节）。</w:t>
      </w:r>
    </w:p>
    <w:p>
      <w:pPr>
        <w:keepNext/>
        <w:spacing w:line="360" w:lineRule="auto" w:before="80" w:after="60"/>
        <w:ind/>
        <w:jc w:val="center"/>
      </w:pPr>
      <w:r>
        <w:rPr>
          <w:rFonts w:ascii="Arial" w:hAnsi="Arial" w:eastAsia="宋体"/>
          <w:color w:val="000000"/>
          <w:sz w:val="21"/>
        </w:rPr>
        <w:t>表 2-1  功能模块、职责与核心字段一览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814"/>
        <w:gridCol w:w="3572"/>
        <w:gridCol w:w="5386"/>
        <w:gridCol w:w="4252"/>
      </w:tblGrid>
      <w:tr>
        <w:trPr>
          <w:cantSplit/>
          <w:tblHeader w:val="true"/>
        </w:trPr>
        <w:tc>
          <w:tcPr>
            <w:tcW w:type="dxa" w:w="181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357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5386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核心字段</w:t>
            </w:r>
          </w:p>
        </w:tc>
        <w:tc>
          <w:tcPr>
            <w:tcW w:type="dxa" w:w="425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关键动作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客户跟进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客户档案与销售阶段推进、跟进记录与提醒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客户名称（必填）、对接主机厂/Tier1、产品方向、材料体系、</w:t>
            </w:r>
          </w:p>
          <w:p>
            <w:pPr>
              <w:spacing w:line="276" w:lineRule="auto" w:before="0" w:after="0"/>
              <w:ind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销售阶段（字典）、跟进记录、下次跟进日期、负责人=本人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新增/编辑、阶段推进、设置提醒、超期标红、检索筛选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材料牌号库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维护可售材料的牌号、性能与供应来源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牌号（必填）、基材、改性方式（TD/GF/阻燃/遮光/光扩散等）、</w:t>
            </w:r>
          </w:p>
          <w:p>
            <w:pPr>
              <w:spacing w:line="276" w:lineRule="auto" w:before="0" w:after="0"/>
              <w:ind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关键性能（熔指/冲击/热变形/密度）、供应来源、成本（按询价更新）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新增牌号、性能对比、按需求筛选、成本更新留痕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样品管理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送样、封样与客户测试反馈闭环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样品编号、关联客户、牌号、批次、送样克重、送样日期、</w:t>
            </w:r>
          </w:p>
          <w:p>
            <w:pPr>
              <w:spacing w:line="276" w:lineRule="auto" w:before="0" w:after="0"/>
              <w:ind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测试项目、反馈结论、样品状态（字典）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打印样品标签、登记反馈、状态流转、留样查询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报价管理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出具与跟踪报价，管理版本与有效期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报价单号、客户、牌号、含税单价、起订量、运费承担、</w:t>
            </w:r>
          </w:p>
          <w:p>
            <w:pPr>
              <w:spacing w:line="276" w:lineRule="auto" w:before="0" w:after="0"/>
              <w:ind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有效期、版本号、报价状态（字典）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复制旧报价、版本对比、到期提醒、报价转订单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订单与送货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订单登记、备货协调、送货与回签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订单号、客户、牌号、数量、单价、金额、交期、</w:t>
            </w:r>
          </w:p>
          <w:p>
            <w:pPr>
              <w:spacing w:line="276" w:lineRule="auto" w:before="0" w:after="0"/>
              <w:ind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备货状态、送货单号、回签状态（字典）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订单跟踪、生成送货单、回签登记、逾期预警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对账与回款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周期对账、回款登记与应收风险控制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对账单号、客户、账期、对账金额、已收、未收、</w:t>
            </w:r>
          </w:p>
          <w:p>
            <w:pPr>
              <w:spacing w:line="276" w:lineRule="auto" w:before="0" w:after="0"/>
              <w:ind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账龄、回款状态（字典）、承诺回款日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生成对账单、登记回款、账龄分档、欠款预警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采购与库存协同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向供应商采购、库存余量与安全库存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采购单号、供应商、牌号、采购量、在途量、</w:t>
            </w:r>
          </w:p>
          <w:p>
            <w:pPr>
              <w:spacing w:line="276" w:lineRule="auto" w:before="0" w:after="0"/>
              <w:ind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现有库存、安全库存、采购状态（字典）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询价记录、采购登记、低于安全库存提醒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工作台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汇总今日待办、提醒与关键指标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今日待办、到期/超期跟进、待回签、待回款、</w:t>
            </w:r>
          </w:p>
          <w:p>
            <w:pPr>
              <w:spacing w:line="276" w:lineRule="auto" w:before="0" w:after="0"/>
              <w:ind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本月销售额、本月回款、阶段看板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一屏总览、快捷新增、点击下钻、看板拖拽阶段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基础设置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字典选项、提醒与备份参数、外观偏好等本地配置管理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字典类型与选项（可增删改、停用不删除）、提醒提前天数、备份保留份数与异地备份路径、点 × 行为、浅色主题、关于 / 变更记录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维护字典、调整提醒与备份参数、查看变更记录（第 1.4 节）</w:t>
            </w:r>
          </w:p>
        </w:tc>
      </w:tr>
    </w:tbl>
    <w:p>
      <w:pPr>
        <w:spacing w:line="240" w:lineRule="auto" w:before="0" w:after="40"/>
        <w:ind/>
      </w:pP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初始档案可按实际业务预置（示例：内饰/PC/ABS 方向客户、出风口方向客户、PP-TD20 已量产客户，以及金发、聚隆（冠久）等供应来源）；联系人、价格等未确认信息一律留空，由使用人维护，程序不预置虚构数据。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2.3  关键业务状态流转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状态是业务进度的核心，也是第 6 章“状态色”的唯一来源：每个状态在界面上固定对应一种颜色，全程序不允许同一状态出现两种颜色。状态只能沿规定方向流转，回退需填写原因并留痕。</w:t>
      </w:r>
    </w:p>
    <w:p>
      <w:pPr>
        <w:keepNext/>
        <w:spacing w:line="360" w:lineRule="auto" w:before="80" w:after="60"/>
        <w:ind/>
        <w:jc w:val="center"/>
      </w:pPr>
      <w:r>
        <w:rPr>
          <w:rFonts w:ascii="Arial" w:hAnsi="Arial" w:eastAsia="宋体"/>
          <w:color w:val="000000"/>
          <w:sz w:val="21"/>
        </w:rPr>
        <w:t>表 2-2  客户销售阶段（看板列）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984"/>
        <w:gridCol w:w="9072"/>
        <w:gridCol w:w="3969"/>
      </w:tblGrid>
      <w:tr>
        <w:trPr>
          <w:cantSplit/>
          <w:tblHeader w:val="true"/>
        </w:trPr>
        <w:tc>
          <w:tcPr>
            <w:tcW w:type="dxa" w:w="198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907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含义 / 进入条件</w:t>
            </w:r>
          </w:p>
        </w:tc>
        <w:tc>
          <w:tcPr>
            <w:tcW w:type="dxa" w:w="3969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下一步</w:t>
            </w:r>
          </w:p>
        </w:tc>
      </w:tr>
      <w:tr>
        <w:trPr>
          <w:cantSplit/>
        </w:trPr>
        <w:tc>
          <w:tcPr>
            <w:tcW w:type="dxa" w:w="198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潜在客户</w:t>
            </w:r>
          </w:p>
        </w:tc>
        <w:tc>
          <w:tcPr>
            <w:tcW w:type="dxa" w:w="907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已获取线索、尚未建立有效接触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首次接触</w:t>
            </w:r>
          </w:p>
        </w:tc>
      </w:tr>
      <w:tr>
        <w:trPr>
          <w:cantSplit/>
        </w:trPr>
        <w:tc>
          <w:tcPr>
            <w:tcW w:type="dxa" w:w="198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初步接触</w:t>
            </w:r>
          </w:p>
        </w:tc>
        <w:tc>
          <w:tcPr>
            <w:tcW w:type="dxa" w:w="907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已联系上、了解到材料或项目需求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需求确认 / 送样</w:t>
            </w:r>
          </w:p>
        </w:tc>
      </w:tr>
      <w:tr>
        <w:trPr>
          <w:cantSplit/>
        </w:trPr>
        <w:tc>
          <w:tcPr>
            <w:tcW w:type="dxa" w:w="198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送样测试</w:t>
            </w:r>
          </w:p>
        </w:tc>
        <w:tc>
          <w:tcPr>
            <w:tcW w:type="dxa" w:w="907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已送样，等待客户测试与反馈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跟进测试结果</w:t>
            </w:r>
          </w:p>
        </w:tc>
      </w:tr>
      <w:tr>
        <w:trPr>
          <w:cantSplit/>
        </w:trPr>
        <w:tc>
          <w:tcPr>
            <w:tcW w:type="dxa" w:w="198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报价谈判</w:t>
            </w:r>
          </w:p>
        </w:tc>
        <w:tc>
          <w:tcPr>
            <w:tcW w:type="dxa" w:w="907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测试通过或进入比价，已出具报价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定点 / 继续跟进</w:t>
            </w:r>
          </w:p>
        </w:tc>
      </w:tr>
      <w:tr>
        <w:trPr>
          <w:cantSplit/>
        </w:trPr>
        <w:tc>
          <w:tcPr>
            <w:tcW w:type="dxa" w:w="198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定点量产</w:t>
            </w:r>
          </w:p>
        </w:tc>
        <w:tc>
          <w:tcPr>
            <w:tcW w:type="dxa" w:w="907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获得项目定点并形成稳定订单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持续订单维护</w:t>
            </w:r>
          </w:p>
        </w:tc>
      </w:tr>
      <w:tr>
        <w:trPr>
          <w:cantSplit/>
        </w:trPr>
        <w:tc>
          <w:tcPr>
            <w:tcW w:type="dxa" w:w="198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暂停 / 流失</w:t>
            </w:r>
          </w:p>
        </w:tc>
        <w:tc>
          <w:tcPr>
            <w:tcW w:type="dxa" w:w="907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项目暂停或丢单，需记录原因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条件满足时重新激活</w:t>
            </w:r>
          </w:p>
        </w:tc>
      </w:tr>
    </w:tbl>
    <w:p>
      <w:pPr>
        <w:spacing w:line="240" w:lineRule="auto" w:before="0" w:after="40"/>
        <w:ind/>
      </w:pPr>
    </w:p>
    <w:p>
      <w:pPr>
        <w:keepNext/>
        <w:spacing w:line="360" w:lineRule="auto" w:before="80" w:after="60"/>
        <w:ind/>
        <w:jc w:val="center"/>
      </w:pPr>
      <w:r>
        <w:rPr>
          <w:rFonts w:ascii="Arial" w:hAnsi="Arial" w:eastAsia="宋体"/>
          <w:color w:val="000000"/>
          <w:sz w:val="21"/>
        </w:rPr>
        <w:t>表 2-3  样品、订单、回款状态流转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587"/>
        <w:gridCol w:w="7767"/>
        <w:gridCol w:w="5670"/>
      </w:tblGrid>
      <w:tr>
        <w:trPr>
          <w:cantSplit/>
          <w:tblHeader w:val="true"/>
        </w:trPr>
        <w:tc>
          <w:tcPr>
            <w:tcW w:type="dxa" w:w="1587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对象</w:t>
            </w:r>
          </w:p>
        </w:tc>
        <w:tc>
          <w:tcPr>
            <w:tcW w:type="dxa" w:w="7767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状态序列</w:t>
            </w:r>
          </w:p>
        </w:tc>
        <w:tc>
          <w:tcPr>
            <w:tcW w:type="dxa" w:w="5669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样品</w:t>
            </w:r>
          </w:p>
        </w:tc>
        <w:tc>
          <w:tcPr>
            <w:tcW w:type="dxa" w:w="776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待送样 → 已送样 → 测试中 → 通过 / 不通过 / 待复测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不通过与待复测须登记原因，可再次送样</w:t>
            </w:r>
          </w:p>
        </w:tc>
      </w:tr>
      <w:tr>
        <w:trPr>
          <w:cantSplit/>
        </w:trPr>
        <w:tc>
          <w:tcPr>
            <w:tcW w:type="dxa" w:w="15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订单</w:t>
            </w:r>
          </w:p>
        </w:tc>
        <w:tc>
          <w:tcPr>
            <w:tcW w:type="dxa" w:w="776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待确认 → 已确认备货中 → 已送货 → 已回签 → 已完成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逾期未送货触发预警色</w:t>
            </w:r>
          </w:p>
        </w:tc>
      </w:tr>
      <w:tr>
        <w:trPr>
          <w:cantSplit/>
        </w:trPr>
        <w:tc>
          <w:tcPr>
            <w:tcW w:type="dxa" w:w="15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回款</w:t>
            </w:r>
          </w:p>
        </w:tc>
        <w:tc>
          <w:tcPr>
            <w:tcW w:type="dxa" w:w="776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未到期 → 临近到期 → 已逾期 → 已结清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按账龄分档着色；部分回款为金额属性而非独立阶段：任意阶段均可登记部分回款并显示已收比例，全额到账后流转为已结清</w:t>
            </w:r>
          </w:p>
        </w:tc>
      </w:tr>
      <w:tr>
        <w:trPr>
          <w:cantSplit/>
        </w:trPr>
        <w:tc>
          <w:tcPr>
            <w:tcW w:type="dxa" w:w="15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采购</w:t>
            </w:r>
          </w:p>
        </w:tc>
        <w:tc>
          <w:tcPr>
            <w:tcW w:type="dxa" w:w="776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待询价 → 已下单 → 在途 → 入库 → 关闭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在途与库存联动计算可用量</w:t>
            </w:r>
          </w:p>
        </w:tc>
      </w:tr>
    </w:tbl>
    <w:p>
      <w:pPr>
        <w:spacing w:line="240" w:lineRule="auto" w:before="0" w:after="40"/>
        <w:ind/>
      </w:pPr>
    </w:p>
    <w:p>
      <w:pPr>
        <w:spacing w:after="0"/>
      </w:pPr>
      <w:r>
        <w:br w:type="page"/>
      </w:r>
    </w:p>
    <w:p>
      <w:pPr>
        <w:pStyle w:val="4"/>
      </w:pPr>
      <w:r>
        <w:t>2.4  历史数据迁移（Excel 导入）</w:t>
      </w:r>
    </w:p>
    <w:p>
      <w:r>
        <w:t>既有 Excel 台账（客户、牌号、报价、订单、应收）按下表规格迁入；导入工具随 P2 阶段交付，客户档案与历史订单优先。</w:t>
      </w:r>
    </w:p>
    <w:p>
      <w:r>
        <w:t>表 2-4  Excel 导入功能规格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041"/>
        <w:gridCol w:w="12984"/>
      </w:tblGrid>
      <w:tr>
        <w:trPr>
          <w:cantSplit/>
          <w:tblHeader w:val="true"/>
        </w:trPr>
        <w:tc>
          <w:tcPr>
            <w:tcW w:type="dxa" w:w="204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要素</w:t>
            </w:r>
          </w:p>
        </w:tc>
        <w:tc>
          <w:tcPr>
            <w:tcW w:type="dxa" w:w="12983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规格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导入范围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客户档案、材料牌号、历史报价、历史订单、应收余额；分对象分批导入，可重复执行（按单号判重）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模板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程序内提供与第 2.2 节字段一致的 xlsx 模板，含填写说明与示例行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字段映射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模板列名即库表字段（附录 B），无需手工映射；模板外列忽略并提示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导入预检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逐行校验必填缺失、日期 / 数字格式、字典值合法性；客户按“名称 + 对接主机厂”判重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冲突处理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重复项提供“跳过 / 覆盖 / 保留两条”三种策略，默认跳过并记录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结果报告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完成后生成报告（成功 N 条、失败 N 条及原因），失败行可导出 xlsx 修正后重导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事务性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整批导入在同一事务内提交或整体回滚，不留半批数据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迁移验收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抽样 20 条与原表逐字段核对一致；订单金额、应收合计与原表合计一致</w:t>
            </w:r>
          </w:p>
        </w:tc>
      </w:tr>
    </w:tbl>
    <w:p/>
    <w:p>
      <w:pPr>
        <w:pStyle w:val="4"/>
      </w:pPr>
      <w:r>
        <w:t>2.5  单据打印与输出规格</w:t>
      </w:r>
    </w:p>
    <w:p>
      <w:r>
        <w:t>为不引入打印引擎与驱动依赖（第 3.1 节约束），V1.0 采用“导出后打印”策略，单据版式规格如下。</w:t>
      </w:r>
    </w:p>
    <w:p>
      <w:r>
        <w:t>表 2-5  单据打印与输出规格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041"/>
        <w:gridCol w:w="12984"/>
      </w:tblGrid>
      <w:tr>
        <w:trPr>
          <w:cantSplit/>
          <w:tblHeader w:val="true"/>
        </w:trPr>
        <w:tc>
          <w:tcPr>
            <w:tcW w:type="dxa" w:w="204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单据</w:t>
            </w:r>
          </w:p>
        </w:tc>
        <w:tc>
          <w:tcPr>
            <w:tcW w:type="dxa" w:w="12983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规格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样品标签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40 × 30mm 标签纸版式，内容：样品编号、客户、牌号、批次、克重、送样日期；导出 PDF 可直接打印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送货单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A4 纵向：表头（单号、客户、日期）+ 明细（牌号、批号、数量 kg、单价、金额）+ 签收栏；导出 xlsx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对账单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A4 纵向：期间订单明细 + 应收合计 + 回款记录 + 盖章区；导出 xlsx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输出位置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统一导出至 ./export/（第 3.4 节），文件名含单号与日期</w:t>
            </w:r>
          </w:p>
        </w:tc>
      </w:tr>
    </w:tbl>
    <w:p/>
    <w:p>
      <w:pPr>
        <w:pStyle w:val="3"/>
        <w:keepNext/>
        <w:spacing w:before="280" w:after="120" w:line="336" w:lineRule="auto"/>
      </w:pPr>
      <w:r>
        <w:rPr>
          <w:rFonts w:ascii="Arial" w:hAnsi="Arial" w:eastAsia="黑体"/>
          <w:b/>
          <w:color w:val="000000"/>
          <w:sz w:val="32"/>
        </w:rPr>
        <w:t>3  技术架构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3.1  设计约束（不可突破的底线）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技术选型与实现必须首先满足以下约束；任何与约束冲突的方案（如需联网授权、需安装运行库、需管理员权限、数据写入系统盘或注册表）一律不采用。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814"/>
        <w:gridCol w:w="8108"/>
        <w:gridCol w:w="5103"/>
      </w:tblGrid>
      <w:tr>
        <w:trPr>
          <w:cantSplit/>
          <w:tblHeader w:val="true"/>
        </w:trPr>
        <w:tc>
          <w:tcPr>
            <w:tcW w:type="dxa" w:w="181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约束</w:t>
            </w:r>
          </w:p>
        </w:tc>
        <w:tc>
          <w:tcPr>
            <w:tcW w:type="dxa" w:w="8107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具体要求</w:t>
            </w:r>
          </w:p>
        </w:tc>
        <w:tc>
          <w:tcPr>
            <w:tcW w:type="dxa" w:w="510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验收方式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绿色免安装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拷贝目录即可运行，不依赖安装包、不依赖系统预装运行时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全新 Windows 账户、无开发环境下双击可启动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U 盘便携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程序与数据同目录，整体拷贝 / 换电脑 / 换盘符后数据不丢、路径不失效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拷贝到 U 盘并在另一台电脑直接运行验证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纯本地离线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不依赖外网与云服务，断网可完成全部功能；默认不发起任何网络请求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断网 + 防火墙拦截下全功能回归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无需管理员权限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不写 Program Files、不写注册表开机项、不装系统服务、不装驱动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标准账户（非管理员）下正常运行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单人单库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一份本地数据库文件即全部业务数据，便于拷贝备份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数据目录中可定位唯一主库文件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数据可导出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核心台账可导出为 Excel/CSV，脱离程序也能查看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导出文件可用 Office/WPS 正常打开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低占用易关闭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内存与 CPU 占用克制，关闭后进程彻底退出、不残留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任务管理器确认无残留进程与文件占用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3.2  总体分层架构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采用“前端界面 + 桌面外壳 + 本地数据库”的单机分层架构，层与层之间通过明确接口通信，界面层不直接读写数据库文件，保证数据安全与后续可替换性。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041"/>
        <w:gridCol w:w="5896"/>
        <w:gridCol w:w="7087"/>
      </w:tblGrid>
      <w:tr>
        <w:trPr>
          <w:cantSplit/>
          <w:tblHeader w:val="true"/>
        </w:trPr>
        <w:tc>
          <w:tcPr>
            <w:tcW w:type="dxa" w:w="204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层次</w:t>
            </w:r>
          </w:p>
        </w:tc>
        <w:tc>
          <w:tcPr>
            <w:tcW w:type="dxa" w:w="5896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7087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实现要点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表现层（UI）</w:t>
            </w:r>
          </w:p>
        </w:tc>
        <w:tc>
          <w:tcPr>
            <w:tcW w:type="dxa" w:w="589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页面、组件、状态色、表单校验与交互反馈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Vue 3 + TypeScript 单页界面，组件化，颜色统一取设计令牌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桌面外壳层</w:t>
            </w:r>
          </w:p>
        </w:tc>
        <w:tc>
          <w:tcPr>
            <w:tcW w:type="dxa" w:w="589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窗口/托盘/菜单、文件对话框、单实例、开机自启、路径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Tauri（Rust）提供原生窗口与系统能力，前端不直接碰系统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业务与数据访问层</w:t>
            </w:r>
          </w:p>
        </w:tc>
        <w:tc>
          <w:tcPr>
            <w:tcW w:type="dxa" w:w="589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业务规则、状态流转、查询统计、事务、备份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Rust 侧封装数据服务，对前端暴露受限命令（Command）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数据存储层</w:t>
            </w:r>
          </w:p>
        </w:tc>
        <w:tc>
          <w:tcPr>
            <w:tcW w:type="dxa" w:w="589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业务数据持久化、事务一致性、并发保护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嵌入式 SQLite 单文件库，WAL 模式，定期 VACUUM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文件与备份层</w:t>
            </w:r>
          </w:p>
        </w:tc>
        <w:tc>
          <w:tcPr>
            <w:tcW w:type="dxa" w:w="589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附件、导出、自动备份、运行日志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全部位于 exe 同级便携目录，相对路径定位</w:t>
            </w:r>
          </w:p>
        </w:tc>
      </w:tr>
    </w:tbl>
    <w:p>
      <w:pPr>
        <w:spacing w:line="240" w:lineRule="auto" w:before="0" w:after="40"/>
        <w:ind/>
      </w:pP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数据流：界面操作 → 前端校验 → 调用外壳命令 → Rust 业务校验并在一个事务内写库 → 返回结果 → 界面按第 6 章状态色刷新。所有写操作走事务，避免异常断电导致半条数据。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3.3  技术选型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选型贴合单人维护、便携离线与既有技术栈，优先成熟稳定、打包体积小、无需额外运行时的方案；下表只锁定大版本方向，具体小版本以实施时官方稳定版为准，不在本文写死。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927"/>
        <w:gridCol w:w="4309"/>
        <w:gridCol w:w="8788"/>
      </w:tblGrid>
      <w:tr>
        <w:trPr>
          <w:cantSplit/>
          <w:tblHeader w:val="true"/>
        </w:trPr>
        <w:tc>
          <w:tcPr>
            <w:tcW w:type="dxa" w:w="192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层</w:t>
            </w:r>
          </w:p>
        </w:tc>
        <w:tc>
          <w:tcPr>
            <w:tcW w:type="dxa" w:w="4309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技术（大版本方向）</w:t>
            </w:r>
          </w:p>
        </w:tc>
        <w:tc>
          <w:tcPr>
            <w:tcW w:type="dxa" w:w="8787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选型理由 / 便携说明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界面框架</w:t>
            </w:r>
          </w:p>
        </w:tc>
        <w:tc>
          <w:tcPr>
            <w:tcW w:type="dxa" w:w="430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Vue 3 + TypeScript + Vite</w:t>
            </w:r>
          </w:p>
        </w:tc>
        <w:tc>
          <w:tcPr>
            <w:tcW w:type="dxa" w:w="87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组件化、类型约束减少字段错误；构建产物为静态资源，可被外壳直接内嵌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桌面外壳</w:t>
            </w:r>
          </w:p>
        </w:tc>
        <w:tc>
          <w:tcPr>
            <w:tcW w:type="dxa" w:w="430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Tauri 2（Rust）</w:t>
            </w:r>
          </w:p>
        </w:tc>
        <w:tc>
          <w:tcPr>
            <w:tcW w:type="dxa" w:w="87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打包体积小、内存占用低；最终为原生 exe，无需用户安装浏览器或运行时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包管理 / 构建</w:t>
            </w:r>
          </w:p>
        </w:tc>
        <w:tc>
          <w:tcPr>
            <w:tcW w:type="dxa" w:w="430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pnpm + Vite 构建前端，Rust 工具链构建外壳</w:t>
            </w:r>
          </w:p>
        </w:tc>
        <w:tc>
          <w:tcPr>
            <w:tcW w:type="dxa" w:w="87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依赖安装快、产物确定；构建只在开发机进行，用户侧零依赖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本地数据库</w:t>
            </w:r>
          </w:p>
        </w:tc>
        <w:tc>
          <w:tcPr>
            <w:tcW w:type="dxa" w:w="430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SQLite 3（Rust 侧嵌入式驱动）</w:t>
            </w:r>
          </w:p>
        </w:tc>
        <w:tc>
          <w:tcPr>
            <w:tcW w:type="dxa" w:w="87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单文件、免服务、事务可靠；随程序内嵌，用户无需单独安装数据库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状态 / 校验</w:t>
            </w:r>
          </w:p>
        </w:tc>
        <w:tc>
          <w:tcPr>
            <w:tcW w:type="dxa" w:w="430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前端集中式状态管理 + 前后端双重校验</w:t>
            </w:r>
          </w:p>
        </w:tc>
        <w:tc>
          <w:tcPr>
            <w:tcW w:type="dxa" w:w="87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界面即时反馈，Rust 侧兜底，防止脏数据落库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导出</w:t>
            </w:r>
          </w:p>
        </w:tc>
        <w:tc>
          <w:tcPr>
            <w:tcW w:type="dxa" w:w="430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本地生成 xlsx/csv</w:t>
            </w:r>
          </w:p>
        </w:tc>
        <w:tc>
          <w:tcPr>
            <w:tcW w:type="dxa" w:w="87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纯本地生成，不依赖联网与第三方服务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界面视觉</w:t>
            </w:r>
          </w:p>
        </w:tc>
        <w:tc>
          <w:tcPr>
            <w:tcW w:type="dxa" w:w="430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Naive UI（按需引入）+ 第 6 章设计令牌全量覆盖</w:t>
            </w:r>
          </w:p>
        </w:tc>
        <w:tc>
          <w:tcPr>
            <w:tcW w:type="dxa" w:w="87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对象级主题定制、TypeScript 类型完备、无默认样式污染；主色经令牌覆盖为钢蓝，杜绝“第二种蓝”；MIT 许可、零授权成本（对比见表 3-1）</w:t>
            </w:r>
          </w:p>
        </w:tc>
      </w:tr>
    </w:tbl>
    <w:p>
      <w:pPr>
        <w:spacing w:line="240" w:lineRule="auto" w:before="0" w:after="40"/>
        <w:ind/>
      </w:pPr>
    </w:p>
    <w:p>
      <w:r>
        <w:t>选型结论经以下对比得出；组件库在此定案为 Naive UI，不再保留双选。</w:t>
      </w:r>
    </w:p>
    <w:p>
      <w:r>
        <w:t>表 3-1  选型对比与备选说明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814"/>
        <w:gridCol w:w="3572"/>
        <w:gridCol w:w="5386"/>
        <w:gridCol w:w="4252"/>
      </w:tblGrid>
      <w:tr>
        <w:trPr>
          <w:cantSplit/>
          <w:tblHeader w:val="true"/>
        </w:trPr>
        <w:tc>
          <w:tcPr>
            <w:tcW w:type="dxa" w:w="181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层</w:t>
            </w:r>
          </w:p>
        </w:tc>
        <w:tc>
          <w:tcPr>
            <w:tcW w:type="dxa" w:w="357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选定</w:t>
            </w:r>
          </w:p>
        </w:tc>
        <w:tc>
          <w:tcPr>
            <w:tcW w:type="dxa" w:w="5386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备选</w:t>
            </w:r>
          </w:p>
        </w:tc>
        <w:tc>
          <w:tcPr>
            <w:tcW w:type="dxa" w:w="425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放弃原因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桌面外壳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Tauri 2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Electron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打包与内存占用大（安装包常 ≥ 80MB、空闲内存数百 MB），违背第 3.1 节便携约束与 3.7 节低占用指标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桌面外壳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Tauri 2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C# WPF / Qt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WPF 依赖 .NET 运行时且与前端技术栈割裂；Qt 体积与授权不适合单人绿色分发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界面框架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Vue 3 + TypeScript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React / Svelte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均可满足需求，按开发熟悉度与 TS 生态成熟度选定 Vue 3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本地数据库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SQLite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LevelDB / JSON 文件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对账、账龄等需 SQL 聚合与事务保障；文件型方案无事务与断电保护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组件库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Naive UI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Element Plus / 自研轻量组件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主题为对象级令牌、覆盖成本最低；如 P1 期间遇硬性障碍可切换 Element Plus，令牌层已隔离组件库、切换不改页面</w:t>
            </w:r>
          </w:p>
        </w:tc>
      </w:tr>
    </w:tbl>
    <w:p>
      <w:r>
        <w:t>全部选定组件均为宽松开源许可（Tauri：MIT / Apache-2.0，Vue：MIT，SQLite：Public Domain，Naive UI：MIT），零授权成本、无联网授权风险。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3.4  便携目录结构与路径规则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程序运行时一律以“可执行文件所在目录”为根（便携根），使用相对路径，绝不使用绝对盘符或用户目录（如 AppData、我的文档）保存业务数据，确保 U 盘更换盘符、拷贝到任意电脑都可直接用。</w:t>
      </w:r>
    </w:p>
    <w:p>
      <w:pPr>
        <w:keepNext/>
        <w:spacing w:line="360" w:lineRule="auto" w:before="80" w:after="60"/>
        <w:ind/>
        <w:jc w:val="center"/>
      </w:pPr>
      <w:r>
        <w:rPr>
          <w:rFonts w:ascii="Arial" w:hAnsi="Arial" w:eastAsia="宋体"/>
          <w:color w:val="000000"/>
          <w:sz w:val="21"/>
        </w:rPr>
        <w:t>表 3-2  绿色便携目录结构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3402"/>
        <w:gridCol w:w="5386"/>
        <w:gridCol w:w="6237"/>
      </w:tblGrid>
      <w:tr>
        <w:trPr>
          <w:cantSplit/>
          <w:tblHeader w:val="true"/>
        </w:trPr>
        <w:tc>
          <w:tcPr>
            <w:tcW w:type="dxa" w:w="340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路径（相对 exe）</w:t>
            </w:r>
          </w:p>
        </w:tc>
        <w:tc>
          <w:tcPr>
            <w:tcW w:type="dxa" w:w="5386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6236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便携 / 清理规则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./ERP.exe（及运行依赖）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主程序与内嵌资源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绿色目录的一部分，整体拷贝即可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./data/erp.db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唯一主数据库文件（SQLite）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核心资产，备份重点；路径随 exe 自适应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./data/erp.db-wal、-shm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WAL 临时文件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正常关闭后自动合并清理，不手动删除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./backup/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自动 / 手动备份库，按日期时间命名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保留份数可配，超量自动清理最旧备份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./export/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导出的 Excel/CSV、对账单、送货单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用户文件，可随时拷出，程序不强制清理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./files/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客户资料、样品图片等附件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仅通过程序相对引用，不写绝对路径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./logs/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运行与异常日志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按大小 / 天数滚动，便于排查启动关闭问题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./config/settings.json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本地偏好（窗口大小、点×行为、配色等）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纯本地配置，拷贝即迁移，无注册表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3.5  数据安全、备份与恢复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154"/>
        <w:gridCol w:w="5216"/>
        <w:gridCol w:w="7654"/>
      </w:tblGrid>
      <w:tr>
        <w:trPr>
          <w:cantSplit/>
          <w:tblHeader w:val="true"/>
        </w:trPr>
        <w:tc>
          <w:tcPr>
            <w:tcW w:type="dxa" w:w="215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机制</w:t>
            </w:r>
          </w:p>
        </w:tc>
        <w:tc>
          <w:tcPr>
            <w:tcW w:type="dxa" w:w="5216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策略</w:t>
            </w:r>
          </w:p>
        </w:tc>
        <w:tc>
          <w:tcPr>
            <w:tcW w:type="dxa" w:w="765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写库事务</w:t>
            </w:r>
          </w:p>
        </w:tc>
        <w:tc>
          <w:tcPr>
            <w:tcW w:type="dxa" w:w="521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所有新增/修改/删除包裹在事务中</w:t>
            </w:r>
          </w:p>
        </w:tc>
        <w:tc>
          <w:tcPr>
            <w:tcW w:type="dxa" w:w="76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中途失败回滚，杜绝半截数据</w:t>
            </w:r>
          </w:p>
        </w:tc>
      </w:tr>
      <w:tr>
        <w:trPr>
          <w:cantSplit/>
        </w:trPr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关闭前备份</w:t>
            </w:r>
          </w:p>
        </w:tc>
        <w:tc>
          <w:tcPr>
            <w:tcW w:type="dxa" w:w="521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每次正常退出时在备份完成后再结束进程</w:t>
            </w:r>
          </w:p>
        </w:tc>
        <w:tc>
          <w:tcPr>
            <w:tcW w:type="dxa" w:w="76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见第 5.3 关闭时序</w:t>
            </w:r>
          </w:p>
        </w:tc>
      </w:tr>
      <w:tr>
        <w:trPr>
          <w:cantSplit/>
        </w:trPr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定时自动备份</w:t>
            </w:r>
          </w:p>
        </w:tc>
        <w:tc>
          <w:tcPr>
            <w:tcW w:type="dxa" w:w="521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可配每日首次打开后备份 + 每隔 N 天备份</w:t>
            </w:r>
          </w:p>
        </w:tc>
        <w:tc>
          <w:tcPr>
            <w:tcW w:type="dxa" w:w="76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备份为一致性快照，使用 SQLite 安全备份接口而非复制占用中的文件</w:t>
            </w:r>
          </w:p>
        </w:tc>
      </w:tr>
      <w:tr>
        <w:trPr>
          <w:cantSplit/>
        </w:trPr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手动备份 / 还原</w:t>
            </w:r>
          </w:p>
        </w:tc>
        <w:tc>
          <w:tcPr>
            <w:tcW w:type="dxa" w:w="521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提供“一键备份到指定位置 / 从备份还原”</w:t>
            </w:r>
          </w:p>
        </w:tc>
        <w:tc>
          <w:tcPr>
            <w:tcW w:type="dxa" w:w="76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还原前自动先备份当前库，防止误操作覆盖</w:t>
            </w:r>
          </w:p>
        </w:tc>
      </w:tr>
      <w:tr>
        <w:trPr>
          <w:cantSplit/>
        </w:trPr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备份保留</w:t>
            </w:r>
          </w:p>
        </w:tc>
        <w:tc>
          <w:tcPr>
            <w:tcW w:type="dxa" w:w="521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默认保留最近 10 份（可配）</w:t>
            </w:r>
          </w:p>
        </w:tc>
        <w:tc>
          <w:tcPr>
            <w:tcW w:type="dxa" w:w="76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超量滚动删除最旧；U 盘空间不足时提示并允许改路径</w:t>
            </w:r>
          </w:p>
        </w:tc>
      </w:tr>
      <w:tr>
        <w:trPr>
          <w:cantSplit/>
        </w:trPr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损坏自检</w:t>
            </w:r>
          </w:p>
        </w:tc>
        <w:tc>
          <w:tcPr>
            <w:tcW w:type="dxa" w:w="521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打开时校验库完整性（PRAGMA integrity_check）</w:t>
            </w:r>
          </w:p>
        </w:tc>
        <w:tc>
          <w:tcPr>
            <w:tcW w:type="dxa" w:w="76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损坏则引导选择最近备份恢复，流程见第 4.4</w:t>
            </w:r>
          </w:p>
        </w:tc>
      </w:tr>
      <w:tr>
        <w:trPr>
          <w:cantSplit/>
        </w:trPr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导出兜底</w:t>
            </w:r>
          </w:p>
        </w:tc>
        <w:tc>
          <w:tcPr>
            <w:tcW w:type="dxa" w:w="521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台账随时导出 Excel/CSV</w:t>
            </w:r>
          </w:p>
        </w:tc>
        <w:tc>
          <w:tcPr>
            <w:tcW w:type="dxa" w:w="76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即使程序不可用，数据仍可读，降低单点风险</w:t>
            </w:r>
          </w:p>
        </w:tc>
      </w:tr>
      <w:tr>
        <w:trPr>
          <w:cantSplit/>
        </w:trPr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异地容灾</w:t>
            </w:r>
          </w:p>
        </w:tc>
        <w:tc>
          <w:tcPr>
            <w:tcW w:type="dxa" w:w="521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每周将 backup 目录完整复制一份至电脑硬盘或其他非 U 盘介质；月底对账完成后另存一份台账导出</w:t>
            </w:r>
          </w:p>
        </w:tc>
        <w:tc>
          <w:tcPr>
            <w:tcW w:type="dxa" w:w="76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设置页提供“复制备份到指定位置”快捷入口；手动拷贝、不违背离线原则，应对 U 盘丢失与损坏（见第 9 章 R1 / R2）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3.6  打包与分发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最终产物为一个绿色文件夹（含 exe 与运行资源、data/backup 等空目录），可压缩为单个压缩包或直接拷入 U 盘分发；不制作需要安装的安装包，不创建系统服务与注册表开机项（开机自启若启用，采用“启动文件夹快捷方式”这一无需管理员的方式，并可一键撤销）。首次运行自动在同级创建 data/backup/export/files/logs 目录。为降低杀毒软件误报，发布版本保持单一可信来源、必要时进行代码签名；如被拦截，在说明中提供可信目录添加方法，不要求关闭系统防护。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3.7  性能与可靠性指标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3118"/>
        <w:gridCol w:w="5670"/>
        <w:gridCol w:w="6237"/>
      </w:tblGrid>
      <w:tr>
        <w:trPr>
          <w:cantSplit/>
          <w:tblHeader w:val="true"/>
        </w:trPr>
        <w:tc>
          <w:tcPr>
            <w:tcW w:type="dxa" w:w="311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5669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目标值（单人数据量级）</w:t>
            </w:r>
          </w:p>
        </w:tc>
        <w:tc>
          <w:tcPr>
            <w:tcW w:type="dxa" w:w="6236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测量方式</w:t>
            </w:r>
          </w:p>
        </w:tc>
      </w:tr>
      <w:tr>
        <w:trPr>
          <w:cantSplit/>
        </w:trPr>
        <w:tc>
          <w:tcPr>
            <w:tcW w:type="dxa" w:w="311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冷启动到主窗口可交互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≤ 3 秒（普通 U 盘 ≤ 5 秒）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双击到工作台可点击的秒表计时</w:t>
            </w:r>
          </w:p>
        </w:tc>
      </w:tr>
      <w:tr>
        <w:trPr>
          <w:cantSplit/>
        </w:trPr>
        <w:tc>
          <w:tcPr>
            <w:tcW w:type="dxa" w:w="311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常用列表查询 / 翻页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≤ 300 毫秒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万级记录下实测</w:t>
            </w:r>
          </w:p>
        </w:tc>
      </w:tr>
      <w:tr>
        <w:trPr>
          <w:cantSplit/>
        </w:trPr>
        <w:tc>
          <w:tcPr>
            <w:tcW w:type="dxa" w:w="311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关闭（含自动备份）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≤ 2 秒；库体积大或 U 盘写入慢时以“备份完整落盘”为准，显示进度、不强制中断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点退出到进程消失、U 盘可安全弹出</w:t>
            </w:r>
          </w:p>
        </w:tc>
      </w:tr>
      <w:tr>
        <w:trPr>
          <w:cantSplit/>
        </w:trPr>
        <w:tc>
          <w:tcPr>
            <w:tcW w:type="dxa" w:w="311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数据库规模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单人三年数据控制在百 MB 级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附件放文件系统、库内只存路径</w:t>
            </w:r>
          </w:p>
        </w:tc>
      </w:tr>
      <w:tr>
        <w:trPr>
          <w:cantSplit/>
        </w:trPr>
        <w:tc>
          <w:tcPr>
            <w:tcW w:type="dxa" w:w="311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内存占用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空闲 ≤ 200 MB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任务管理器观察</w:t>
            </w:r>
          </w:p>
        </w:tc>
      </w:tr>
      <w:tr>
        <w:trPr>
          <w:cantSplit/>
        </w:trPr>
        <w:tc>
          <w:tcPr>
            <w:tcW w:type="dxa" w:w="311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异常恢复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断电 / 强杀后下次打开可自检并恢复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杀进程、拔盘后重新打开验证</w:t>
            </w:r>
          </w:p>
        </w:tc>
      </w:tr>
    </w:tbl>
    <w:p>
      <w:pPr>
        <w:spacing w:line="240" w:lineRule="auto" w:before="0" w:after="40"/>
        <w:ind/>
      </w:pPr>
    </w:p>
    <w:p>
      <w:pPr>
        <w:spacing w:after="0"/>
      </w:pPr>
      <w:r>
        <w:br w:type="page"/>
      </w:r>
    </w:p>
    <w:p>
      <w:pPr>
        <w:pStyle w:val="3"/>
        <w:keepNext/>
        <w:spacing w:before="280" w:after="120" w:line="336" w:lineRule="auto"/>
      </w:pPr>
      <w:r>
        <w:rPr>
          <w:rFonts w:ascii="Arial" w:hAnsi="Arial" w:eastAsia="黑体"/>
          <w:b/>
          <w:color w:val="000000"/>
          <w:sz w:val="32"/>
        </w:rPr>
        <w:t>4  打开（启动）流程与细节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本章规定从“双击程序”到“进入工作台可操作”之间的每一步行为与异常处理，目标是启动快、不白屏、不丢数据、换盘换电脑不出错。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4.1  启动方式与单实例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551"/>
        <w:gridCol w:w="12474"/>
      </w:tblGrid>
      <w:tr>
        <w:trPr>
          <w:cantSplit/>
          <w:tblHeader w:val="true"/>
        </w:trPr>
        <w:tc>
          <w:tcPr>
            <w:tcW w:type="dxa" w:w="255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事项</w:t>
            </w:r>
          </w:p>
        </w:tc>
        <w:tc>
          <w:tcPr>
            <w:tcW w:type="dxa" w:w="1247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规则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启动入口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双击 exe、U 盘中双击、或桌面 / 启动文件夹快捷方式，行为完全一致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单实例互斥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同一便携目录只允许一个进程；再次打开时不新开窗口，而是激活并置顶已有主窗口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已最小化到托盘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再次打开等同于唤起：恢复窗口、置前并聚焦到上次停留页面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开机自启（可选）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默认关闭；开启时仅在当前用户“启动”文件夹放置快捷方式，无需管理员、可一键取消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多副本隔离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不同目录 / 不同 U 盘的副本视为不同账套，允许分别运行，但标题栏显示便携目录名以防误操作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4.2  启动加载时序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启动按固定顺序执行，每一步都有明确的界面反馈与异常处理；任一步失败都给出可读提示而非闪退。</w:t>
      </w:r>
    </w:p>
    <w:p>
      <w:pPr>
        <w:keepNext/>
        <w:spacing w:line="360" w:lineRule="auto" w:before="80" w:after="60"/>
        <w:ind/>
        <w:jc w:val="center"/>
      </w:pPr>
      <w:r>
        <w:rPr>
          <w:rFonts w:ascii="Arial" w:hAnsi="Arial" w:eastAsia="宋体"/>
          <w:color w:val="000000"/>
          <w:sz w:val="21"/>
        </w:rPr>
        <w:t>表 4-1  启动加载时序（顺序不可颠倒）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680"/>
        <w:gridCol w:w="2268"/>
        <w:gridCol w:w="5840"/>
        <w:gridCol w:w="6237"/>
      </w:tblGrid>
      <w:tr>
        <w:trPr>
          <w:cantSplit/>
          <w:tblHeader w:val="true"/>
        </w:trPr>
        <w:tc>
          <w:tcPr>
            <w:tcW w:type="dxa" w:w="680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序</w:t>
            </w:r>
          </w:p>
        </w:tc>
        <w:tc>
          <w:tcPr>
            <w:tcW w:type="dxa" w:w="226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5839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具体动作</w:t>
            </w:r>
          </w:p>
        </w:tc>
        <w:tc>
          <w:tcPr>
            <w:tcW w:type="dxa" w:w="6236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异常处理 / 界面反馈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进程与单实例检查</w:t>
            </w:r>
          </w:p>
        </w:tc>
        <w:tc>
          <w:tcPr>
            <w:tcW w:type="dxa" w:w="583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创建互斥标识，判断是否已有实例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已有实例→激活原窗口后本进程立即退出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定位便携根</w:t>
            </w:r>
          </w:p>
        </w:tc>
        <w:tc>
          <w:tcPr>
            <w:tcW w:type="dxa" w:w="583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以 exe 所在目录为根，解析 data/config 等相对路径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目录缺失→自动创建；U 盘未就绪→提示重新插入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先显示启动画面</w:t>
            </w:r>
          </w:p>
        </w:tc>
        <w:tc>
          <w:tcPr>
            <w:tcW w:type="dxa" w:w="583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立即展示 Splash（程序名 + 加载状态文案），避免白屏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Splash 固定不卡死，加载进度实时更新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读取本地配置</w:t>
            </w:r>
          </w:p>
        </w:tc>
        <w:tc>
          <w:tcPr>
            <w:tcW w:type="dxa" w:w="583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读取窗口大小、上次页面、点×行为、主题配色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配置损坏→用默认配置并备份损坏文件，不阻断启动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数据库连接与自检</w:t>
            </w:r>
          </w:p>
        </w:tc>
        <w:tc>
          <w:tcPr>
            <w:tcW w:type="dxa" w:w="583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连接 erp.db、执行完整性检查、必要时做版本迁移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损坏→进入第 4.4 恢复流程；迁移失败→回滚并提示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关闭标志位判断</w:t>
            </w:r>
          </w:p>
        </w:tc>
        <w:tc>
          <w:tcPr>
            <w:tcW w:type="dxa" w:w="583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读取上次是否正常关闭的标志，判断是否异常退出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检测到异常→提示恢复草稿 / 选择备份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加载首屏数据</w:t>
            </w:r>
          </w:p>
        </w:tc>
        <w:tc>
          <w:tcPr>
            <w:tcW w:type="dxa" w:w="583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只加载工作台首屏所需数据，其余页面按需懒加载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分批加载，先出骨架屏再填数据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进入工作台</w:t>
            </w:r>
          </w:p>
        </w:tc>
        <w:tc>
          <w:tcPr>
            <w:tcW w:type="dxa" w:w="583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关闭 Splash，按上次状态还原窗口与页面，定位待办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焦点落在今日待办，红点 / 提醒按第 6 章着色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4.3  首屏与白屏规避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启动画面在进程创建后第一时间出现，背景色与主色一致（见第 6 章），中央显示程序名与当前加载文案，文案随阶段变化（如“正在检查数据…”“正在加载工作台…”）。主窗口采用“先渲染静态骨架、再异步填充数据”的方式：导航与布局先出现，列表区域显示骨架屏，数据到位后替换，避免长时间整窗白屏；超过指标时长仍未加载完成时显示“加载较慢，正在重试”并提供安全退出入口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4.4  异常关闭后的打开恢复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每次正常关闭在库内写入“正常退出”标志；打开时若发现该标志缺失，即判定上次为异常关闭（断电、强杀、直接拔盘）。此时不静默处理，按以下顺序引导：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474"/>
        <w:gridCol w:w="13551"/>
      </w:tblGrid>
      <w:tr>
        <w:trPr>
          <w:cantSplit/>
          <w:tblHeader w:val="true"/>
        </w:trPr>
        <w:tc>
          <w:tcPr>
            <w:tcW w:type="dxa" w:w="147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步骤</w:t>
            </w:r>
          </w:p>
        </w:tc>
        <w:tc>
          <w:tcPr>
            <w:tcW w:type="dxa" w:w="13550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界面与动作</w:t>
            </w:r>
          </w:p>
        </w:tc>
      </w:tr>
      <w:tr>
        <w:trPr>
          <w:cantSplit/>
        </w:trPr>
        <w:tc>
          <w:tcPr>
            <w:tcW w:type="dxa" w:w="147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① 提示</w:t>
            </w:r>
          </w:p>
        </w:tc>
        <w:tc>
          <w:tcPr>
            <w:tcW w:type="dxa" w:w="1355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弹窗说明“上次未正常关闭”，并显示异常时间与日志位置</w:t>
            </w:r>
          </w:p>
        </w:tc>
      </w:tr>
      <w:tr>
        <w:trPr>
          <w:cantSplit/>
        </w:trPr>
        <w:tc>
          <w:tcPr>
            <w:tcW w:type="dxa" w:w="147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② 完整性自检</w:t>
            </w:r>
          </w:p>
        </w:tc>
        <w:tc>
          <w:tcPr>
            <w:tcW w:type="dxa" w:w="1355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自动执行库完整性检查，结果以正常 / 警告 / 损坏三态呈现（颜色见第 6.4）</w:t>
            </w:r>
          </w:p>
        </w:tc>
      </w:tr>
      <w:tr>
        <w:trPr>
          <w:cantSplit/>
        </w:trPr>
        <w:tc>
          <w:tcPr>
            <w:tcW w:type="dxa" w:w="147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③ 草稿恢复</w:t>
            </w:r>
          </w:p>
        </w:tc>
        <w:tc>
          <w:tcPr>
            <w:tcW w:type="dxa" w:w="1355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列出未关闭的录入草稿（来自本地暂存），由用户选择恢复或丢弃</w:t>
            </w:r>
          </w:p>
        </w:tc>
      </w:tr>
      <w:tr>
        <w:trPr>
          <w:cantSplit/>
        </w:trPr>
        <w:tc>
          <w:tcPr>
            <w:tcW w:type="dxa" w:w="147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④ 备份选择</w:t>
            </w:r>
          </w:p>
        </w:tc>
        <w:tc>
          <w:tcPr>
            <w:tcW w:type="dxa" w:w="1355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库损坏时列出 backup 中最近若干备份（时间、大小），默认选中最近一份，还原前先备份现状</w:t>
            </w:r>
          </w:p>
        </w:tc>
      </w:tr>
      <w:tr>
        <w:trPr>
          <w:cantSplit/>
        </w:trPr>
        <w:tc>
          <w:tcPr>
            <w:tcW w:type="dxa" w:w="147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⑤ 留痕</w:t>
            </w:r>
          </w:p>
        </w:tc>
        <w:tc>
          <w:tcPr>
            <w:tcW w:type="dxa" w:w="1355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本次异常与选择写入日志，便于判断是否为 U 盘或磁盘问题反复出现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4.5  登录与身份策略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本程序为单人单机、数据随 U 盘自持，默认免登录，打开即直达工作台，不设账号体系、不联网鉴权。可选开启“本地口令”：口令仅做本机界面级遮挡、经哈希后存于本地，不上传；忘记口令时通过“回答预留提示 / 使用备份库在新副本打开”的本地方式兜底，不存在云端找回，避免引入联网依赖。</w:t>
      </w:r>
      <w:r>
        <w:rPr>
          <w:rFonts w:ascii="Arial" w:hAnsi="Arial" w:eastAsia="宋体"/>
          <w:b w:val="0"/>
          <w:color w:val="000000"/>
          <w:sz w:val="24"/>
        </w:rPr>
        <w:t xml:space="preserve">首次完成初始建档后，程序引导开启本地口令（可跳过）；建议开启，以降低 U 盘丢失后的信息泄露风险（见第 9 章 R1）。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4.6  U 盘换盘符与路径自适应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所有数据、附件、备份路径均相对 exe 实时解析，不保存“E:\…”这类绝对盘符；因此同一 U 盘在不同电脑显示为不同盘符时无需任何设置。若数据目录被独占占用（如杀毒扫描、上一进程未退净），启动时提示“数据文件被占用”，引导关闭占用程序或等待重试，而不是直接新建空库覆盖原数据。</w:t>
      </w:r>
    </w:p>
    <w:p>
      <w:pPr>
        <w:spacing w:after="0"/>
      </w:pPr>
      <w:r>
        <w:br w:type="page"/>
      </w:r>
    </w:p>
    <w:p>
      <w:pPr>
        <w:pStyle w:val="3"/>
        <w:keepNext/>
        <w:spacing w:before="280" w:after="120" w:line="336" w:lineRule="auto"/>
      </w:pPr>
      <w:r>
        <w:rPr>
          <w:rFonts w:ascii="Arial" w:hAnsi="Arial" w:eastAsia="黑体"/>
          <w:b/>
          <w:color w:val="000000"/>
          <w:sz w:val="32"/>
        </w:rPr>
        <w:t>5  关闭（退出）流程与细节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本章规定从“用户想关闭”到“进程彻底退出、U 盘可安全拔出”之间的行为，核心是先保数据、再退进程，区分“最小化到托盘”和“真正退出”，做到不丢录入、不残留进程、不占用 U 盘。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5.1  关闭入口与统一行为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3402"/>
        <w:gridCol w:w="11623"/>
      </w:tblGrid>
      <w:tr>
        <w:trPr>
          <w:cantSplit/>
          <w:tblHeader w:val="true"/>
        </w:trPr>
        <w:tc>
          <w:tcPr>
            <w:tcW w:type="dxa" w:w="340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关闭入口</w:t>
            </w:r>
          </w:p>
        </w:tc>
        <w:tc>
          <w:tcPr>
            <w:tcW w:type="dxa" w:w="1162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行为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标题栏 × 按钮</w:t>
            </w:r>
          </w:p>
        </w:tc>
        <w:tc>
          <w:tcPr>
            <w:tcW w:type="dxa" w:w="1162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按设置的“点 × 行为”执行（默认最小化到托盘，可改为直接退出，见 5.4）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托盘图标右键 → 退出</w:t>
            </w:r>
          </w:p>
        </w:tc>
        <w:tc>
          <w:tcPr>
            <w:tcW w:type="dxa" w:w="1162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无条件走“真正退出”流程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主菜单 → 文件 → 退出</w:t>
            </w:r>
          </w:p>
        </w:tc>
        <w:tc>
          <w:tcPr>
            <w:tcW w:type="dxa" w:w="1162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真正退出，与托盘退出同一套时序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快捷键 Ctrl+Q</w:t>
            </w:r>
          </w:p>
        </w:tc>
        <w:tc>
          <w:tcPr>
            <w:tcW w:type="dxa" w:w="1162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真正退出；Esc 仅关闭当前弹层 / 弹窗，不退出程序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Alt+F4 / 任务栏关闭窗口</w:t>
            </w:r>
          </w:p>
        </w:tc>
        <w:tc>
          <w:tcPr>
            <w:tcW w:type="dxa" w:w="1162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等同标题栏 ×，遵循同一设置，不另搞一套逻辑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5.2  关闭前检查清单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执行退出前逐项检查；存在未完成事项时先拦截、由用户决策，不允许在用户不知情时丢弃内容。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041"/>
        <w:gridCol w:w="6463"/>
        <w:gridCol w:w="6520"/>
      </w:tblGrid>
      <w:tr>
        <w:trPr>
          <w:cantSplit/>
          <w:tblHeader w:val="true"/>
        </w:trPr>
        <w:tc>
          <w:tcPr>
            <w:tcW w:type="dxa" w:w="204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检查项</w:t>
            </w:r>
          </w:p>
        </w:tc>
        <w:tc>
          <w:tcPr>
            <w:tcW w:type="dxa" w:w="6463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判定为“需要拦截”的条件</w:t>
            </w:r>
          </w:p>
        </w:tc>
        <w:tc>
          <w:tcPr>
            <w:tcW w:type="dxa" w:w="6520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处理方式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未保存表单</w:t>
            </w:r>
          </w:p>
        </w:tc>
        <w:tc>
          <w:tcPr>
            <w:tcW w:type="dxa" w:w="646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任一录入 / 编辑表单存在未落库修改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弹窗列出未保存项，提供保存 / 不保存 / 取消返回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进行中的导出 / 备份</w:t>
            </w:r>
          </w:p>
        </w:tc>
        <w:tc>
          <w:tcPr>
            <w:tcW w:type="dxa" w:w="646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尚有导出、备份、还原任务未完成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等待完成或确认中止；备份中禁止强退以免产生坏备份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未 flush 的写入</w:t>
            </w:r>
          </w:p>
        </w:tc>
        <w:tc>
          <w:tcPr>
            <w:tcW w:type="dxa" w:w="646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WAL 中存在尚未合并的写入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退出前执行 checkpoint，确认落盘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后台任务</w:t>
            </w:r>
          </w:p>
        </w:tc>
        <w:tc>
          <w:tcPr>
            <w:tcW w:type="dxa" w:w="646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存在定时备份、附件读写等后台任务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先停止任务调度并等待当前任务收尾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外部文件占用</w:t>
            </w:r>
          </w:p>
        </w:tc>
        <w:tc>
          <w:tcPr>
            <w:tcW w:type="dxa" w:w="646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导出文件仍被 Office 打开等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提示但不强制，允许用户确认后继续退出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5.3  关闭时序与拦截文案</w:t>
      </w:r>
    </w:p>
    <w:p>
      <w:pPr>
        <w:keepNext/>
        <w:spacing w:line="360" w:lineRule="auto" w:before="80" w:after="60"/>
        <w:ind/>
        <w:jc w:val="center"/>
      </w:pPr>
      <w:r>
        <w:rPr>
          <w:rFonts w:ascii="Arial" w:hAnsi="Arial" w:eastAsia="宋体"/>
          <w:color w:val="000000"/>
          <w:sz w:val="21"/>
        </w:rPr>
        <w:t>表 5-1  真正退出的关闭时序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680"/>
        <w:gridCol w:w="7541"/>
        <w:gridCol w:w="6804"/>
      </w:tblGrid>
      <w:tr>
        <w:trPr>
          <w:cantSplit/>
          <w:tblHeader w:val="true"/>
        </w:trPr>
        <w:tc>
          <w:tcPr>
            <w:tcW w:type="dxa" w:w="680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序</w:t>
            </w:r>
          </w:p>
        </w:tc>
        <w:tc>
          <w:tcPr>
            <w:tcW w:type="dxa" w:w="7540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动作</w:t>
            </w:r>
          </w:p>
        </w:tc>
        <w:tc>
          <w:tcPr>
            <w:tcW w:type="dxa" w:w="6803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失败 / 异常处理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754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拦截检查（第 5.2），有未保存项先弹窗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用户选“取消”则放弃退出、回到原界面且不丢现场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754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停止后台调度，保存窗口大小 / 上次页面等本地配置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配置写入失败不阻断退出，记录日志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754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提交或回滚所有数据库事务，执行 WAL checkpoint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失败则重试一次，仍失败先紧急备份再提示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754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执行关闭前自动备份（一致性快照）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U 盘空间不足时提示改存位置或跳过（需二次确认）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754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关闭数据库连接，释放附件 / 文件句柄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确保 data、export 目录不再被占用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754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写入“正常退出”标志，移除托盘图标，销毁窗口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为第 4.4 的异常判断提供依据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754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进程彻底退出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任务管理器无残留；U 盘可安全弹出</w:t>
            </w:r>
          </w:p>
        </w:tc>
      </w:tr>
    </w:tbl>
    <w:p>
      <w:pPr>
        <w:spacing w:line="240" w:lineRule="auto" w:before="0" w:after="40"/>
        <w:ind/>
      </w:pP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脏表单拦截使用统一、明确的弹窗文案，避免“是否退出？”这类含糊表达，标准文案如下：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927"/>
        <w:gridCol w:w="2041"/>
        <w:gridCol w:w="11056"/>
      </w:tblGrid>
      <w:tr>
        <w:trPr>
          <w:cantSplit/>
          <w:tblHeader w:val="true"/>
        </w:trPr>
        <w:tc>
          <w:tcPr>
            <w:tcW w:type="dxa" w:w="192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场景</w:t>
            </w:r>
          </w:p>
        </w:tc>
        <w:tc>
          <w:tcPr>
            <w:tcW w:type="dxa" w:w="204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标题</w:t>
            </w:r>
          </w:p>
        </w:tc>
        <w:tc>
          <w:tcPr>
            <w:tcW w:type="dxa" w:w="11055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正文与按钮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有未保存录入</w:t>
            </w:r>
          </w:p>
        </w:tc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存在未保存的内容</w:t>
            </w:r>
          </w:p>
        </w:tc>
        <w:tc>
          <w:tcPr>
            <w:tcW w:type="dxa" w:w="1105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正文：“当前有 N 个录入尚未保存，退出后未保存内容将丢失。”；按钮：【保存并退出】（默认/主按钮）、【不保存退出】（危险描边）、【继续编辑】（取消）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正在备份 / 导出</w:t>
            </w:r>
          </w:p>
        </w:tc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任务尚未完成</w:t>
            </w:r>
          </w:p>
        </w:tc>
        <w:tc>
          <w:tcPr>
            <w:tcW w:type="dxa" w:w="1105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正文：“正在备份 / 导出，立即退出可能产生不完整文件。”；按钮：【等待完成】（默认）、【强制退出】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备份失败</w:t>
            </w:r>
          </w:p>
        </w:tc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自动备份未完成</w:t>
            </w:r>
          </w:p>
        </w:tc>
        <w:tc>
          <w:tcPr>
            <w:tcW w:type="dxa" w:w="1105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正文：“本次自动备份未成功（原因：…）。仍要退出吗？”；按钮：【重试备份】（默认）、【另存备份到…】、【直接退出】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5.4  最小化到托盘与真正退出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为兼顾“随手关窗口但保持提醒（如跟进 / 回款到期提醒）”与“彻底退出释放 U 盘”，明确区分两种行为，并在设置中提供开关，默认策略如下表。首次点击 × 时显示一次轻提示说明该行为，之后不再打扰。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835"/>
        <w:gridCol w:w="3118"/>
        <w:gridCol w:w="5103"/>
        <w:gridCol w:w="3969"/>
      </w:tblGrid>
      <w:tr>
        <w:trPr>
          <w:cantSplit/>
          <w:tblHeader w:val="true"/>
        </w:trPr>
        <w:tc>
          <w:tcPr>
            <w:tcW w:type="dxa" w:w="2835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行为</w:t>
            </w:r>
          </w:p>
        </w:tc>
        <w:tc>
          <w:tcPr>
            <w:tcW w:type="dxa" w:w="311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触发</w:t>
            </w:r>
          </w:p>
        </w:tc>
        <w:tc>
          <w:tcPr>
            <w:tcW w:type="dxa" w:w="510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结果</w:t>
            </w:r>
          </w:p>
        </w:tc>
        <w:tc>
          <w:tcPr>
            <w:tcW w:type="dxa" w:w="3969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进程 / 提醒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最小化到托盘（默认点 ×）</w:t>
            </w:r>
          </w:p>
        </w:tc>
        <w:tc>
          <w:tcPr>
            <w:tcW w:type="dxa" w:w="311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标题栏 × / Alt+F4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窗口隐藏，托盘图标保留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进程在、到期提醒与定时备份继续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真正退出</w:t>
            </w:r>
          </w:p>
        </w:tc>
        <w:tc>
          <w:tcPr>
            <w:tcW w:type="dxa" w:w="311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托盘退出 / 菜单退出 / Ctrl+Q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走第 5.3 时序后进程结束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进程消失、释放文件、停止一切任务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可配置项</w:t>
            </w:r>
          </w:p>
        </w:tc>
        <w:tc>
          <w:tcPr>
            <w:tcW w:type="dxa" w:w="311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设置 → 常规 → “关闭按钮的作用”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在“最小化到托盘 / 直接退出”间二选一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配置写入 config，跨启动记忆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5.5  异常关闭兜底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进程崩溃或被任务管理器强杀时，异常处理器尽量将错误堆栈与现场写入 logs；数据库依赖 WAL 与事务保证已提交数据不丢、未提交事务回滚。下次打开按第 4.4 自检恢复。连续多次异常关闭时，启动后主动提示可能与 U 盘质量 / 磁盘有关，建议另存备份，防止介质损坏造成数据损失。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5.6  U 盘安全移除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真正退出完成、确认数据连接与文件句柄全部释放后，方可拔出 U 盘。程序在“退出并完成备份”后给出一次明确反馈（如“已安全退出并完成备份，现在可以移除 U 盘”）；禁止在仍占用 data 目录时提示可拔出，避免 Windows“设备正在使用中”或库文件损坏。</w:t>
      </w:r>
    </w:p>
    <w:p>
      <w:pPr>
        <w:spacing w:after="0"/>
      </w:pPr>
      <w:r>
        <w:br w:type="page"/>
      </w:r>
    </w:p>
    <w:p>
      <w:pPr>
        <w:pStyle w:val="3"/>
        <w:keepNext/>
        <w:spacing w:before="280" w:after="120" w:line="336" w:lineRule="auto"/>
      </w:pPr>
      <w:r>
        <w:rPr>
          <w:rFonts w:ascii="Arial" w:hAnsi="Arial" w:eastAsia="黑体"/>
          <w:b/>
          <w:color w:val="000000"/>
          <w:sz w:val="32"/>
        </w:rPr>
        <w:t>6  颜色规范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颜色是本程序最重要的视觉语言之一：业务进度、操作反馈、可点与不可点都依赖颜色快速识别。全程序颜色只允许取自本章色板，并以“设计令牌（变量名）”在代码中统一引用，禁止在页面里硬编码零散色值；需要调整时改令牌即可全局生效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6.1  配色原则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克制稳重：面向工业材料销售的桌面工具，以中性灰为底、单一钢蓝为主色，整体不花哨、不刺眼，适合长时间使用。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一义一色：同一业务状态 / 同一反馈类型在所有页面颜色一致；主色只表示“主操作 / 选中 / 品牌”，不另作他用。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层次分明：用明度与留白区分层级，状态色仅用于状态点、标签、徽章和必要强调，不给整行铺高饱和底色。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可辨识与可打印：正文对比度达到 WCAG AA（普通文字 ≥ 4.5:1）；状态除颜色外同时配文字或图标，兼顾色弱与黑白打印。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不用组件库默认蓝：任何第三方组件库的默认主题色必须被本章令牌覆盖，避免出现与主色不一致的“第二种蓝”。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6.2  品牌主色与中性色板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主色为沉稳钢蓝，提供深、中、浅三档供不同交互状态与浅底使用；中性色承载页面底色、卡片、边框与分割线。</w:t>
      </w:r>
    </w:p>
    <w:p>
      <w:pPr>
        <w:keepNext/>
        <w:spacing w:line="360" w:lineRule="auto" w:before="80" w:after="60"/>
        <w:ind/>
        <w:jc w:val="center"/>
      </w:pPr>
      <w:r>
        <w:rPr>
          <w:rFonts w:ascii="Arial" w:hAnsi="Arial" w:eastAsia="宋体"/>
          <w:color w:val="000000"/>
          <w:sz w:val="21"/>
        </w:rPr>
        <w:t>表 6-1  主色与中性背景 / 边框色板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474"/>
        <w:gridCol w:w="2154"/>
        <w:gridCol w:w="1360"/>
        <w:gridCol w:w="1927"/>
        <w:gridCol w:w="8108"/>
      </w:tblGrid>
      <w:tr>
        <w:trPr>
          <w:cantSplit/>
          <w:tblHeader w:val="true"/>
        </w:trPr>
        <w:tc>
          <w:tcPr>
            <w:tcW w:type="dxa" w:w="147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色块</w:t>
            </w:r>
          </w:p>
        </w:tc>
        <w:tc>
          <w:tcPr>
            <w:tcW w:type="dxa" w:w="215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名称</w:t>
            </w:r>
          </w:p>
        </w:tc>
        <w:tc>
          <w:tcPr>
            <w:tcW w:type="dxa" w:w="136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HEX</w:t>
            </w:r>
          </w:p>
        </w:tc>
        <w:tc>
          <w:tcPr>
            <w:tcW w:type="dxa" w:w="192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RGB</w:t>
            </w:r>
          </w:p>
        </w:tc>
        <w:tc>
          <w:tcPr>
            <w:tcW w:type="dxa" w:w="8107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用途 / 搭配前景文字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2B6CB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2B6CB0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主色 / Primary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#2B6CB0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43,108,176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主按钮、选中、链接、当前导航、激活态；其上文字用白色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1E5E9E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1E5E9E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主色-悬停 hover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#1E5E9E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30,94,158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主按钮悬停、可点元素悬停加深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1A4E8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1A4E82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主色-按下 active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#1A4E82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26,78,130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主按钮按下瞬间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F1F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1F2329"/>
                <w:sz w:val="21"/>
              </w:rPr>
              <w:t>E8F1F9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主色-浅底 tint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#E8F1F9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232,241,249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选中行浅底、信息提示浅底；其上用深色文字 #1F2329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5F6F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1F2329"/>
                <w:sz w:val="21"/>
              </w:rPr>
              <w:t>F5F6F8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页面背景 bg-page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#F5F6F8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245,246,248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窗口最底层背景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1F2329"/>
                <w:sz w:val="21"/>
              </w:rPr>
              <w:t>FFFFFF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卡片 / 容器 bg-card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#FFFFFF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255,255,255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表格、表单、弹层卡片底色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D9DCE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1F2329"/>
                <w:sz w:val="21"/>
              </w:rPr>
              <w:t>D9DCE1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边框 border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#D9DCE1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217,220,225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输入框、表格、卡片描边与分割线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CEEF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1F2329"/>
                <w:sz w:val="21"/>
              </w:rPr>
              <w:t>ECEEF1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分割线 divider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#ECEEF1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236,238,241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弱分割，比边框更浅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6.3  文字颜色层级</w:t>
      </w:r>
    </w:p>
    <w:p>
      <w:pPr>
        <w:keepNext/>
        <w:spacing w:line="360" w:lineRule="auto" w:before="80" w:after="60"/>
        <w:ind/>
        <w:jc w:val="center"/>
      </w:pPr>
      <w:r>
        <w:rPr>
          <w:rFonts w:ascii="Arial" w:hAnsi="Arial" w:eastAsia="宋体"/>
          <w:color w:val="000000"/>
          <w:sz w:val="21"/>
        </w:rPr>
        <w:t>表 6-2  文字颜色层级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474"/>
        <w:gridCol w:w="2381"/>
        <w:gridCol w:w="1360"/>
        <w:gridCol w:w="1927"/>
        <w:gridCol w:w="7881"/>
      </w:tblGrid>
      <w:tr>
        <w:trPr>
          <w:cantSplit/>
          <w:tblHeader w:val="true"/>
        </w:trPr>
        <w:tc>
          <w:tcPr>
            <w:tcW w:type="dxa" w:w="147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色块</w:t>
            </w:r>
          </w:p>
        </w:tc>
        <w:tc>
          <w:tcPr>
            <w:tcW w:type="dxa" w:w="238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名称</w:t>
            </w:r>
          </w:p>
        </w:tc>
        <w:tc>
          <w:tcPr>
            <w:tcW w:type="dxa" w:w="136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HEX</w:t>
            </w:r>
          </w:p>
        </w:tc>
        <w:tc>
          <w:tcPr>
            <w:tcW w:type="dxa" w:w="192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RGB</w:t>
            </w:r>
          </w:p>
        </w:tc>
        <w:tc>
          <w:tcPr>
            <w:tcW w:type="dxa" w:w="7880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用途 / 搭配前景文字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1F232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1F2329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一级文字 text-strong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#1F2329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31,35,41</w:t>
            </w:r>
          </w:p>
        </w:tc>
        <w:tc>
          <w:tcPr>
            <w:tcW w:type="dxa" w:w="78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页面标题、关键数据、表格主要内容（近黑，较纯黑柔和）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33373D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33373D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二级文字 text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#33373D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51,55,61</w:t>
            </w:r>
          </w:p>
        </w:tc>
        <w:tc>
          <w:tcPr>
            <w:tcW w:type="dxa" w:w="78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正文、表单值、普通说明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6A707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6A7078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次要文字 text-muted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#6A7078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106,112,120</w:t>
            </w:r>
          </w:p>
        </w:tc>
        <w:tc>
          <w:tcPr>
            <w:tcW w:type="dxa" w:w="78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辅助说明、标签、时间戳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A6ABB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1F2329"/>
                <w:sz w:val="21"/>
              </w:rPr>
              <w:t>A6ABB3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占位 / 弱化 ph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#A6ABB3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166,171,179</w:t>
            </w:r>
          </w:p>
        </w:tc>
        <w:tc>
          <w:tcPr>
            <w:tcW w:type="dxa" w:w="78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输入占位符、禁用文字、未填写提示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1F2329"/>
                <w:sz w:val="21"/>
              </w:rPr>
              <w:t>FFFFFF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反白文字 on-color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#FFFFFF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255,255,255</w:t>
            </w:r>
          </w:p>
        </w:tc>
        <w:tc>
          <w:tcPr>
            <w:tcW w:type="dxa" w:w="78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深底色（主色 / 状态深色）上的文字与图标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6.4  功能反馈色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成功、警告、危险、信息四类反馈各配“深色（文字 / 图标 / 描边）+ 浅底（提示条 / 徽章背景）”，深色用于前景，浅底用于背景，不直接用高饱和深色铺大面积。</w:t>
      </w:r>
    </w:p>
    <w:p>
      <w:pPr>
        <w:keepNext/>
        <w:spacing w:line="360" w:lineRule="auto" w:before="80" w:after="60"/>
        <w:ind/>
        <w:jc w:val="center"/>
      </w:pPr>
      <w:r>
        <w:rPr>
          <w:rFonts w:ascii="Arial" w:hAnsi="Arial" w:eastAsia="宋体"/>
          <w:color w:val="000000"/>
          <w:sz w:val="21"/>
        </w:rPr>
        <w:t>表 6-3  功能反馈色（深色 + 浅底）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474"/>
        <w:gridCol w:w="2154"/>
        <w:gridCol w:w="1360"/>
        <w:gridCol w:w="1927"/>
        <w:gridCol w:w="8108"/>
      </w:tblGrid>
      <w:tr>
        <w:trPr>
          <w:cantSplit/>
          <w:tblHeader w:val="true"/>
        </w:trPr>
        <w:tc>
          <w:tcPr>
            <w:tcW w:type="dxa" w:w="147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色块</w:t>
            </w:r>
          </w:p>
        </w:tc>
        <w:tc>
          <w:tcPr>
            <w:tcW w:type="dxa" w:w="215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名称</w:t>
            </w:r>
          </w:p>
        </w:tc>
        <w:tc>
          <w:tcPr>
            <w:tcW w:type="dxa" w:w="136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HEX</w:t>
            </w:r>
          </w:p>
        </w:tc>
        <w:tc>
          <w:tcPr>
            <w:tcW w:type="dxa" w:w="192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RGB</w:t>
            </w:r>
          </w:p>
        </w:tc>
        <w:tc>
          <w:tcPr>
            <w:tcW w:type="dxa" w:w="8107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用途 / 搭配前景文字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2E9E5B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2E9E5B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成功 success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#2E9E5B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46,158,91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完成、已结清、保存成功；浅底 #E8F6EE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F6EE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1F2329"/>
                <w:sz w:val="21"/>
              </w:rPr>
              <w:t>E8F6EE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成功-浅底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#E8F6EE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232,246,238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成功提示条 / 徽章背景，文字用 #1F7A43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D98A0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1F2329"/>
                <w:sz w:val="21"/>
              </w:rPr>
              <w:t>D98A09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警告 warning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#D98A09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217,138,9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临近到期、需关注、库存偏低；浅底 #FDF3E2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DF3E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1F2329"/>
                <w:sz w:val="21"/>
              </w:rPr>
              <w:t>FDF3E2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警告-浅底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#FDF3E2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253,243,226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警告提示 / 徽章背景，文字用 #B97408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D549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D54941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危险 danger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#D54941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213,73,65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逾期、删除、不保存退出；浅底 #FCEBEA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CEBE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1F2329"/>
                <w:sz w:val="21"/>
              </w:rPr>
              <w:t>FCEBEA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危险-浅底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#FCEBEA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252,235,234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危险提示 / 徽章背景，文字用 #B83830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2B6CB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2B6CB0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信息 info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#2B6CB0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43,108,176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普通提示、进行中；浅底复用主色浅底 #E8F1F9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FF0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1F2329"/>
                <w:sz w:val="21"/>
              </w:rPr>
              <w:t>EFF0F2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禁用 disabled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#EFF0F2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239,240,242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禁用控件底色；禁用文字 #A6ABB3、边框 #D9DCE1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6.5  业务状态色（与第 2.3 节状态一一对应）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业务状态一律以“小色点 + 状态文字徽章”呈现：徽章用对应浅底、文字用对应深色，左侧带同色小圆点；表格中只在“状态列”出现，不给整行铺色，避免颜色泛滥。</w:t>
      </w:r>
    </w:p>
    <w:p>
      <w:pPr>
        <w:keepNext/>
        <w:spacing w:line="360" w:lineRule="auto" w:before="80" w:after="60"/>
        <w:ind/>
        <w:jc w:val="center"/>
      </w:pPr>
      <w:r>
        <w:rPr>
          <w:rFonts w:ascii="Arial" w:hAnsi="Arial" w:eastAsia="宋体"/>
          <w:color w:val="000000"/>
          <w:sz w:val="21"/>
        </w:rPr>
        <w:t>表 6-4  业务状态色总表（客户 / 样品 / 订单 / 回款 / 采购共用）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927"/>
        <w:gridCol w:w="1927"/>
        <w:gridCol w:w="1360"/>
        <w:gridCol w:w="1814"/>
        <w:gridCol w:w="7994"/>
      </w:tblGrid>
      <w:tr>
        <w:trPr>
          <w:cantSplit/>
          <w:tblHeader w:val="true"/>
        </w:trPr>
        <w:tc>
          <w:tcPr>
            <w:tcW w:type="dxa" w:w="192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色块</w:t>
            </w:r>
          </w:p>
        </w:tc>
        <w:tc>
          <w:tcPr>
            <w:tcW w:type="dxa" w:w="192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名称</w:t>
            </w:r>
          </w:p>
        </w:tc>
        <w:tc>
          <w:tcPr>
            <w:tcW w:type="dxa" w:w="136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HEX</w:t>
            </w:r>
          </w:p>
        </w:tc>
        <w:tc>
          <w:tcPr>
            <w:tcW w:type="dxa" w:w="181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RGB</w:t>
            </w:r>
          </w:p>
        </w:tc>
        <w:tc>
          <w:tcPr>
            <w:tcW w:type="dxa" w:w="799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用途 / 搭配前景文字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A909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1F2329"/>
                <w:sz w:val="21"/>
              </w:rPr>
              <w:t>8A9099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潜在 / 待处理（中性）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#8A9099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138,144,153</w:t>
            </w:r>
          </w:p>
        </w:tc>
        <w:tc>
          <w:tcPr>
            <w:tcW w:type="dxa" w:w="799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潜在客户、待确认、待询价、未到期（默认灰）；浅底 #F0F1F3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B6CB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2B6CB0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进行中（主色蓝）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#2B6CB0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43,108,176</w:t>
            </w:r>
          </w:p>
        </w:tc>
        <w:tc>
          <w:tcPr>
            <w:tcW w:type="dxa" w:w="799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初步接触、备货中、测试中、在途；浅底 #E8F1F9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0E8A8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0E8A8A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送样 / 流转（青）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#0E8A8A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14,138,138</w:t>
            </w:r>
          </w:p>
        </w:tc>
        <w:tc>
          <w:tcPr>
            <w:tcW w:type="dxa" w:w="799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送样测试、已送货、部分回款等中间流转；浅底 #E4F4F4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D98A0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1F2329"/>
                <w:sz w:val="21"/>
              </w:rPr>
              <w:t>D98A09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谈判 / 关注（琥珀）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#D98A09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217,138,9</w:t>
            </w:r>
          </w:p>
        </w:tc>
        <w:tc>
          <w:tcPr>
            <w:tcW w:type="dxa" w:w="799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报价谈判、临近到期、库存偏低；浅底 #FDF3E2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9E5B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2E9E5B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成功 / 完成（绿）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#2E9E5B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46,158,91</w:t>
            </w:r>
          </w:p>
        </w:tc>
        <w:tc>
          <w:tcPr>
            <w:tcW w:type="dxa" w:w="799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定点量产、已回签 / 完成、已结清、通过；浅底 #E8F6EE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D549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D54941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逾期 / 危险（红）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#D54941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213,73,65</w:t>
            </w:r>
          </w:p>
        </w:tc>
        <w:tc>
          <w:tcPr>
            <w:tcW w:type="dxa" w:w="799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订单逾期、已逾期、不通过、删除；浅底 #FCEBEA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B5655E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B5655E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暂停 / 流失（灰红）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#B5655E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181,101,94</w:t>
            </w:r>
          </w:p>
        </w:tc>
        <w:tc>
          <w:tcPr>
            <w:tcW w:type="dxa" w:w="799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暂停 / 流失客户、关闭；浅底 #F7ECEA，区别于中性灰</w:t>
            </w:r>
          </w:p>
        </w:tc>
      </w:tr>
    </w:tbl>
    <w:p>
      <w:pPr>
        <w:spacing w:line="240" w:lineRule="auto" w:before="0" w:after="40"/>
        <w:ind/>
      </w:pPr>
    </w:p>
    <w:p>
      <w:pPr>
        <w:keepNext/>
        <w:spacing w:line="360" w:lineRule="auto" w:before="80" w:after="60"/>
        <w:ind/>
        <w:jc w:val="center"/>
      </w:pPr>
      <w:r>
        <w:rPr>
          <w:rFonts w:ascii="Arial" w:hAnsi="Arial" w:eastAsia="宋体"/>
          <w:color w:val="000000"/>
          <w:sz w:val="21"/>
        </w:rPr>
        <w:t>表 6-5  回款账龄分档（红色随账龄加深，金额同步着色）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927"/>
        <w:gridCol w:w="1927"/>
        <w:gridCol w:w="1360"/>
        <w:gridCol w:w="1814"/>
        <w:gridCol w:w="7994"/>
      </w:tblGrid>
      <w:tr>
        <w:trPr>
          <w:cantSplit/>
          <w:tblHeader w:val="true"/>
        </w:trPr>
        <w:tc>
          <w:tcPr>
            <w:tcW w:type="dxa" w:w="192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色块</w:t>
            </w:r>
          </w:p>
        </w:tc>
        <w:tc>
          <w:tcPr>
            <w:tcW w:type="dxa" w:w="192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名称</w:t>
            </w:r>
          </w:p>
        </w:tc>
        <w:tc>
          <w:tcPr>
            <w:tcW w:type="dxa" w:w="136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HEX</w:t>
            </w:r>
          </w:p>
        </w:tc>
        <w:tc>
          <w:tcPr>
            <w:tcW w:type="dxa" w:w="181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RGB</w:t>
            </w:r>
          </w:p>
        </w:tc>
        <w:tc>
          <w:tcPr>
            <w:tcW w:type="dxa" w:w="799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用途 / 搭配前景文字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A909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1F2329"/>
                <w:sz w:val="21"/>
              </w:rPr>
              <w:t>8A9099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未到期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#8A9099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138,144,153</w:t>
            </w:r>
          </w:p>
        </w:tc>
        <w:tc>
          <w:tcPr>
            <w:tcW w:type="dxa" w:w="799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账期内，中性灰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D98A0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1F2329"/>
                <w:sz w:val="21"/>
              </w:rPr>
              <w:t>D98A09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临近到期（≤3天）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#D98A09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217,138,9</w:t>
            </w:r>
          </w:p>
        </w:tc>
        <w:tc>
          <w:tcPr>
            <w:tcW w:type="dxa" w:w="799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琥珀色提醒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D549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D54941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逾期 1–30 天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#D54941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213,73,65</w:t>
            </w:r>
          </w:p>
        </w:tc>
        <w:tc>
          <w:tcPr>
            <w:tcW w:type="dxa" w:w="799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危险红（基础档）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C0392B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C0392B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逾期 31–60 天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#C0392B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192,57,43</w:t>
            </w:r>
          </w:p>
        </w:tc>
        <w:tc>
          <w:tcPr>
            <w:tcW w:type="dxa" w:w="799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加深红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9B221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9B2218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逾期 60 天以上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#9B2218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155,34,24</w:t>
            </w:r>
          </w:p>
        </w:tc>
        <w:tc>
          <w:tcPr>
            <w:tcW w:type="dxa" w:w="799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深红并加粗金额，置顶提醒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9E5B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2E9E5B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已结清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#2E9E5B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46,158,91</w:t>
            </w:r>
          </w:p>
        </w:tc>
        <w:tc>
          <w:tcPr>
            <w:tcW w:type="dxa" w:w="799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成功绿，金额置为次要文字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6.6  控件交互状态色</w:t>
      </w:r>
    </w:p>
    <w:p>
      <w:pPr>
        <w:keepNext/>
        <w:spacing w:line="360" w:lineRule="auto" w:before="80" w:after="60"/>
        <w:ind/>
        <w:jc w:val="center"/>
      </w:pPr>
      <w:r>
        <w:rPr>
          <w:rFonts w:ascii="Arial" w:hAnsi="Arial" w:eastAsia="宋体"/>
          <w:color w:val="000000"/>
          <w:sz w:val="21"/>
        </w:rPr>
        <w:t>表 6-6  常用控件在各交互状态下的颜色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927"/>
        <w:gridCol w:w="3175"/>
        <w:gridCol w:w="2381"/>
        <w:gridCol w:w="2268"/>
        <w:gridCol w:w="2608"/>
        <w:gridCol w:w="2664"/>
      </w:tblGrid>
      <w:tr>
        <w:trPr>
          <w:cantSplit/>
          <w:tblHeader w:val="true"/>
        </w:trPr>
        <w:tc>
          <w:tcPr>
            <w:tcW w:type="dxa" w:w="192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控件</w:t>
            </w:r>
          </w:p>
        </w:tc>
        <w:tc>
          <w:tcPr>
            <w:tcW w:type="dxa" w:w="3175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默认 default</w:t>
            </w:r>
          </w:p>
        </w:tc>
        <w:tc>
          <w:tcPr>
            <w:tcW w:type="dxa" w:w="238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悬停 hover</w:t>
            </w:r>
          </w:p>
        </w:tc>
        <w:tc>
          <w:tcPr>
            <w:tcW w:type="dxa" w:w="226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按下 active</w:t>
            </w:r>
          </w:p>
        </w:tc>
        <w:tc>
          <w:tcPr>
            <w:tcW w:type="dxa" w:w="260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聚焦 focus</w:t>
            </w:r>
          </w:p>
        </w:tc>
        <w:tc>
          <w:tcPr>
            <w:tcW w:type="dxa" w:w="2665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禁用 disabled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主按钮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底 #2B6CB0 / 白字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底 #1E5E9E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底 #1A4E82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外圈主色浅底描边</w:t>
            </w:r>
          </w:p>
        </w:tc>
        <w:tc>
          <w:tcPr>
            <w:tcW w:type="dxa" w:w="266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底 #EFF0F2 / 字 #A6ABB3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次 / 描边按钮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白底 / 字 #33373D / 边 #D9DCE1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底 #F5F6F8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底 #ECEEF1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主色描边</w:t>
            </w:r>
          </w:p>
        </w:tc>
        <w:tc>
          <w:tcPr>
            <w:tcW w:type="dxa" w:w="266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底 #EFF0F2 / 字 #A6ABB3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危险按钮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白底红字 #D54941 / 红描边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浅红底 #FCEBEA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再加深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红色外描边</w:t>
            </w:r>
          </w:p>
        </w:tc>
        <w:tc>
          <w:tcPr>
            <w:tcW w:type="dxa" w:w="266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灰底灰字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输入框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白底 / 边 #D9DCE1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边 #8A9099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边 #2B6CB0 + 浅色外发光</w:t>
            </w:r>
          </w:p>
        </w:tc>
        <w:tc>
          <w:tcPr>
            <w:tcW w:type="dxa" w:w="266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底 #EFF0F2 不可编辑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链接 / 文字按钮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字 #2B6CB0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字 #1E5E9E + 下划线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字 #1A4E82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66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字 #A6ABB3 不可点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可点行 / 列表项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透明 / 卡片白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底 #F5F6F8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底 #E8F1F9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66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选中项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浅主色底 #E8F1F9 + 左侧主色竖条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浅主色底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同左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66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—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6.7  颜色使用禁忌与可访问性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全程序主色只有一种钢蓝；除第 6.4 的四类反馈色与第 6.5 状态色外，不引入额外高饱和彩色。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禁止用红绿区分作为唯一信息来源：状态必须同时有文字（如“已逾期”）或图标，避免色弱用户无法分辨。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浅色浅底只做背景，前景用对应深色，保证对比度；禁止浅底配浅字、深底配深字。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表格不整行铺高饱和色；整行仅在被选中时用主色浅底 #E8F1F9，状态色限定在状态徽章 / 色点 / 金额。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预留深色模式令牌结构（同一令牌名挂两套值），V1.0 先交付浅色模式，深色模式后续仅替换令牌、不改页面。</w:t>
      </w:r>
    </w:p>
    <w:p>
      <w:pPr>
        <w:spacing w:after="0"/>
      </w:pPr>
      <w:r>
        <w:br w:type="page"/>
      </w:r>
    </w:p>
    <w:p>
      <w:pPr>
        <w:pStyle w:val="3"/>
        <w:keepNext/>
        <w:spacing w:before="280" w:after="120" w:line="336" w:lineRule="auto"/>
      </w:pPr>
      <w:r>
        <w:rPr>
          <w:rFonts w:ascii="Arial" w:hAnsi="Arial" w:eastAsia="黑体"/>
          <w:b/>
          <w:color w:val="000000"/>
          <w:sz w:val="32"/>
        </w:rPr>
        <w:t>7  UI 细节规范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本章规定界面布局、字体、导航、表格、表单、按钮、反馈、看板、快捷键与适配的具体规格，目标是在任意 Windows 电脑、不同显示缩放下都整齐、统一、可预期；所有尺寸以 4px 为基数栅格。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7.1  整体布局与窗口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551"/>
        <w:gridCol w:w="12474"/>
      </w:tblGrid>
      <w:tr>
        <w:trPr>
          <w:cantSplit/>
          <w:tblHeader w:val="true"/>
        </w:trPr>
        <w:tc>
          <w:tcPr>
            <w:tcW w:type="dxa" w:w="255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247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规格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默认窗口尺寸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1280 × 800（首次打开居中），记忆上次关闭时的大小与位置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最小窗口尺寸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1024 × 640，小于该尺寸不再压缩，避免表格挤压变形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三区结构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左侧导航栏 + 顶部工具栏（页面标题 / 全局搜索 / 快捷新增 / 托盘最小化）+ 主内容区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侧边导航宽度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展开 216px、折叠 56px；折叠后仅显图标，悬停浮出二级菜单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间距栅格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以 4px 为基数：常用 4 / 8 / 12 / 16 / 24；同组元素 8，区块之间 16/24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圆角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卡片 / 输入框 6px，按钮 6px，徽章 4px，弹窗 8px，全程序统一不混用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阴影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仅弹层、下拉、弹窗使用轻阴影，普通卡片用 1px 边框区分，不堆阴影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内容密度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桌面工具采用“适中偏紧凑”密度，表格行高 36px（紧凑 30px 可切换）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7.2  字体、字号与数字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608"/>
        <w:gridCol w:w="3061"/>
        <w:gridCol w:w="3118"/>
        <w:gridCol w:w="6237"/>
      </w:tblGrid>
      <w:tr>
        <w:trPr>
          <w:cantSplit/>
          <w:tblHeader w:val="true"/>
        </w:trPr>
        <w:tc>
          <w:tcPr>
            <w:tcW w:type="dxa" w:w="260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层级</w:t>
            </w:r>
          </w:p>
        </w:tc>
        <w:tc>
          <w:tcPr>
            <w:tcW w:type="dxa" w:w="306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字号 / 字重</w:t>
            </w:r>
          </w:p>
        </w:tc>
        <w:tc>
          <w:tcPr>
            <w:tcW w:type="dxa" w:w="311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字体</w:t>
            </w:r>
          </w:p>
        </w:tc>
        <w:tc>
          <w:tcPr>
            <w:tcW w:type="dxa" w:w="6236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页面标题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18px / 中粗</w:t>
            </w:r>
          </w:p>
        </w:tc>
        <w:tc>
          <w:tcPr>
            <w:tcW w:type="dxa" w:w="311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微软雅黑（中文）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顶部当前页面名称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区块 / 卡片标题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15px / 中粗</w:t>
            </w:r>
          </w:p>
        </w:tc>
        <w:tc>
          <w:tcPr>
            <w:tcW w:type="dxa" w:w="311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微软雅黑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卡片、弹窗、分区标题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正文 / 表格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14px / 常规</w:t>
            </w:r>
          </w:p>
        </w:tc>
        <w:tc>
          <w:tcPr>
            <w:tcW w:type="dxa" w:w="311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微软雅黑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表单值、表格、菜单（基准字号）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辅助说明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12px / 常规</w:t>
            </w:r>
          </w:p>
        </w:tc>
        <w:tc>
          <w:tcPr>
            <w:tcW w:type="dxa" w:w="311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微软雅黑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字段提示、时间、次要信息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关键数字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14–20px / 中粗，等宽数字</w:t>
            </w:r>
          </w:p>
        </w:tc>
        <w:tc>
          <w:tcPr>
            <w:tcW w:type="dxa" w:w="311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数字用 Consolas / Roboto Mono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金额、数量、账龄，千分位对齐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禁用全局缩放字体以外的艺术字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不使用斜体、艺术字与多种字体混搭</w:t>
            </w:r>
          </w:p>
        </w:tc>
        <w:tc>
          <w:tcPr>
            <w:tcW w:type="dxa" w:w="311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保持工具型软件的克制一致</w:t>
            </w:r>
          </w:p>
        </w:tc>
      </w:tr>
    </w:tbl>
    <w:p>
      <w:pPr>
        <w:spacing w:line="240" w:lineRule="auto" w:before="0" w:after="40"/>
        <w:ind/>
      </w:pP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中文统一微软雅黑（缺字时回退系统默认黑体），数字与英文使用等宽 / 半角字体以便纵向对齐；金额一律右对齐、带千分位与两位小数，单位（元 / kg / 吨）在表头统一标注，不在单元格内重复。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7.3  导航与菜单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左侧导航按业务主线分组：工作台、客户跟进、材料牌号库、样品、报价、订单送货、对账回款、采购库存、基础设置（字典维护、提醒与备份参数、外观偏好、关于 / 变更记录，模块职责见表 2-1）。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当前页面导航项用主色浅底 #E8F1F9 + 左侧 3px 主色竖条 + 主色文字；悬停用 #F5F6F8。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导航项有未读 / 到期事项时，右侧显示数字角标（红点规则见 7.7）；展开 / 折叠状态写入本地配置记忆。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主内容区顶部提供面包屑（如 对账回款 / 对账单详情），二级页面可返回上一级且保留列表筛选状态。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7.4  数据表格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041"/>
        <w:gridCol w:w="12984"/>
      </w:tblGrid>
      <w:tr>
        <w:trPr>
          <w:cantSplit/>
          <w:tblHeader w:val="true"/>
        </w:trPr>
        <w:tc>
          <w:tcPr>
            <w:tcW w:type="dxa" w:w="204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要素</w:t>
            </w:r>
          </w:p>
        </w:tc>
        <w:tc>
          <w:tcPr>
            <w:tcW w:type="dxa" w:w="12983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规格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表头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固定不随滚动移动，浅灰底 #F2F2F2、中粗；长表翻页 / 滚动时保持可见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斑马纹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隔行 #FAFAFA，纯白与极浅灰交替，提升横向跟随性，不使用彩色斑马纹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对齐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文本左对齐、短枚举居中、金额 / 数量右对齐；整列对齐方式保持一致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状态列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统一“色点 + 状态徽章”，颜色取自第 6.5，宽度固定避免跳动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排序 / 筛选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可排序列表头带箭头；常用筛选置于表头或顶部筛选条，筛选条件可一键清空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行操作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悬停行末出现“编辑 / 更多”文字按钮，不默认堆满图标；危险操作（删除）收入更多菜单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选择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首列复选框，选中行用主色浅底；支持全选当前页与跨页选择提示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空状态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无数据时居中空状态插画位 + 一句话说明 + 主操作按钮（如“新增客户”），不留一片空白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加载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翻页 / 检索时用骨架屏或行级加载，不整页闪烁；加载失败显示重试，不清空已填筛选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分页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右下角显示总数与每页条数（可切 20/50/100），单人数据默认 50 条 / 页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7.5  表单与校验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041"/>
        <w:gridCol w:w="12984"/>
      </w:tblGrid>
      <w:tr>
        <w:trPr>
          <w:cantSplit/>
          <w:tblHeader w:val="true"/>
        </w:trPr>
        <w:tc>
          <w:tcPr>
            <w:tcW w:type="dxa" w:w="204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要素</w:t>
            </w:r>
          </w:p>
        </w:tc>
        <w:tc>
          <w:tcPr>
            <w:tcW w:type="dxa" w:w="12983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规格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标签与布局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标签右对齐、统一宽度（建议 96–120px），输入框左对齐成一列；弹窗表单用上下结构亦可，但同一弹窗内统一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必填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必填项标签前加红色 *（#D54941），并在提交时统一校验，不允许漏填后无提示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校验时机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输入中不打断；失焦做格式校验，提交时做整体校验；错误定位到第一个异常字段并滚动到可视区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错误呈现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输入框变红边 #D54941，下方 12px 红字说明原因与正确示例，修正后立即消失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默认值与占位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能合理默认的（如日期=今天、负责人=本人）预填；占位符用 #A6ABB3 提示格式，提交时不作为真实值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下拉 / 字典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销售阶段、状态等用字典下拉，支持搜索与（管理员=本人）维护选项，不允许自由文本造成状态分裂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数字 / 日期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数字限定输入并千分位显示；日期用日期控件，统一 YYYY-MM-DD，时间 YYYY-MM-DD HH:mm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未保存保护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表单有改动后关闭页面 / 弹窗走第 5 章拦截；离开时标题或标签显示小圆点提示“已修改未保存”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7.6  按钮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按钮分五类，颜色严格引用第 6.6；每个区域只允许一个主按钮（最主要动作），其余为次按钮，避免多个蓝色主按钮争夺注意力。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927"/>
        <w:gridCol w:w="4876"/>
        <w:gridCol w:w="5386"/>
        <w:gridCol w:w="2835"/>
      </w:tblGrid>
      <w:tr>
        <w:trPr>
          <w:cantSplit/>
          <w:tblHeader w:val="true"/>
        </w:trPr>
        <w:tc>
          <w:tcPr>
            <w:tcW w:type="dxa" w:w="192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4876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用途</w:t>
            </w:r>
          </w:p>
        </w:tc>
        <w:tc>
          <w:tcPr>
            <w:tcW w:type="dxa" w:w="5386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默认样式</w:t>
            </w:r>
          </w:p>
        </w:tc>
        <w:tc>
          <w:tcPr>
            <w:tcW w:type="dxa" w:w="2835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尺寸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主按钮</w:t>
            </w:r>
          </w:p>
        </w:tc>
        <w:tc>
          <w:tcPr>
            <w:tcW w:type="dxa" w:w="487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保存、确认、新增等主要动作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主色底白字，悬停加深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高 32px，左右内边距 16px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次按钮</w:t>
            </w:r>
          </w:p>
        </w:tc>
        <w:tc>
          <w:tcPr>
            <w:tcW w:type="dxa" w:w="487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取消、返回、次要操作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白底灰描边深字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同主按钮等高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描边 / 文字按钮</w:t>
            </w:r>
          </w:p>
        </w:tc>
        <w:tc>
          <w:tcPr>
            <w:tcW w:type="dxa" w:w="487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表格行内、轻量操作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无底色，主色文字，悬停下划线 / 浅底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高 28px（紧凑）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危险按钮</w:t>
            </w:r>
          </w:p>
        </w:tc>
        <w:tc>
          <w:tcPr>
            <w:tcW w:type="dxa" w:w="487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删除、不保存退出、还原覆盖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白底红描边红字，悬停浅红底；高危操作二次确认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同主按钮等高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禁用按钮</w:t>
            </w:r>
          </w:p>
        </w:tc>
        <w:tc>
          <w:tcPr>
            <w:tcW w:type="dxa" w:w="487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条件未满足（如未填必填项）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灰底 #EFF0F2、字 #A6ABB3，不可点且不响应悬停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同原类型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7.7  反馈、弹窗与状态提示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381"/>
        <w:gridCol w:w="12644"/>
      </w:tblGrid>
      <w:tr>
        <w:trPr>
          <w:cantSplit/>
          <w:tblHeader w:val="true"/>
        </w:trPr>
        <w:tc>
          <w:tcPr>
            <w:tcW w:type="dxa" w:w="238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反馈形式</w:t>
            </w:r>
          </w:p>
        </w:tc>
        <w:tc>
          <w:tcPr>
            <w:tcW w:type="dxa" w:w="12643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使用场景与规格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Toast 轻提示</w:t>
            </w:r>
          </w:p>
        </w:tc>
        <w:tc>
          <w:tcPr>
            <w:tcW w:type="dxa" w:w="1264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保存成功、复制完成等无需决策的反馈，右上角出现 2–3 秒自动消失，不打断操作；成功绿 / 失败红 / 普通信息蓝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对话框 Modal</w:t>
            </w:r>
          </w:p>
        </w:tc>
        <w:tc>
          <w:tcPr>
            <w:tcW w:type="dxa" w:w="1264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需要用户决策（删除、未保存退出、还原）时居中弹出，带遮罩；主按钮在右、默认聚焦安全项（如“保存并退出”）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确认强度分级</w:t>
            </w:r>
          </w:p>
        </w:tc>
        <w:tc>
          <w:tcPr>
            <w:tcW w:type="dxa" w:w="1264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普通操作一步确认；删除 / 覆盖备份等不可逆操作，要求二次确认或输入确认，按钮用危险样式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行内 / 顶部提示条</w:t>
            </w:r>
          </w:p>
        </w:tc>
        <w:tc>
          <w:tcPr>
            <w:tcW w:type="dxa" w:w="1264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列表级提醒（如存在超期回款）用可关闭的浅色提示条，颜色取第 6.4 浅底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加载 / 骨架屏</w:t>
            </w:r>
          </w:p>
        </w:tc>
        <w:tc>
          <w:tcPr>
            <w:tcW w:type="dxa" w:w="1264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首屏与翻页用骨架屏；长任务（备份、导出、还原）用带百分比的进度条且禁止重复点击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空状态 / 无结果</w:t>
            </w:r>
          </w:p>
        </w:tc>
        <w:tc>
          <w:tcPr>
            <w:tcW w:type="dxa" w:w="1264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区分“暂无数据（去新增）”与“筛选无结果（清空筛选）”，分别给对应动作按钮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红点 / 角标</w:t>
            </w:r>
          </w:p>
        </w:tc>
        <w:tc>
          <w:tcPr>
            <w:tcW w:type="dxa" w:w="1264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导航与待办上的数字角标用危险红 #D54941、白字；仅提醒数量，点击进入后清除；无数量时用小红点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7.8  工作台与阶段看板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顶部为关键指标卡：本月销售额、本月回款、应收未收、待跟进 / 超期数量；数字用等宽字体，超期数红色。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客户阶段看板按第 2.3 的六阶段分列，列头显示阶段名 + 数量并带对应状态色点；卡片显示客户、材料体系、下次跟进日。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卡片可拖拽改变阶段，拖动时校验流转规则（不允许的跳转给出说明并回弹）；跨阶段变更自动写入跟进记录。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今日待办按“超期（红）→ 今日到期（琥珀）→ 未来计划（中性）”排序，点击直达对应单据。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7.9  快捷键与右键菜单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814"/>
        <w:gridCol w:w="5670"/>
        <w:gridCol w:w="1814"/>
        <w:gridCol w:w="5726"/>
      </w:tblGrid>
      <w:tr>
        <w:trPr>
          <w:cantSplit/>
          <w:tblHeader w:val="true"/>
        </w:trPr>
        <w:tc>
          <w:tcPr>
            <w:tcW w:type="dxa" w:w="181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快捷键</w:t>
            </w:r>
          </w:p>
        </w:tc>
        <w:tc>
          <w:tcPr>
            <w:tcW w:type="dxa" w:w="5669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动作</w:t>
            </w:r>
          </w:p>
        </w:tc>
        <w:tc>
          <w:tcPr>
            <w:tcW w:type="dxa" w:w="181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快捷键</w:t>
            </w:r>
          </w:p>
        </w:tc>
        <w:tc>
          <w:tcPr>
            <w:tcW w:type="dxa" w:w="5726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动作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Ctrl+N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快速新增当前模块单据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Ctrl+F</w:t>
            </w:r>
          </w:p>
        </w:tc>
        <w:tc>
          <w:tcPr>
            <w:tcW w:type="dxa" w:w="572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聚焦当前列表搜索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Ctrl+S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保存当前表单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Esc</w:t>
            </w:r>
          </w:p>
        </w:tc>
        <w:tc>
          <w:tcPr>
            <w:tcW w:type="dxa" w:w="572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关闭弹层 / 弹窗（不退出程序）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Ctrl+Q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真正退出程序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Ctrl+D</w:t>
            </w:r>
          </w:p>
        </w:tc>
        <w:tc>
          <w:tcPr>
            <w:tcW w:type="dxa" w:w="572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打开今日待办 / 工作台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Ctrl+E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导出当前列表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F5</w:t>
            </w:r>
          </w:p>
        </w:tc>
        <w:tc>
          <w:tcPr>
            <w:tcW w:type="dxa" w:w="572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刷新当前列表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Enter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对话框中触发主按钮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Delete</w:t>
            </w:r>
          </w:p>
        </w:tc>
        <w:tc>
          <w:tcPr>
            <w:tcW w:type="dxa" w:w="572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列表中删除（仍弹二次确认）</w:t>
            </w:r>
          </w:p>
        </w:tc>
      </w:tr>
    </w:tbl>
    <w:p>
      <w:pPr>
        <w:spacing w:line="240" w:lineRule="auto" w:before="0" w:after="40"/>
        <w:ind/>
      </w:pP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列表行、输入框、看板卡片提供右键上下文菜单，动作与行内“更多”保持一致并按权限（本人即全部）置灰不可用项；快捷键在设置中可查，全程序一致、不与系统常用快捷键冲突。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7.10  窗口适配与可访问性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兼容 Windows 10/11 在 100%、125%、150% 缩放下的显示，布局使用弹性栅格，图标与文字不重叠、不裁切。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支持键盘完整操作：Tab 顺序与视觉顺序一致，聚焦框用主色描边清晰可见；常用动作可由快捷键完成。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在最小窗口 1024×640 下仍可完整完成新增、查询、保存；超出时内部滚动而非整体变形。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颜色之外同时用文字 / 图标 / 形状传达状态（见 6.7）；关键按钮图标旁配文字，不只用含义模糊的小图标。</w:t>
      </w:r>
    </w:p>
    <w:p>
      <w:pPr>
        <w:spacing w:after="0"/>
      </w:pPr>
      <w:r>
        <w:br w:type="page"/>
      </w:r>
    </w:p>
    <w:p>
      <w:pPr>
        <w:pStyle w:val="3"/>
        <w:keepNext/>
        <w:spacing w:before="280" w:after="120" w:line="336" w:lineRule="auto"/>
      </w:pPr>
      <w:r>
        <w:rPr>
          <w:rFonts w:ascii="Arial" w:hAnsi="Arial" w:eastAsia="黑体"/>
          <w:b/>
          <w:color w:val="000000"/>
          <w:sz w:val="32"/>
        </w:rPr>
        <w:t>8  实施计划与验收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按“先底座、再业务、后打磨”的顺序推进，每阶段都有可运行产物与明确验收点；周期以单人 / 小团队可投入的相对周次估算，实际起止日期在立项时回填，本文不预设绝对日期。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8.1  阶段划分</w:t>
      </w:r>
    </w:p>
    <w:p>
      <w:pPr>
        <w:keepNext/>
        <w:spacing w:line="360" w:lineRule="auto" w:before="80" w:after="60"/>
        <w:ind/>
        <w:jc w:val="center"/>
      </w:pPr>
      <w:r>
        <w:rPr>
          <w:rFonts w:ascii="Arial" w:hAnsi="Arial" w:eastAsia="宋体"/>
          <w:color w:val="000000"/>
          <w:sz w:val="21"/>
        </w:rPr>
        <w:t>表 8-1  实施阶段、产出与验收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701"/>
        <w:gridCol w:w="2608"/>
        <w:gridCol w:w="4762"/>
        <w:gridCol w:w="4252"/>
        <w:gridCol w:w="1701"/>
      </w:tblGrid>
      <w:tr>
        <w:trPr>
          <w:cantSplit/>
          <w:tblHeader w:val="true"/>
        </w:trPr>
        <w:tc>
          <w:tcPr>
            <w:tcW w:type="dxa" w:w="170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260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目标</w:t>
            </w:r>
          </w:p>
        </w:tc>
        <w:tc>
          <w:tcPr>
            <w:tcW w:type="dxa" w:w="476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主要工作</w:t>
            </w:r>
          </w:p>
        </w:tc>
        <w:tc>
          <w:tcPr>
            <w:tcW w:type="dxa" w:w="425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阶段产出 / 验收点</w:t>
            </w:r>
          </w:p>
        </w:tc>
        <w:tc>
          <w:tcPr>
            <w:tcW w:type="dxa" w:w="170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建议周期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P1 技术底座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跑通便携外壳与本地库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Tauri+Vue 工程骨架、便携目录、SQLite 连接、单实例、打开 / 关闭主链路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绿色目录双击可开可关、换盘换电脑数据不丢、关闭自动备份生效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第 1–2 周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P2 核心业务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打通客户到回款主线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客户跟进、牌号库、样品、报价、订单送货、对账回款、采购库存、工作台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第 2 章字段与状态流转全部可增删改查、状态可按规则流转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第 3–6 周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P3 视觉与交互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统一颜色与 UI 细节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落地设计令牌、状态徽章、表格 / 表单 / 按钮 / 反馈、看板、快捷键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对照第 6、7 章与附录 A 逐项验收，无第二种主色、无默认蓝残留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第 7–8 周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P4 打包与验收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绿色交付与可靠性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打包绿色目录 / 压缩包、断网与非管理员验证、异常关闭恢复、导出、回归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全新账户与 U 盘环境全功能通过，达到第 3.7 指标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第 9–10 周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8.2  关键验收清单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814"/>
        <w:gridCol w:w="13211"/>
      </w:tblGrid>
      <w:tr>
        <w:trPr>
          <w:cantSplit/>
          <w:tblHeader w:val="true"/>
        </w:trPr>
        <w:tc>
          <w:tcPr>
            <w:tcW w:type="dxa" w:w="181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13209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必须通过的验收项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打开</w:t>
            </w:r>
          </w:p>
        </w:tc>
        <w:tc>
          <w:tcPr>
            <w:tcW w:type="dxa" w:w="1320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双击 ≤ 指标时间进入工作台；重复打开只激活原窗口；异常关闭后出现恢复流程且不丢已提交数据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关闭</w:t>
            </w:r>
          </w:p>
        </w:tc>
        <w:tc>
          <w:tcPr>
            <w:tcW w:type="dxa" w:w="1320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未保存可拦截；正常退出完成备份并写退出标志；进程无残留、U 盘可安全弹出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颜色</w:t>
            </w:r>
          </w:p>
        </w:tc>
        <w:tc>
          <w:tcPr>
            <w:tcW w:type="dxa" w:w="1320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所有颜色取自第 6 章令牌；状态与颜色一一对应；正文对比度达标；状态不只靠颜色区分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UI</w:t>
            </w:r>
          </w:p>
        </w:tc>
        <w:tc>
          <w:tcPr>
            <w:tcW w:type="dxa" w:w="1320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100%/125%/150% 缩放不错位；表格对齐统一；表单校验与错误态完整；快捷键全程序一致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便携 / 离线</w:t>
            </w:r>
          </w:p>
        </w:tc>
        <w:tc>
          <w:tcPr>
            <w:tcW w:type="dxa" w:w="1320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非管理员、断网、U 盘换盘换机均正常；数据仅在便携目录；可导出 Excel/CSV 兜底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8.3  预期收益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041"/>
        <w:gridCol w:w="12984"/>
      </w:tblGrid>
      <w:tr>
        <w:trPr>
          <w:cantSplit/>
          <w:tblHeader w:val="true"/>
        </w:trPr>
        <w:tc>
          <w:tcPr>
            <w:tcW w:type="dxa" w:w="204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收益维度</w:t>
            </w:r>
          </w:p>
        </w:tc>
        <w:tc>
          <w:tcPr>
            <w:tcW w:type="dxa" w:w="12983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进度不遗漏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客户阶段、跟进 / 回签 / 回款到期统一提醒，超期自动标红，替代分散的表格与记忆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数据随身安全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U 盘即系统，自动备份 + 导出兜底，单机离线不依赖网络与第三方账号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零部署低成本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免安装、免运维、无订阅费用，拷贝即用，适合单人长期使用与低成本迭代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体验一致高效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统一颜色与控件规范，降低误操作；快捷键与看板让每日跟进、对账更快完成</w:t>
            </w:r>
          </w:p>
        </w:tc>
      </w:tr>
    </w:tbl>
    <w:p>
      <w:pPr>
        <w:spacing w:line="240" w:lineRule="auto" w:before="0" w:after="40"/>
        <w:ind/>
      </w:pPr>
    </w:p>
    <w:p>
      <w:pPr>
        <w:spacing w:after="0"/>
      </w:pPr>
      <w:r>
        <w:br w:type="page"/>
      </w:r>
    </w:p>
    <w:p>
      <w:pPr>
        <w:pStyle w:val="4"/>
      </w:pPr>
      <w:r>
        <w:t>8.4  测试策略与验收用例</w:t>
      </w:r>
    </w:p>
    <w:p>
      <w:r>
        <w:t>第 8.2 节验收清单每一项转化为可勾选的手工用例（编号、步骤、预期），随版本累积；自动化测试要求如下。</w:t>
      </w:r>
    </w:p>
    <w:p>
      <w:r>
        <w:t>表 8-2  测试要求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041"/>
        <w:gridCol w:w="12984"/>
      </w:tblGrid>
      <w:tr>
        <w:trPr>
          <w:cantSplit/>
          <w:tblHeader w:val="true"/>
        </w:trPr>
        <w:tc>
          <w:tcPr>
            <w:tcW w:type="dxa" w:w="204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类别</w:t>
            </w:r>
          </w:p>
        </w:tc>
        <w:tc>
          <w:tcPr>
            <w:tcW w:type="dxa" w:w="12983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要求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单元测试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Rust 侧状态流转规则、账龄计算、备份 / 还原模块须有自动化测试，关键分支覆盖率 ≥ 80%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集成测试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打开 / 关闭主链路、事务回滚、单实例互斥、Excel 导入各至少 1 条自动化用例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手工验收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第 8.2 节清单逐项转化为用例（编号、步骤、预期），存放于工程 tests/acceptance 目录，每阶段交付前全量执行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回归范围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涉及启动 / 关闭 / 备份的改动，加做断电与强杀专项验证（配合第 4.4、5.5 节）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双轨核对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试运行前 4 周与既有 Excel 台账并行记录，每周核对一次一致性（见 8.5 节）</w:t>
            </w:r>
          </w:p>
        </w:tc>
      </w:tr>
    </w:tbl>
    <w:p/>
    <w:p>
      <w:pPr>
        <w:pStyle w:val="4"/>
      </w:pPr>
      <w:r>
        <w:t>8.5  上线后评估机制</w:t>
      </w:r>
    </w:p>
    <w:p>
      <w:r>
        <w:t>上线后按下列节点评估，对照第 1.5 节量化目标核验达成情况；评估结论写入程序“关于 / 变更记录”并同步回填本规范。</w:t>
      </w:r>
    </w:p>
    <w:p>
      <w:r>
        <w:t>表 8-3  评估节点与动作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041"/>
        <w:gridCol w:w="12984"/>
      </w:tblGrid>
      <w:tr>
        <w:trPr>
          <w:cantSplit/>
          <w:tblHeader w:val="true"/>
        </w:trPr>
        <w:tc>
          <w:tcPr>
            <w:tcW w:type="dxa" w:w="204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节点</w:t>
            </w:r>
          </w:p>
        </w:tc>
        <w:tc>
          <w:tcPr>
            <w:tcW w:type="dxa" w:w="12983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动作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试运行期（第 1 个月）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每日记录使用问题；第 2–4 周双轨核对；期满决定是否正式弃用 Excel 台账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上线满 1 个月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核对跟进超期率、月度对账耗时、备份成功率与异常关闭次数（自 logs 统计）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上线满 3 个月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数据量与性能对照第 3.7 节实测复盘；汇总改进需求，评估是否升主版本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持续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每次变更登记于“关于 / 变更记录”，与本文第 1.4 节版本约定同步</w:t>
            </w:r>
          </w:p>
        </w:tc>
      </w:tr>
    </w:tbl>
    <w:p/>
    <w:p>
      <w:pPr>
        <w:pStyle w:val="3"/>
      </w:pPr>
      <w:r>
        <w:t>9  风险分析与应对</w:t>
      </w:r>
    </w:p>
    <w:p>
      <w:r>
        <w:t>本章登记本程序全生命周期的主要风险与应对措施；风险表随版本评审更新，新增风险按“编号 + 等级 + 应对”补登，并在“变更记录”与本文同步。</w:t>
      </w:r>
    </w:p>
    <w:p>
      <w:pPr>
        <w:pStyle w:val="4"/>
      </w:pPr>
      <w:r>
        <w:t>9.1  风险登记表</w:t>
      </w:r>
    </w:p>
    <w:p>
      <w:r>
        <w:t>表 9-1  风险登记与应对措施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927"/>
        <w:gridCol w:w="3175"/>
        <w:gridCol w:w="2381"/>
        <w:gridCol w:w="2268"/>
        <w:gridCol w:w="2608"/>
        <w:gridCol w:w="2664"/>
      </w:tblGrid>
      <w:tr>
        <w:trPr>
          <w:cantSplit/>
          <w:tblHeader w:val="true"/>
        </w:trPr>
        <w:tc>
          <w:tcPr>
            <w:tcW w:type="dxa" w:w="192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编号</w:t>
            </w:r>
          </w:p>
        </w:tc>
        <w:tc>
          <w:tcPr>
            <w:tcW w:type="dxa" w:w="3175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风险</w:t>
            </w:r>
          </w:p>
        </w:tc>
        <w:tc>
          <w:tcPr>
            <w:tcW w:type="dxa" w:w="238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等级</w:t>
            </w:r>
          </w:p>
        </w:tc>
        <w:tc>
          <w:tcPr>
            <w:tcW w:type="dxa" w:w="226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影响</w:t>
            </w:r>
          </w:p>
        </w:tc>
        <w:tc>
          <w:tcPr>
            <w:tcW w:type="dxa" w:w="260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应对措施</w:t>
            </w:r>
          </w:p>
        </w:tc>
        <w:tc>
          <w:tcPr>
            <w:tcW w:type="dxa" w:w="2665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责任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R1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U 盘丢失 / 被盗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高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客户、价格与应收信息泄露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首次建档后引导开启本地口令（4.5 节）；成本、单价等敏感字段库内加密存储；坚持每周异地备份（R2）</w:t>
            </w:r>
          </w:p>
        </w:tc>
        <w:tc>
          <w:tcPr>
            <w:tcW w:type="dxa" w:w="266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本人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R2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备份与主库同盘损坏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高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U 盘损坏即数据与备份同时丢失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每周复制 backup 至非 U 盘介质（3.5 节异地容灾）；月底对账后另存台账导出</w:t>
            </w:r>
          </w:p>
        </w:tc>
        <w:tc>
          <w:tcPr>
            <w:tcW w:type="dxa" w:w="266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本人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R3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单人维护断档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中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无人可重建或修复程序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源码与构建说明归档于非 U 盘位置；本文与附录 B 保证库结构可被任意 SQLite 工具读取</w:t>
            </w:r>
          </w:p>
        </w:tc>
        <w:tc>
          <w:tcPr>
            <w:tcW w:type="dxa" w:w="266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本人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R4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杀毒软件误报 / 拦截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中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程序无法启动或被隔离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单一可信来源发布、必要时代码签名；发布前经 Defender / 360 / 火绒实测记录；提供可信目录添加指引，不要求关闭防护</w:t>
            </w:r>
          </w:p>
        </w:tc>
        <w:tc>
          <w:tcPr>
            <w:tcW w:type="dxa" w:w="266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开发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R5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Windows 大版本更新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中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运行或显示异常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明确支持范围 Win10 / 11（7.10 节）；系统大更新后执行 8.2 节清单回归</w:t>
            </w:r>
          </w:p>
        </w:tc>
        <w:tc>
          <w:tcPr>
            <w:tcW w:type="dxa" w:w="266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开发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R6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依赖生态变动（Tauri 2 等）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中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升级引发不兼容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锁定依赖版本号；升级按次版本变更走 8.4 节回归；组件库经令牌层隔离、可替换（3.3 节）</w:t>
            </w:r>
          </w:p>
        </w:tc>
        <w:tc>
          <w:tcPr>
            <w:tcW w:type="dxa" w:w="266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开发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R7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数据量超预期增长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低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查询性能劣化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3.7 节已按三年百 MB 预估；附件存文件系统、库内只存路径；必要时归档历史数据</w:t>
            </w:r>
          </w:p>
        </w:tc>
        <w:tc>
          <w:tcPr>
            <w:tcW w:type="dxa" w:w="266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开发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R8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误操作 / 脏数据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低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台账错误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前后端双重校验（3.3 节）；删除二次确认（7.7 节）；状态回退留痕（2.3 节）</w:t>
            </w:r>
          </w:p>
        </w:tc>
        <w:tc>
          <w:tcPr>
            <w:tcW w:type="dxa" w:w="266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程序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R9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U 盘介质劣化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低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反复异常关闭、数据丢失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连续异常关闭主动提示（5.5 节）；选用 USB 3.0 及以上品牌 U 盘并保持双份数据</w:t>
            </w:r>
          </w:p>
        </w:tc>
        <w:tc>
          <w:tcPr>
            <w:tcW w:type="dxa" w:w="266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本人</w:t>
            </w:r>
          </w:p>
        </w:tc>
      </w:tr>
    </w:tbl>
    <w:p/>
    <w:p>
      <w:pPr>
        <w:pStyle w:val="4"/>
      </w:pPr>
      <w:r>
        <w:t>9.2  风险复查</w:t>
      </w:r>
    </w:p>
    <w:p>
      <w:r>
        <w:t>每次版本评审核对风险表：已消除的风险标记关闭并保留记录；新风险补登编号、等级与应对，并同步“变更记录”。</w:t>
      </w:r>
    </w:p>
    <w:p>
      <w:pPr>
        <w:pStyle w:val="4"/>
      </w:pPr>
      <w:r>
        <w:t>9.3  支持资源与维护约定</w:t>
      </w:r>
    </w:p>
    <w:p>
      <w:r>
        <w:t>表 9-2  支持资源与维护约定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041"/>
        <w:gridCol w:w="12984"/>
      </w:tblGrid>
      <w:tr>
        <w:trPr>
          <w:cantSplit/>
          <w:tblHeader w:val="true"/>
        </w:trPr>
        <w:tc>
          <w:tcPr>
            <w:tcW w:type="dxa" w:w="204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事项</w:t>
            </w:r>
          </w:p>
        </w:tc>
        <w:tc>
          <w:tcPr>
            <w:tcW w:type="dxa" w:w="12983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约定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用户上手指引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程序内置“帮助”页（常用操作、备份与还原步骤图文说明）；恢复备份操作另备一份纸质指引随 U 盘存放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源码归档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源码与构建说明存放于非 U 盘位置，每次发布同步归档一份（对应 R3）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更新分发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更新即发布新绿色目录压缩包；覆盖升级前自动备份并执行库版本迁移校验，失败可回退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变更记录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程序“关于 / 变更记录”页登记每次变更（1.4 节），与本规范同步回填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介质与预算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建议使用 USB 3.0 及以上品牌 U 盘（直接影响 3.7 节启动与备份指标）；代码签名证书为可选支出，仅在误报影响使用时购买（R4）</w:t>
            </w:r>
          </w:p>
        </w:tc>
      </w:tr>
    </w:tbl>
    <w:p/>
    <w:p>
      <w:pPr>
        <w:pStyle w:val="3"/>
        <w:keepNext/>
        <w:spacing w:before="280" w:after="120" w:line="336" w:lineRule="auto"/>
      </w:pPr>
      <w:r>
        <w:rPr>
          <w:rFonts w:ascii="Arial" w:hAnsi="Arial" w:eastAsia="黑体"/>
          <w:b/>
          <w:color w:val="000000"/>
          <w:sz w:val="32"/>
        </w:rPr>
        <w:t>附录 A  业务状态—颜色—文案—控件对照总表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本表为开发落地的单一对照表：实现状态徽章、列表状态列、看板与提醒时直接取本表色值与文案，不得另行选色。前景文字色、浅底色、深色（色点 / 文字）配套使用。</w:t>
      </w:r>
    </w:p>
    <w:p>
      <w:pPr>
        <w:keepNext/>
        <w:spacing w:line="360" w:lineRule="auto" w:before="80" w:after="60"/>
        <w:ind/>
        <w:jc w:val="center"/>
      </w:pPr>
      <w:r>
        <w:rPr>
          <w:rFonts w:ascii="Arial" w:hAnsi="Arial" w:eastAsia="宋体"/>
          <w:color w:val="000000"/>
          <w:sz w:val="21"/>
        </w:rPr>
        <w:t>表 A.1  状态—颜色—文案—呈现—动作 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134"/>
        <w:gridCol w:w="1814"/>
        <w:gridCol w:w="2268"/>
        <w:gridCol w:w="1701"/>
        <w:gridCol w:w="1587"/>
        <w:gridCol w:w="3005"/>
        <w:gridCol w:w="3515"/>
      </w:tblGrid>
      <w:tr>
        <w:trPr>
          <w:cantSplit/>
          <w:tblHeader w:val="true"/>
        </w:trPr>
        <w:tc>
          <w:tcPr>
            <w:tcW w:type="dxa" w:w="113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对象</w:t>
            </w:r>
          </w:p>
        </w:tc>
        <w:tc>
          <w:tcPr>
            <w:tcW w:type="dxa" w:w="181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状态</w:t>
            </w:r>
          </w:p>
        </w:tc>
        <w:tc>
          <w:tcPr>
            <w:tcW w:type="dxa" w:w="226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深色(色点/文字)</w:t>
            </w:r>
          </w:p>
        </w:tc>
        <w:tc>
          <w:tcPr>
            <w:tcW w:type="dxa" w:w="170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浅底(徽章底)</w:t>
            </w:r>
          </w:p>
        </w:tc>
        <w:tc>
          <w:tcPr>
            <w:tcW w:type="dxa" w:w="1587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徽章文案</w:t>
            </w:r>
          </w:p>
        </w:tc>
        <w:tc>
          <w:tcPr>
            <w:tcW w:type="dxa" w:w="3005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列表呈现</w:t>
            </w:r>
          </w:p>
        </w:tc>
        <w:tc>
          <w:tcPr>
            <w:tcW w:type="dxa" w:w="3515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主要动作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客户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潜在客户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#8A9099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#F0F1F3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潜在</w:t>
            </w:r>
          </w:p>
        </w:tc>
        <w:tc>
          <w:tcPr>
            <w:tcW w:type="dxa" w:w="300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灰点+灰徽章</w:t>
            </w:r>
          </w:p>
        </w:tc>
        <w:tc>
          <w:tcPr>
            <w:tcW w:type="dxa" w:w="351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推进到“初步接触”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客户</w:t>
            </w:r>
          </w:p>
        </w:tc>
        <w:tc>
          <w:tcPr>
            <w:tcW w:type="dxa" w:w="181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初步接触</w:t>
            </w:r>
          </w:p>
        </w:tc>
        <w:tc>
          <w:tcPr>
            <w:tcW w:type="dxa" w:w="2268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#2B6CB0</w:t>
            </w:r>
          </w:p>
        </w:tc>
        <w:tc>
          <w:tcPr>
            <w:tcW w:type="dxa" w:w="1701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#E8F1F9</w:t>
            </w:r>
          </w:p>
        </w:tc>
        <w:tc>
          <w:tcPr>
            <w:tcW w:type="dxa" w:w="1587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接触中</w:t>
            </w:r>
          </w:p>
        </w:tc>
        <w:tc>
          <w:tcPr>
            <w:tcW w:type="dxa" w:w="300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蓝点+浅蓝徽章</w:t>
            </w:r>
          </w:p>
        </w:tc>
        <w:tc>
          <w:tcPr>
            <w:tcW w:type="dxa" w:w="351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送样 / 推进阶段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客户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送样测试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#0E8A8A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#E4F4F4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送样测试</w:t>
            </w:r>
          </w:p>
        </w:tc>
        <w:tc>
          <w:tcPr>
            <w:tcW w:type="dxa" w:w="300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青点+浅青徽章</w:t>
            </w:r>
          </w:p>
        </w:tc>
        <w:tc>
          <w:tcPr>
            <w:tcW w:type="dxa" w:w="351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登记样品与反馈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客户</w:t>
            </w:r>
          </w:p>
        </w:tc>
        <w:tc>
          <w:tcPr>
            <w:tcW w:type="dxa" w:w="181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报价谈判</w:t>
            </w:r>
          </w:p>
        </w:tc>
        <w:tc>
          <w:tcPr>
            <w:tcW w:type="dxa" w:w="2268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#D98A09</w:t>
            </w:r>
          </w:p>
        </w:tc>
        <w:tc>
          <w:tcPr>
            <w:tcW w:type="dxa" w:w="1701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#FDF3E2</w:t>
            </w:r>
          </w:p>
        </w:tc>
        <w:tc>
          <w:tcPr>
            <w:tcW w:type="dxa" w:w="1587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报价中</w:t>
            </w:r>
          </w:p>
        </w:tc>
        <w:tc>
          <w:tcPr>
            <w:tcW w:type="dxa" w:w="300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琥珀点+浅琥珀徽章</w:t>
            </w:r>
          </w:p>
        </w:tc>
        <w:tc>
          <w:tcPr>
            <w:tcW w:type="dxa" w:w="351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出具 / 更新报价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客户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定点量产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#2E9E5B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#E8F6EE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定点量产</w:t>
            </w:r>
          </w:p>
        </w:tc>
        <w:tc>
          <w:tcPr>
            <w:tcW w:type="dxa" w:w="300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绿点+浅绿徽章</w:t>
            </w:r>
          </w:p>
        </w:tc>
        <w:tc>
          <w:tcPr>
            <w:tcW w:type="dxa" w:w="351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维护订单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客户</w:t>
            </w:r>
          </w:p>
        </w:tc>
        <w:tc>
          <w:tcPr>
            <w:tcW w:type="dxa" w:w="181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暂停 / 流失</w:t>
            </w:r>
          </w:p>
        </w:tc>
        <w:tc>
          <w:tcPr>
            <w:tcW w:type="dxa" w:w="2268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#B5655E</w:t>
            </w:r>
          </w:p>
        </w:tc>
        <w:tc>
          <w:tcPr>
            <w:tcW w:type="dxa" w:w="1701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#F7ECEA</w:t>
            </w:r>
          </w:p>
        </w:tc>
        <w:tc>
          <w:tcPr>
            <w:tcW w:type="dxa" w:w="1587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暂停/流失</w:t>
            </w:r>
          </w:p>
        </w:tc>
        <w:tc>
          <w:tcPr>
            <w:tcW w:type="dxa" w:w="300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灰红点+浅灰红徽章</w:t>
            </w:r>
          </w:p>
        </w:tc>
        <w:tc>
          <w:tcPr>
            <w:tcW w:type="dxa" w:w="351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记录原因 / 重新激活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样品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待送样 / 测试中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#8A9099 / #0E8A8A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#F0F1F3 / #E4F4F4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按状态</w:t>
            </w:r>
          </w:p>
        </w:tc>
        <w:tc>
          <w:tcPr>
            <w:tcW w:type="dxa" w:w="300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对应色点徽章</w:t>
            </w:r>
          </w:p>
        </w:tc>
        <w:tc>
          <w:tcPr>
            <w:tcW w:type="dxa" w:w="351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送样 / 登记结果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样品</w:t>
            </w:r>
          </w:p>
        </w:tc>
        <w:tc>
          <w:tcPr>
            <w:tcW w:type="dxa" w:w="181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通过</w:t>
            </w:r>
          </w:p>
        </w:tc>
        <w:tc>
          <w:tcPr>
            <w:tcW w:type="dxa" w:w="2268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#2E9E5B</w:t>
            </w:r>
          </w:p>
        </w:tc>
        <w:tc>
          <w:tcPr>
            <w:tcW w:type="dxa" w:w="1701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#E8F6EE</w:t>
            </w:r>
          </w:p>
        </w:tc>
        <w:tc>
          <w:tcPr>
            <w:tcW w:type="dxa" w:w="1587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测试通过</w:t>
            </w:r>
          </w:p>
        </w:tc>
        <w:tc>
          <w:tcPr>
            <w:tcW w:type="dxa" w:w="300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绿徽章</w:t>
            </w:r>
          </w:p>
        </w:tc>
        <w:tc>
          <w:tcPr>
            <w:tcW w:type="dxa" w:w="351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转报价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样品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不通过 / 待复测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#D54941 / #D98A09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#FCEBEA / #FDF3E2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不通过/复测</w:t>
            </w:r>
          </w:p>
        </w:tc>
        <w:tc>
          <w:tcPr>
            <w:tcW w:type="dxa" w:w="300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红 / 琥珀徽章</w:t>
            </w:r>
          </w:p>
        </w:tc>
        <w:tc>
          <w:tcPr>
            <w:tcW w:type="dxa" w:w="351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登记原因、再送样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订单</w:t>
            </w:r>
          </w:p>
        </w:tc>
        <w:tc>
          <w:tcPr>
            <w:tcW w:type="dxa" w:w="181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待确认 / 备货中</w:t>
            </w:r>
          </w:p>
        </w:tc>
        <w:tc>
          <w:tcPr>
            <w:tcW w:type="dxa" w:w="2268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#8A9099 / #2B6CB0</w:t>
            </w:r>
          </w:p>
        </w:tc>
        <w:tc>
          <w:tcPr>
            <w:tcW w:type="dxa" w:w="1701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#F0F1F3 / #E8F1F9</w:t>
            </w:r>
          </w:p>
        </w:tc>
        <w:tc>
          <w:tcPr>
            <w:tcW w:type="dxa" w:w="1587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按状态</w:t>
            </w:r>
          </w:p>
        </w:tc>
        <w:tc>
          <w:tcPr>
            <w:tcW w:type="dxa" w:w="300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对应色点徽章</w:t>
            </w:r>
          </w:p>
        </w:tc>
        <w:tc>
          <w:tcPr>
            <w:tcW w:type="dxa" w:w="351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确认 / 跟踪备货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订单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已送货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#0E8A8A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#E4F4F4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已送货</w:t>
            </w:r>
          </w:p>
        </w:tc>
        <w:tc>
          <w:tcPr>
            <w:tcW w:type="dxa" w:w="300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青徽章</w:t>
            </w:r>
          </w:p>
        </w:tc>
        <w:tc>
          <w:tcPr>
            <w:tcW w:type="dxa" w:w="351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登记回签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订单</w:t>
            </w:r>
          </w:p>
        </w:tc>
        <w:tc>
          <w:tcPr>
            <w:tcW w:type="dxa" w:w="181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已完成</w:t>
            </w:r>
          </w:p>
        </w:tc>
        <w:tc>
          <w:tcPr>
            <w:tcW w:type="dxa" w:w="2268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#2E9E5B</w:t>
            </w:r>
          </w:p>
        </w:tc>
        <w:tc>
          <w:tcPr>
            <w:tcW w:type="dxa" w:w="1701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#E8F6EE</w:t>
            </w:r>
          </w:p>
        </w:tc>
        <w:tc>
          <w:tcPr>
            <w:tcW w:type="dxa" w:w="1587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已完成</w:t>
            </w:r>
          </w:p>
        </w:tc>
        <w:tc>
          <w:tcPr>
            <w:tcW w:type="dxa" w:w="300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绿徽章</w:t>
            </w:r>
          </w:p>
        </w:tc>
        <w:tc>
          <w:tcPr>
            <w:tcW w:type="dxa" w:w="351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查看 / 导出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订单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逾期未送货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#D54941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#FCEBEA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已逾期</w:t>
            </w:r>
          </w:p>
        </w:tc>
        <w:tc>
          <w:tcPr>
            <w:tcW w:type="dxa" w:w="300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红徽章 + 行提醒</w:t>
            </w:r>
          </w:p>
        </w:tc>
        <w:tc>
          <w:tcPr>
            <w:tcW w:type="dxa" w:w="351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更新交期 / 加急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回款</w:t>
            </w:r>
          </w:p>
        </w:tc>
        <w:tc>
          <w:tcPr>
            <w:tcW w:type="dxa" w:w="181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未到期</w:t>
            </w:r>
          </w:p>
        </w:tc>
        <w:tc>
          <w:tcPr>
            <w:tcW w:type="dxa" w:w="2268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#8A9099</w:t>
            </w:r>
          </w:p>
        </w:tc>
        <w:tc>
          <w:tcPr>
            <w:tcW w:type="dxa" w:w="1701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#F0F1F3</w:t>
            </w:r>
          </w:p>
        </w:tc>
        <w:tc>
          <w:tcPr>
            <w:tcW w:type="dxa" w:w="1587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未到期</w:t>
            </w:r>
          </w:p>
        </w:tc>
        <w:tc>
          <w:tcPr>
            <w:tcW w:type="dxa" w:w="300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灰徽章、金额常规色</w:t>
            </w:r>
          </w:p>
        </w:tc>
        <w:tc>
          <w:tcPr>
            <w:tcW w:type="dxa" w:w="351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查看对账单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回款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临近到期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#D98A09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#FDF3E2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临近到期</w:t>
            </w:r>
          </w:p>
        </w:tc>
        <w:tc>
          <w:tcPr>
            <w:tcW w:type="dxa" w:w="300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琥珀徽章、金额琥珀</w:t>
            </w:r>
          </w:p>
        </w:tc>
        <w:tc>
          <w:tcPr>
            <w:tcW w:type="dxa" w:w="351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催款提醒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回款</w:t>
            </w:r>
          </w:p>
        </w:tc>
        <w:tc>
          <w:tcPr>
            <w:tcW w:type="dxa" w:w="181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已逾期(分档)</w:t>
            </w:r>
          </w:p>
        </w:tc>
        <w:tc>
          <w:tcPr>
            <w:tcW w:type="dxa" w:w="2268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#D54941→#9B2218</w:t>
            </w:r>
          </w:p>
        </w:tc>
        <w:tc>
          <w:tcPr>
            <w:tcW w:type="dxa" w:w="1701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#FCEBEA</w:t>
            </w:r>
          </w:p>
        </w:tc>
        <w:tc>
          <w:tcPr>
            <w:tcW w:type="dxa" w:w="1587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逾期N天</w:t>
            </w:r>
          </w:p>
        </w:tc>
        <w:tc>
          <w:tcPr>
            <w:tcW w:type="dxa" w:w="300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红色随账龄加深、金额加粗</w:t>
            </w:r>
          </w:p>
        </w:tc>
        <w:tc>
          <w:tcPr>
            <w:tcW w:type="dxa" w:w="351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置顶催收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回款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部分回款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#0E8A8A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#E4F4F4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部分回款 x%</w:t>
            </w:r>
          </w:p>
        </w:tc>
        <w:tc>
          <w:tcPr>
            <w:tcW w:type="dxa" w:w="300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青徽章 + 比例</w:t>
            </w:r>
          </w:p>
        </w:tc>
        <w:tc>
          <w:tcPr>
            <w:tcW w:type="dxa" w:w="351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登记余款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回款</w:t>
            </w:r>
          </w:p>
        </w:tc>
        <w:tc>
          <w:tcPr>
            <w:tcW w:type="dxa" w:w="181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已结清</w:t>
            </w:r>
          </w:p>
        </w:tc>
        <w:tc>
          <w:tcPr>
            <w:tcW w:type="dxa" w:w="2268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#2E9E5B</w:t>
            </w:r>
          </w:p>
        </w:tc>
        <w:tc>
          <w:tcPr>
            <w:tcW w:type="dxa" w:w="1701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#E8F6EE</w:t>
            </w:r>
          </w:p>
        </w:tc>
        <w:tc>
          <w:tcPr>
            <w:tcW w:type="dxa" w:w="1587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已结清</w:t>
            </w:r>
          </w:p>
        </w:tc>
        <w:tc>
          <w:tcPr>
            <w:tcW w:type="dxa" w:w="300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绿徽章、金额转次要色</w:t>
            </w:r>
          </w:p>
        </w:tc>
        <w:tc>
          <w:tcPr>
            <w:tcW w:type="dxa" w:w="351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归档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采购 / 库存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待询价 / 在途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#8A9099 / #2B6CB0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#F0F1F3 / #E8F1F9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按状态</w:t>
            </w:r>
          </w:p>
        </w:tc>
        <w:tc>
          <w:tcPr>
            <w:tcW w:type="dxa" w:w="300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对应色点徽章</w:t>
            </w:r>
          </w:p>
        </w:tc>
        <w:tc>
          <w:tcPr>
            <w:tcW w:type="dxa" w:w="351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下单 / 跟催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采购 / 库存</w:t>
            </w:r>
          </w:p>
        </w:tc>
        <w:tc>
          <w:tcPr>
            <w:tcW w:type="dxa" w:w="181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低于安全库存</w:t>
            </w:r>
          </w:p>
        </w:tc>
        <w:tc>
          <w:tcPr>
            <w:tcW w:type="dxa" w:w="2268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#D98A09</w:t>
            </w:r>
          </w:p>
        </w:tc>
        <w:tc>
          <w:tcPr>
            <w:tcW w:type="dxa" w:w="1701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#FDF3E2</w:t>
            </w:r>
          </w:p>
        </w:tc>
        <w:tc>
          <w:tcPr>
            <w:tcW w:type="dxa" w:w="1587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库存偏低</w:t>
            </w:r>
          </w:p>
        </w:tc>
        <w:tc>
          <w:tcPr>
            <w:tcW w:type="dxa" w:w="300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琥珀徽章 + 数量琥珀</w:t>
            </w:r>
          </w:p>
        </w:tc>
        <w:tc>
          <w:tcPr>
            <w:tcW w:type="dxa" w:w="351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发起采购</w:t>
            </w:r>
          </w:p>
        </w:tc>
      </w:tr>
    </w:tbl>
    <w:p>
      <w:pPr>
        <w:spacing w:line="240" w:lineRule="auto" w:before="0" w:after="40"/>
        <w:ind/>
      </w:pP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说明：徽章统一为“深色小圆点 + 深色文字 + 浅底”，圆角 4px、左右内边距 8px、上下 2px；金额着色仅用于回款与库存预警，其余列保持常规文字色，避免整表色彩过载。</w:t>
      </w:r>
    </w:p>
    <w:p/>
    <w:p>
      <w:pPr>
        <w:pStyle w:val="3"/>
      </w:pPr>
      <w:r>
        <w:t>附录 B  数据字典（库表结构基线）</w:t>
      </w:r>
    </w:p>
    <w:p>
      <w:r>
        <w:t>本附录为 ./data/erp.db 的表结构基线，与第 2.2 节核心字段一一对应；字段命名采用蛇形小写，开发不得擅自改名或改型，结构变更按第 1.4 节升版。所有表默认含公共列 id（INTEGER 主键自增）、created_at / updated_at（TEXT，YYYY-MM-DD HH:mm:ss）、remark（TEXT 备注），下表不再重复列出。</w:t>
      </w:r>
    </w:p>
    <w:p>
      <w:r>
        <w:t>表 B.1  数据字典总表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701"/>
        <w:gridCol w:w="2608"/>
        <w:gridCol w:w="4762"/>
        <w:gridCol w:w="4252"/>
        <w:gridCol w:w="1701"/>
      </w:tblGrid>
      <w:tr>
        <w:trPr>
          <w:cantSplit/>
          <w:tblHeader w:val="true"/>
        </w:trPr>
        <w:tc>
          <w:tcPr>
            <w:tcW w:type="dxa" w:w="170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表（对象）</w:t>
            </w:r>
          </w:p>
        </w:tc>
        <w:tc>
          <w:tcPr>
            <w:tcW w:type="dxa" w:w="260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字段</w:t>
            </w:r>
          </w:p>
        </w:tc>
        <w:tc>
          <w:tcPr>
            <w:tcW w:type="dxa" w:w="476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类型</w:t>
            </w:r>
          </w:p>
        </w:tc>
        <w:tc>
          <w:tcPr>
            <w:tcW w:type="dxa" w:w="425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必填</w:t>
            </w:r>
          </w:p>
        </w:tc>
        <w:tc>
          <w:tcPr>
            <w:tcW w:type="dxa" w:w="170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说明（约束 / 字典 / 默认）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customers 客户档案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name 客户名称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与 main_host 联合唯一索引，防重复建档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main_host 对接主机厂 / Tier1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可空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direction 产品方向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如内饰、出风口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material_system 材料体系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如 PC/ABS、PP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stage 销售阶段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字典 customer_stage，默认“潜在客户”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next_follow_date 下次跟进日期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超期标红依据（2.2 节）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follow_ups 跟进记录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customer_id 客户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外键 → customers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content 跟进内容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follow_date 跟进日期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默认当天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next_date 下次跟进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联动更新客户档案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materials 材料牌号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code 牌号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唯一索引，如 PP+EPDM-TD20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base_resin 基材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如 PP、PC/ABS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modification 改性方式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字典：TD / GF / 阻燃 / 遮光 / 光扩散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mi / impact / hdt / density 关键性能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熔指、冲击、热变形、密度分列存储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supplier_id 供应来源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外键 → suppliers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cost 参考成本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REAL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按询价更新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cost_date 成本更新日期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更新留痕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samples 样品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code 样品编号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唯一，按规则自动生成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customer_id 客户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外键 → customers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material_id 牌号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外键 → materials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batch 批次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weight 送样克重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REAL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kg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sent_date 送样日期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默认当天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test_items 测试项目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status 样品状态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字典 sample_status（表 2-3）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fail_reason 不通过 / 复测原因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不通过、待复测时必填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quotations 报价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no 报价单号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唯一，自动生成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customer_id / material_id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外键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price 含税单价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REAL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&gt; 0，元 / kg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moq 起订量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REAL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kg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freight 运费承担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字典：买方 / 卖方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valid_until 有效期至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到期提醒依据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version 版本号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从 1 递增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status 报价状态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字典 quotation_status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orders 订单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no 订单号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唯一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customer_id / material_id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外键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qty 数量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REAL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&gt; 0，kg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price 单价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REAL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含税，元 / kg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amount 金额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REAL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= qty × price 自动计算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delivery_date 交期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逾期预警依据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status 订单状态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字典 order_status（表 2-3）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sign_status 回签状态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字典 sign_status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quotation_id 来源报价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报价转订单时回填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deliveries 送货单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no 送货单号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唯一，打印版式见 2.5 节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order_id 订单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外键 → orders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sent_date 送货日期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sign_date 回签日期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登记后更新订单回签状态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statements 对账单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no 对账单号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唯一，自动生成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customer_id 客户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外键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period_start / period_end 对账期间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YYYY-MM-DD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total 对账金额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REAL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期间订单合计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received / unpaid 已收 / 未收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REAL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未收 = total − received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account_days 账期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天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aging 账龄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按日计算，着色依据（6.5 节）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promise_date 承诺回款日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pay_status 回款状态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字典 pay_status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payments 回款登记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statement_id 对账单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外键 → statements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amount 回款金额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REAL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&gt; 0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pay_date 回款日期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method 收款方式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字典：转账 / 承兑 / 现金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purchases 采购单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no 采购单号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唯一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supplier_id 供应商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外键 → suppliers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material_id 牌号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外键 → materials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qty 采购量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REAL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&gt; 0，kg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status 采购状态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字典 purchase_status（表 2-3）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eta 预计到货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在途计算依据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inventory 库存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material_id 牌号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唯一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on_hand 现有库存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REAL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kg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in_transit 在途量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REAL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与采购“在途”状态联动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safety 安全库存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REAL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低于触发琥珀预警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available 可用量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REAL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= on_hand + in_transit − 锁定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suppliers 供应商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name 名称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唯一，如金发、聚隆（冠久）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contact 联系方式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price_ref 最新询价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REAL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询价留痕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dicts 字典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type 字典类型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如 customer_stage、order_status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value 选项值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同 type 内唯一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label 显示名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enabled 启用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停用不删除，保证历史数据可读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settings 本地偏好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key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主键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value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JSON 序列化，如点 × 行为、窗口大小</w:t>
            </w:r>
          </w:p>
        </w:tc>
      </w:tr>
    </w:tbl>
    <w:p>
      <w:r>
        <w:t>索引与约束：customers(name, main_host)、materials(code)、各单据编号列建唯一索引；orders(delivery_date)、statements(promise_date)、customers(next_follow_date) 建普通索引供预警查询；所有外键 ON DELETE RESTRICT，被引用主数据不可直接删除，只能停用。</w:t>
      </w:r>
    </w:p>
    <w:sectPr>
      <w:footerReference w:type="default" r:id="rId9"/>
      <w:pgSz w:w="16838" w:h="11906" w:orient="landscape"/>
      <w:pgMar w:top="1020" w:right="850" w:bottom="102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M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Arial" w:hAnsi="Arial" w:eastAsia="宋体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DC6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 w:ascii="Arial" w:hAnsi="Arial" w:eastAsia="宋体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 w:ascii="Arial" w:hAnsi="Arial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 w:ascii="Arial" w:hAnsi="Arial" w:eastAsia="黑体"/>
      <w:b/>
      <w:bCs/>
      <w:color w:val="000000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 w:ascii="Arial" w:hAnsi="Arial" w:eastAsia="黑体"/>
      <w:b/>
      <w:bCs/>
      <w14:textFill>
        <w14:solidFill>
          <w14:schemeClr w14:val="accent1"/>
        </w14:solidFill>
      </w14:textFill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styleId="TOC1">
    <w:name w:val="toc 1"/>
    <w:basedOn w:val="Normal"/>
    <w:next w:val="Normal"/>
    <w:unhideWhenUsed/>
    <w:pPr>
      <w:spacing w:before="0" w:after="40" w:line="260" w:lineRule="auto"/>
      <w:ind w:left="0" w:firstLine="0"/>
    </w:pPr>
    <w:rPr>
      <w:rFonts w:ascii="Arial" w:hAnsi="Arial" w:eastAsia="宋体"/>
      <w:sz w:val="21"/>
      <w:szCs w:val="21"/>
    </w:rPr>
  </w:style>
  <w:style w:type="paragraph" w:styleId="TOC2">
    <w:name w:val="toc 2"/>
    <w:basedOn w:val="Normal"/>
    <w:next w:val="Normal"/>
    <w:unhideWhenUsed/>
    <w:pPr>
      <w:spacing w:before="0" w:after="40" w:line="260" w:lineRule="auto"/>
      <w:ind w:left="440" w:firstLine="0"/>
    </w:pPr>
    <w:rPr>
      <w:rFonts w:ascii="Arial" w:hAnsi="Arial" w:eastAsia="宋体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3044</Words>
  <Characters>3332</Characters>
  <Lines>0</Lines>
  <Paragraphs>0</Paragraphs>
  <TotalTime>0</TotalTime>
  <ScaleCrop>false</ScaleCrop>
  <LinksUpToDate>false</LinksUpToDate>
  <CharactersWithSpaces>3456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你啊i</cp:lastModifiedBy>
  <dcterms:modified xsi:type="dcterms:W3CDTF">2026-09-12T10:03:11Z</dcterms:modified>
  <dc:subject>单人销售管理程序业务基线</dc:subject>
  <dc:title>改性塑料颗粒销售个人工作进度跟踪管理规范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eyJoZGlkIjoiMWU0NzlmMDBiMmQwZmJlZjcwYjY4NmNmZjA5MzA2YjEiLCJ1c2VySWQiOiIyOTAyNjgwNTUifQ==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71950C6C94CA47719146F7C175B50560_12</vt:lpwstr>
  </property>
</Properties>
</file>