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 w:before="0" w:after="0"/>
        <w:ind/>
      </w:pPr>
    </w:p>
    <w:p>
      <w:pPr>
        <w:spacing w:line="360" w:lineRule="auto" w:before="0" w:after="0"/>
        <w:ind/>
      </w:pPr>
    </w:p>
    <w:p>
      <w:pPr>
        <w:spacing w:line="360" w:lineRule="auto" w:before="0" w:after="0"/>
        <w:ind/>
      </w:pPr>
    </w:p>
    <w:p>
      <w:pPr>
        <w:spacing w:line="312" w:lineRule="auto" w:before="0" w:after="120"/>
        <w:ind/>
        <w:jc w:val="center"/>
      </w:pPr>
      <w:r>
        <w:rPr>
          <w:rFonts w:ascii="Arial" w:hAnsi="Arial" w:eastAsia="黑体"/>
          <w:b/>
          <w:color w:val="000000"/>
          <w:sz w:val="52"/>
        </w:rPr>
        <w:t>改性塑料颗粒销售</w:t>
      </w:r>
    </w:p>
    <w:p>
      <w:pPr>
        <w:spacing w:line="312" w:lineRule="auto" w:before="0" w:after="280"/>
        <w:ind/>
        <w:jc w:val="center"/>
      </w:pPr>
      <w:r>
        <w:rPr>
          <w:rFonts w:ascii="Arial" w:hAnsi="Arial" w:eastAsia="黑体"/>
          <w:b/>
          <w:color w:val="000000"/>
          <w:sz w:val="52"/>
        </w:rPr>
        <w:t>个人工作进度跟踪管理规范</w:t>
      </w:r>
    </w:p>
    <w:p>
      <w:pPr>
        <w:spacing w:line="312" w:lineRule="auto" w:before="0" w:after="600"/>
        <w:ind/>
        <w:jc w:val="center"/>
      </w:pPr>
      <w:r>
        <w:rPr>
          <w:rFonts w:ascii="Arial" w:hAnsi="Arial" w:eastAsia="楷体"/>
          <w:b w:val="0"/>
          <w:color w:val="000000"/>
          <w:sz w:val="28"/>
        </w:rPr>
        <w:t>—— 单人销售 ERP 业务基线、技术架构与打开 / 关闭 / 颜色 / UI 细则</w:t>
      </w:r>
    </w:p>
    <w:p>
      <w:pPr>
        <w:spacing w:line="360" w:lineRule="auto" w:before="0" w:after="0"/>
        <w:ind/>
      </w:pPr>
    </w:p>
    <w:p>
      <w:pPr>
        <w:spacing w:line="360" w:lineRule="auto" w:before="0" w:after="0"/>
        <w:ind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改性塑料颗粒销售个人工作进度跟踪管理规范（单人销售 ERP）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文档定位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业务基线 + 技术架构 + 桌面端交互 / 视觉（UI）实现细则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使用对象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单人销售（一人兼任客户、样品、报价、订单、送货、对账、采购协同）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运行形态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绿色免安装、U 盘便携、纯本地离线、无需管理员权限的单机程序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版本 / 日期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V1.2（基线补充版）／2026-09-12；P0 基线补充内容见第 1.6、2.6、3.8、8.6、8.7 节及附录 C、D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配套交付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本规范为开发与验收依据；字段、状态、颜色、控件均以本文表格为准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 w:val="0"/>
              </w:rPr>
              <w:t>文档状态</w:t>
            </w:r>
          </w:p>
        </w:tc>
        <w:tc>
          <w:tcPr>
            <w:tcW w:type="dxa" w:w="12474"/>
            <w:vAlign w:val="center"/>
          </w:tcPr>
          <w:p>
            <w:r>
              <w:rPr>
                <w:b w:val="0"/>
              </w:rPr>
              <w:t>可开发 / 可验收基线候选（待业务负责人确认）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 w:val="0"/>
              </w:rPr>
              <w:t>覆盖规则</w:t>
            </w:r>
          </w:p>
        </w:tc>
        <w:tc>
          <w:tcPr>
            <w:tcW w:type="dxa" w:w="12474"/>
            <w:vAlign w:val="center"/>
          </w:tcPr>
          <w:p>
            <w:r>
              <w:rPr>
                <w:b w:val="0"/>
              </w:rPr>
              <w:t>V1.2 补充章节优先于原文中相互冲突的描述；未覆盖内容继续沿用原文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r>
        <w:rPr>
          <w:b/>
        </w:rPr>
        <w:t>修订历史</w:t>
      </w:r>
      <w:r>
        <w:t>（本文档随版本维护，规则见第 1.4 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版本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日期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变更内容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修订人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V1.0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2026-09（初稿）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全文初稿：业务基线、技术架构、打开 / 关闭流程、颜色与 UI 规范、实施计划、附录 A 状态对照总表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V1.1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2026-09-12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补充：1.5 背景与量化目标、2.4 历史数据迁移、2.5 打印规格、3.3 选型对比与组件库定案、3.5 异地容灾、8.4 测试策略、8.5 评估机制、第 9 章风险与应对、附录 B 数据字典、修订历史表；修正回款状态流转、关闭指标、导航分组、基础设置模块等一致性问题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—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b w:val="0"/>
              </w:rPr>
              <w:t>V1.2</w:t>
            </w:r>
          </w:p>
        </w:tc>
        <w:tc>
          <w:tcPr>
            <w:tcW w:type="dxa" w:w="3572"/>
            <w:vAlign w:val="center"/>
          </w:tcPr>
          <w:p>
            <w:r>
              <w:rPr>
                <w:b w:val="0"/>
              </w:rPr>
              <w:t>2026-09-12</w:t>
            </w:r>
          </w:p>
        </w:tc>
        <w:tc>
          <w:tcPr>
            <w:tcW w:type="dxa" w:w="5386"/>
            <w:vAlign w:val="center"/>
          </w:tcPr>
          <w:p>
            <w:r>
              <w:rPr>
                <w:b w:val="0"/>
              </w:rPr>
              <w:t>P0 基线闭合：补充范围与假设、运行时与安全边界、退出状态文件、完整状态机、数据字典缺口、指标定义、阶段门禁和验收证据；修正关闭时序与版本引用</w:t>
            </w:r>
          </w:p>
        </w:tc>
        <w:tc>
          <w:tcPr>
            <w:tcW w:type="dxa" w:w="4252"/>
            <w:vAlign w:val="center"/>
          </w:tcPr>
          <w:p>
            <w:r>
              <w:rPr>
                <w:b w:val="0"/>
              </w:rPr>
              <w:t>Codex</w:t>
            </w:r>
          </w:p>
        </w:tc>
      </w:tr>
    </w:tbl>
    <w:p>
      <w:pPr/>
      <w:r>
        <w:t>V1.2 基线冻结说明：本版本先闭合会导致数据丢失、错误验收或开发返工的 P0 问题。运行时分发、安全保护、退出状态、完整状态码、数据约束和指标门禁以本版本补充内容为准。</w:t>
      </w:r>
    </w:p>
    <w:p/>
    <w:p>
      <w:pPr>
        <w:keepNext/>
        <w:spacing w:line="312" w:lineRule="auto" w:before="0" w:after="200"/>
        <w:ind/>
        <w:jc w:val="center"/>
      </w:pPr>
      <w:r>
        <w:rPr>
          <w:rFonts w:ascii="Arial" w:hAnsi="Arial" w:eastAsia="黑体"/>
          <w:b/>
          <w:color w:val="000000"/>
          <w:sz w:val="36"/>
        </w:rPr>
        <w:t>目  录</w:t>
      </w:r>
    </w:p>
    <w:p>
      <w:pPr>
        <w:spacing w:line="360" w:lineRule="auto" w:before="0" w:after="120"/>
        <w:ind/>
      </w:pPr>
      <w:r>
        <w:rPr>
          <w:rFonts w:ascii="Arial" w:hAnsi="Arial" w:eastAsia="宋体"/>
          <w:color w:val="808080"/>
          <w:sz w:val="21"/>
        </w:rPr>
        <w:fldChar w:fldCharType="begin"/>
        <w:instrText xml:space="preserve"> TOC \o "1-2" \h \z \u </w:instrText>
        <w:fldChar w:fldCharType="separate"/>
        <w:t>【目录：在 WPS/Word 中按 F9 或右键“更新域”生成；如已显示目录可忽略本行】</w:t>
        <w:fldChar w:fldCharType="end"/>
      </w:r>
    </w:p>
    <w:p>
      <w:pPr>
        <w:pStyle w:val="3"/>
        <w:keepNext/>
        <w:pageBreakBefore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1  文档说明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1.1  编制目的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本规范用于统一“单人改性塑料颗粒销售管理程序（以下简称本程序或本 ERP）”的业务边界、技术架构与桌面端交互视觉标准，使业务功能、本地数据、启动关闭行为、界面颜色与控件细节有唯一、可核验的开发与验收依据，避免开发过程中因口径不一致造成返工。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本文重点细化四类最容易在实现阶段被忽略、却直接决定日常使用体验的内容：程序的“打开（启动）”、“关闭（退出）”、界面“颜色”以及通用“UI 控件”细节；业务与技术章节为这些细节提供上下文。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1.2  适用范围与读者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835"/>
        <w:gridCol w:w="7087"/>
        <w:gridCol w:w="5103"/>
      </w:tblGrid>
      <w:tr>
        <w:trPr>
          <w:cantSplit/>
          <w:tblHeader w:val="true"/>
        </w:trPr>
        <w:tc>
          <w:tcPr>
            <w:tcW w:type="dxa" w:w="283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读者</w:t>
            </w:r>
          </w:p>
        </w:tc>
        <w:tc>
          <w:tcPr>
            <w:tcW w:type="dxa" w:w="70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阅读重点</w:t>
            </w:r>
          </w:p>
        </w:tc>
        <w:tc>
          <w:tcPr>
            <w:tcW w:type="dxa" w:w="51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程序使用人（本人）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 章业务、第 4–7 章交互与界面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确认业务流程、操作习惯与界面预期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开发 / AI 编码实现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全文，重点第 3–7 章与附录 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作为功能、架构、状态、颜色、控件的实现依据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验收 / 后期维护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2.3、第 6、第 7 章与附录 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逐条核对状态流转、配色与控件行为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1.3  术语与缩写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本程序 / 本 ERP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面向单人销售的本地桌面管理程序，覆盖客户到回款全流程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绿色免安装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不写系统盘、不写注册表、不依赖安装包，解压或拷贝即可运行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便携 / U 盘运行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程序与数据放在同一目录，可整体拷贝到 U 盘，在任意 Windows 电脑即插即用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牌号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改性塑料颗粒的材料编号，如 PC/ABS、PP+EPDM-TD20、遮光/光扩散 PP、PPS 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TD20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填充 20% 滑石粉（Talc）的改性料，类似标注还有 GF（玻纤）等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 / 封样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向客户提供测试用料、双方封存留样的过程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账期 / 账龄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约定付款周期；账龄为应收款从产生到当前的逾期时长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托盘（Tray）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系统后台驻留区（屏幕右下角图标），区别于任务栏窗口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单实例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同一时刻只允许运行一个程序进程，重复打开只激活已有窗口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脏数据 / 脏表单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存在未保存修改的表单或录入内容，关闭前需要拦截处理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1.4  版本约定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采用“主版本.次版本”编号：业务流程或数据结构发生不兼容调整时升主版本；仅补充字段、优化界面或修复问题时升次版本。每次修改在程序“关于 / 变更记录”中登记日期、变更点与原因；本文与程序实际行为不一致时，以较新版本为准，并同步回填本规范。</w:t>
      </w:r>
    </w:p>
    <w:p>
      <w:pPr>
        <w:spacing w:after="0"/>
      </w:pPr>
      <w:r>
        <w:br w:type="page"/>
      </w:r>
    </w:p>
    <w:p>
      <w:pPr>
        <w:pStyle w:val="4"/>
      </w:pPr>
      <w:r>
        <w:t>1.5  项目背景与量化目标</w:t>
      </w:r>
    </w:p>
    <w:p>
      <w:r>
        <w:t>本节说明自建本程序的必要性与可度量的业务目标，作为立项依据，并为第 8 章验收与第 8.5 节评估提供对照基线。</w:t>
      </w:r>
    </w:p>
    <w:p>
      <w:r>
        <w:rPr>
          <w:b/>
        </w:rPr>
        <w:t>现状与痛点：</w:t>
      </w:r>
      <w:r>
        <w:t>目前销售业务分散在多个 Excel 表格、微信聊天记录与纸质笔记中，已出现或可预见以下问题：</w:t>
      </w:r>
    </w:p>
    <w:p>
      <w:pPr>
        <w:pStyle w:val="16"/>
      </w:pPr>
      <w:r>
        <w:t>跟进遗漏：客户跟进、送样反馈、回签与回款日期依赖记忆与手工翻表，存在超期与对账遗漏风险；</w:t>
      </w:r>
    </w:p>
    <w:p>
      <w:pPr>
        <w:pStyle w:val="16"/>
      </w:pPr>
      <w:r>
        <w:t>数据分散：客户、报价、订单、应收分散在不同表格，统计月度销售额与应收账龄需手工汇总，耗时且易错；</w:t>
      </w:r>
    </w:p>
    <w:p>
      <w:pPr>
        <w:pStyle w:val="16"/>
      </w:pPr>
      <w:r>
        <w:t>无预警：账期临近、订单逾期、库存低于安全量无自动提醒，风险后知后觉；</w:t>
      </w:r>
    </w:p>
    <w:p>
      <w:pPr>
        <w:pStyle w:val="16"/>
      </w:pPr>
      <w:r>
        <w:t>安全弱：Excel 多副本版本混乱，U 盘丢失即数据全失，无自动备份与异地容灾。</w:t>
      </w:r>
    </w:p>
    <w:p>
      <w:r>
        <w:rPr>
          <w:b/>
        </w:rPr>
        <w:t>替代方案对比：</w:t>
      </w:r>
      <w:r>
        <w:t>编制时曾评估以下方案，均不满足需求，结论如下。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84"/>
        <w:gridCol w:w="9072"/>
        <w:gridCol w:w="3969"/>
      </w:tblGrid>
      <w:tr>
        <w:trPr>
          <w:cantSplit/>
          <w:tblHeader w:val="true"/>
        </w:trPr>
        <w:tc>
          <w:tcPr>
            <w:tcW w:type="dxa" w:w="198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方案</w:t>
            </w:r>
          </w:p>
        </w:tc>
        <w:tc>
          <w:tcPr>
            <w:tcW w:type="dxa" w:w="907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结论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原因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金蝶 / 用友等商业 ERP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不采用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需安装与订阅费用，功能面向多人组织过剩，不满足第 3.1 节绿色便携与离线约束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Excel + 手工提醒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不采用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无状态流转与事务保障，数据量增大后易错乱，无预警与看板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现成单机进销存软件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不采用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无材料牌号、送样测试等行业关键环节，颜色与交互不可定制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自建单机绿色程序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采用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完全贴合单人业务链路，数据随身、零订阅成本，可按第 6、7 章定制体验</w:t>
            </w:r>
          </w:p>
        </w:tc>
      </w:tr>
    </w:tbl>
    <w:p/>
    <w:p>
      <w:r>
        <w:t>量化目标：以下基线为编制时估算；具体公式、数据源、责任人、统计窗口和通过门禁以第 8.6 节为准，试运行期按实测校准。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目标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基线（现状）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目标值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验证方式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跟进超期率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无统计、偶发遗漏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≤ 5%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工作台超期待办月度统计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月度对账耗时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约半天（手工汇总）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≤ 1 小时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对账单自动生成 + 实测计时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应收账龄可视性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事后手工核对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T+0 自动分档着色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第 6.5 节账龄分档自动生效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数据备份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手工拷贝、易遗忘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每次退出自动备份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第 5.3 节关闭时序验证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单据录入耗时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—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客户 / 报价 / 订单 ≤ 1 分钟 / 单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秒表实测</w:t>
            </w:r>
          </w:p>
        </w:tc>
      </w:tr>
    </w:tbl>
    <w:p>
      <w:pPr>
        <w:pStyle w:val="4"/>
      </w:pPr>
      <w:r>
        <w:t>1.6  范围、非目标与假设</w:t>
      </w:r>
    </w:p>
    <w:p>
      <w:pPr/>
      <w:r>
        <w:t>本项目面向单人改性塑料颗粒销售，V1.2 纳入客户、联系人、项目 / 商机、材料牌号、样品测试、报价、订单与送货、对账与回款、采购与库存、导入导出、备份恢复、审计留痕和工作台提醒。系统以一个本地账套为边界，业务数据默认不跨账套自动合并。</w:t>
      </w:r>
    </w:p>
    <w:p>
      <w:pPr/>
      <w:r>
        <w:t>V1.2 明确不包含多用户并发、云同步、移动端、生产计划与制造执行、财务总账、电子发票、自动发送微信 / 邮件和跨账套合并。若业务需要其中任何一项，必须作为新的需求评审项，不得通过字典或临时字段隐式加入。</w:t>
      </w:r>
    </w:p>
    <w:p>
      <w:pPr/>
      <w:r>
        <w:t>验收前提：目标设备、Windows 版本与架构、可写的本地或可移动目录、Office / WPS 版本、打印机型号、样例 Excel、测试数据集和备份介质均应登记；缺少前提时只能标记为“未验证”，不得判定为通过。</w:t>
      </w:r>
    </w:p>
    <w:p>
      <w:pPr/>
      <w:r>
        <w:t>表 1-6  责任与基线输入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必须明确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验收证据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业务负责人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姓名、流程确认权、指标确认权、最终签字权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评审记录或签字页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维护负责人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源码位置、构建机器、依赖锁文件、发布权限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仓库地址、构建说明、发布清单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目标环境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Windows 版本 / 架构、WebView2、Office/WPS、打印机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环境矩阵与实测记录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基线数据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客户、订单、回款和库存样例，脱敏后留存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样例文件、导入报告、对账结果</w:t>
            </w:r>
          </w:p>
        </w:tc>
      </w:tr>
    </w:tbl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2  业务基线与 ERP 功能内容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2.1  单人销售业务全景与角色分工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本程序只有一名使用人，但业务链路由其一人兼任多个岗位角色。程序不设复杂权限体系，但功能划分仍按下表岗位视角组织，保证每个环节都有对应模块承接、不遗漏动作。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8505"/>
        <w:gridCol w:w="3969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兼任角色</w:t>
            </w:r>
          </w:p>
        </w:tc>
        <w:tc>
          <w:tcPr>
            <w:tcW w:type="dxa" w:w="850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核心职责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对应模块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客户开发 / 销售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客户建档、拜访与跟进、推动送样与定点、阶段推进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客户跟进、工作台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 / 技术支持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维护材料牌号与性能、匹配客户需求、跟进测试反馈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材料牌号库、样品管理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报价员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核算并出具报价、管理报价版本与有效期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报价管理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 / 跟单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接收订单、备货排产协调、送货与回签跟踪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订单与送货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 / 收款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对账、账期与账龄管理、回款登记、欠款预警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对账与回款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 / 供应链协调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向供应商询价采购、库存与安全余量管理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采购与库存协同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业务主线为：客户建档 → 需求匹配与送样 → 测试反馈 → 报价 → 定点/订单 → 备货送货 → 对账回款；材料牌号库与采购库存为全程提供支撑，工作台汇总每日待办与进度。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2.2  功能模块清单与核心字段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各模块只列单人销售真正需要的字段，避免冗余；标注“字典”的字段使用可自定义下拉选项，标注“必填”的字段在录入时强制校验（校验规则见第 7.5 节）。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2-1  功能模块、职责与核心字段一览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核心字段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关键动作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客户跟进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客户档案与销售阶段推进、跟进记录与提醒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客户名称（必填）、对接主机厂/Tier1、产品方向、材料体系、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销售阶段（字典）、跟进记录、下次跟进日期、负责人=本人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新增/编辑、阶段推进、设置提醒、超期标红、检索筛选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材料牌号库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维护可售材料的牌号、性能与供应来源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牌号（必填）、基材、改性方式（TD/GF/阻燃/遮光/光扩散等）、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关键性能（熔指/冲击/热变形/密度）、供应来源、成本（按询价更新）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新增牌号、性能对比、按需求筛选、成本更新留痕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样品管理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送样、封样与客户测试反馈闭环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样品编号、关联客户、牌号、批次、送样克重、送样日期、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测试项目、反馈结论、样品状态（字典）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打印样品标签、登记反馈、状态流转、留样查询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报价管理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出具与跟踪报价，管理版本与有效期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报价单号、客户、牌号、含税单价、起订量、运费承担、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有效期、版本号、报价状态（字典）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复制旧报价、版本对比、到期提醒、报价转订单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订单与送货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订单登记、备货协调、送货与回签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订单号、客户、牌号、数量、单价、金额、交期、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备货状态、送货单号、回签状态（字典）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订单跟踪、生成送货单、回签登记、逾期预警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对账与回款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周期对账、回款登记与应收风险控制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对账单号、客户、账期、对账金额、已收、未收、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账龄、回款状态（字典）、承诺回款日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生成对账单、登记回款、账龄分档、欠款预警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采购与库存协同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向供应商采购、库存余量与安全库存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采购单号、供应商、牌号、采购量、在途量、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现有库存、安全库存、采购状态（字典）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询价记录、采购登记、低于安全库存提醒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工作台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汇总今日待办、提醒与关键指标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今日待办、到期/超期跟进、待回签、待回款、</w:t>
            </w:r>
          </w:p>
          <w:p>
            <w:pPr>
              <w:spacing w:line="276" w:lineRule="auto" w:before="0" w:after="0"/>
              <w:ind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本月销售额、本月回款、阶段看板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一屏总览、快捷新增、点击下钻、看板拖拽阶段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基础设置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字典选项、提醒与备份参数、外观偏好等本地配置管理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字典类型与选项（可增删改、停用不删除）、提醒提前天数、备份保留份数与异地备份路径、点 × 行为、浅色主题、关于 / 变更记录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维护字典、调整提醒与备份参数、查看变更记录（第 1.4 节）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初始档案可按实际业务预置（示例：内饰/PC/ABS 方向客户、出风口方向客户、PP-TD20 已量产客户，以及金发、聚隆（冠久）等供应来源）；联系人、价格等未确认信息一律留空，由使用人维护，程序不预置虚构数据。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2.3  关键业务状态流转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状态是业务进度的核心，也是第 6 章“状态色”的唯一来源：每个状态在界面上固定对应一种颜色，全程序不允许同一状态出现两种颜色。状态只能沿规定方向流转，回退需填写原因并留痕。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2-2  客户销售阶段（看板列）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84"/>
        <w:gridCol w:w="9072"/>
        <w:gridCol w:w="3969"/>
      </w:tblGrid>
      <w:tr>
        <w:trPr>
          <w:cantSplit/>
          <w:tblHeader w:val="true"/>
        </w:trPr>
        <w:tc>
          <w:tcPr>
            <w:tcW w:type="dxa" w:w="198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907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含义 / 进入条件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下一步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潜在客户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已获取线索、尚未建立有效接触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首次接触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初步接触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已联系上、了解到材料或项目需求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需求确认 / 送样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送样测试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已送样，等待客户测试与反馈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跟进测试结果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报价谈判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测试通过或进入比价，已出具报价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定点 / 继续跟进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定点量产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获得项目定点并形成稳定订单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持续订单维护</w:t>
            </w:r>
          </w:p>
        </w:tc>
      </w:tr>
      <w:tr>
        <w:trPr>
          <w:cantSplit/>
        </w:trPr>
        <w:tc>
          <w:tcPr>
            <w:tcW w:type="dxa" w:w="198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暂停 / 流失</w:t>
            </w:r>
          </w:p>
        </w:tc>
        <w:tc>
          <w:tcPr>
            <w:tcW w:type="dxa" w:w="907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项目暂停或丢单，需记录原因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条件满足时重新激活</w:t>
            </w:r>
          </w:p>
        </w:tc>
      </w:tr>
    </w:tbl>
    <w:p>
      <w:pPr>
        <w:spacing w:line="240" w:lineRule="auto" w:before="0" w:after="40"/>
        <w:ind/>
      </w:pP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2-3  样品、订单、回款状态流转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587"/>
        <w:gridCol w:w="7767"/>
        <w:gridCol w:w="5670"/>
      </w:tblGrid>
      <w:tr>
        <w:trPr>
          <w:cantSplit/>
          <w:tblHeader w:val="true"/>
        </w:trPr>
        <w:tc>
          <w:tcPr>
            <w:tcW w:type="dxa" w:w="15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776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状态序列</w:t>
            </w:r>
          </w:p>
        </w:tc>
        <w:tc>
          <w:tcPr>
            <w:tcW w:type="dxa" w:w="56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样品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待送样 → 已送样 → 测试中 → 通过 / 不通过 / 待复测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不通过与待复测须登记原因，可再次送样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待确认 → 已确认备货中 → 已送货 → 已回签 → 已完成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逾期未送货触发预警色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回款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未到期 → 临近到期 → 已逾期 → 已结清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按账龄分档着色；部分回款为金额属性而非独立阶段：任意阶段均可登记部分回款并显示已收比例，全额到账后流转为已结清</w:t>
            </w:r>
          </w:p>
        </w:tc>
      </w:tr>
      <w:tr>
        <w:trPr>
          <w:cantSplit/>
        </w:trPr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采购</w:t>
            </w:r>
          </w:p>
        </w:tc>
        <w:tc>
          <w:tcPr>
            <w:tcW w:type="dxa" w:w="776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待询价 → 已下单 → 在途 → 入库 → 关闭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在途与库存联动计算可用量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pPr>
        <w:pStyle w:val="4"/>
      </w:pPr>
      <w:r>
        <w:t>2.4  历史数据迁移（Excel/WPS 另存 CSV 后导入）</w:t>
      </w:r>
    </w:p>
    <w:p>
      <w:r>
        <w:t>既有 Excel 台账（客户、牌号、报价、订单、应收）先另存为 UTF-8 CSV，再按下表规格迁入；当前版本默认支持 CSV，客户档案与历史订单优先。</w:t>
      </w:r>
    </w:p>
    <w:p>
      <w:r>
        <w:t>表 2-4  CSV 导入功能规格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要素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导入范围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客户档案、材料牌号、历史报价、历史订单、应收余额；分对象分批导入，可重复执行（按单号判重）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模板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程序内提供与第 2.2 节字段一致的 UTF-8 CSV 模板；可用 Excel/WPS 打开填写，含填写说明与示例行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字段映射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模板列名即库表字段（附录 B），无需手工映射；模板外列忽略并提示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导入预检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逐行校验必填缺失、日期 / 数字格式、字典值合法性；客户按“名称 + 对接主机厂”判重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冲突处理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重复项默认跳过并记录；整体回滚策略用于预检失败时整批不提交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结果报告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完成后生成报告（成功 N 条、失败 N 条及原因），失败行可导出 CSV 修正后重导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事务性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整批导入在同一事务内提交或整体回滚，不留半批数据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迁移验收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抽样 20 条与原表逐字段核对一致；订单金额、应收合计与原表合计一致</w:t>
            </w:r>
          </w:p>
        </w:tc>
      </w:tr>
    </w:tbl>
    <w:p/>
    <w:p>
      <w:pPr>
        <w:pStyle w:val="4"/>
      </w:pPr>
      <w:r>
        <w:t>2.5  单据打印与输出规格</w:t>
      </w:r>
    </w:p>
    <w:p>
      <w:r>
        <w:t>为不引入打印引擎与驱动依赖（第 3.1 节约束），V1.2 采用“导出后打印”策略；当前程序实际生成 UTF-8 CSV，Excel/WPS 可打开后按下述版式打印。原生 PDF / xlsx 生成保留为后续版本，不纳入本次 V1.2 验收。</w:t>
      </w:r>
    </w:p>
    <w:p>
      <w:r>
        <w:t>表 2-5  单据打印与输出规格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单据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样品标签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40 × 30mm 标签纸版式，内容：样品编号、客户、牌号、批次、克重、送样日期；当前版本导出 CSV 后按标签模板打印，PDF 生成暂不纳入 V1.2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送货单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A4 纵向：表头（单号、客户、日期）+ 明细（牌号、批号、数量 kg、单价、金额）+ 签收栏；导出 CSV 后按 A4 模板打印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对账单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A4 纵向：期间订单明细 + 应收合计 + 回款记录 + 盖章区；导出 CSV 后按 A4 模板打印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输出位置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统一导出至 ./export/（第 3.4 节），文件名含单号与日期</w:t>
            </w:r>
          </w:p>
        </w:tc>
      </w:tr>
    </w:tbl>
    <w:p>
      <w:pPr>
        <w:pStyle w:val="4"/>
      </w:pPr>
      <w:r>
        <w:t>2.6  数据与状态闭合规则</w:t>
      </w:r>
    </w:p>
    <w:p>
      <w:pPr/>
      <w:r>
        <w:t>第 2.2、2.3 节定义业务概念，附录 C 定义不可变状态码和允许流转，附录 D 定义缺失对象与约束。状态展示色仍取附录 A，但“预警”和“金额属性”不再冒充业务状态。</w:t>
      </w:r>
    </w:p>
    <w:p>
      <w:pPr/>
      <w:r>
        <w:t>表 2-6  业务对象与数据闭合补充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需要补充的对象 / 字段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最小规则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客户与项目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contacts；projects/opportunities（客户、主机厂、零件、预计量、阶段）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一个客户可有多个联系人和项目；项目阶段独立于客户阶段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样品测试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sample_tests（测试日期、项目、结果、结论、下步动作）；attachments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每次复测保留历史；不通过 / 待复测必须有原因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报价与订单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quotation_items、order_items、delivery_items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若坚持单明细，须在 V1 限制中明确；否则金额按明细合计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对账与回款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statement_items、payment_allocations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一笔回款可分配到多张对账单；已收金额由分配记录计算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库存与采购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inventory_movements、stock_reservations、批次 / 仓位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可用量必须能追溯到入库、出库和预留流水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追溯与运维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audit_logs、cost_history、import_batches、schema_migrations、backup_records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状态回退、成本更新、导入和备份均可追溯</w:t>
            </w:r>
          </w:p>
        </w:tc>
      </w:tr>
    </w:tbl>
    <w:p>
      <w:pPr/>
      <w:r>
        <w:t>数据约束：金额使用整数分或定点小数，不使用 REAL；日期统一 ISO 8601 并明确本地时区；账龄、未收金额、可用库存和付款状态等派生值统一计算；字典采用不可变 code、可编辑 label、sort_order 和 enabled；外键、唯一键、检查约束和导入幂等键必须写入迁移脚本。</w:t>
      </w:r>
    </w:p>
    <w:p/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3  技术架构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3.1  设计约束（不可突破的底线）</w:t>
      </w:r>
    </w:p>
    <w:p>
      <w:pPr>
        <w:spacing w:line="360" w:lineRule="auto" w:before="0" w:after="80"/>
        <w:ind w:firstLineChars="200" w:firstLine="48"/>
        <w:jc w:val="both"/>
      </w:pPr>
      <w:r>
        <w:t>技术选型与实现必须首先满足以下约束；运行时分发、数据保护和恢复要求以第 3.8 节为准。任何与约束冲突的方案（如需联网授权、需用户另行安装业务运行时、需管理员权限、数据写入系统盘或注册表）一律不采用。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8108"/>
        <w:gridCol w:w="5103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type="dxa" w:w="810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具体要求</w:t>
            </w:r>
          </w:p>
        </w:tc>
        <w:tc>
          <w:tcPr>
            <w:tcW w:type="dxa" w:w="51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验收方式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绿色免安装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拷贝目录即可运行，不要求用户另行安装业务运行时；Windows WebView2 按第 3.8 节固定版随包或明确前置条件验证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全新 Windows 10/11 账户、无开发环境、断网下双击可启动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 盘便携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程序与数据同目录，整体拷贝 / 换电脑 / 换盘符后数据不丢、路径不失效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拷贝到 U 盘并在另一台电脑直接运行验证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纯本地离线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不依赖外网与云服务，断网可完成全部功能；默认不发起任何网络请求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断网 + 防火墙拦截下全功能回归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无需管理员权限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不写 Program Files、不写注册表开机项、不装系统服务、不装驱动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标准账户（非管理员）下正常运行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单人单库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一份本地数据库文件即全部业务数据，便于拷贝备份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数据目录中可定位唯一主库文件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数据可导出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核心台账可导出为 UTF-8 CSV，Excel/WPS 可打开查看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导出文件可用 Office/WPS 正常打开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低占用易关闭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内存与 CPU 占用克制，关闭后进程彻底退出、不残留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任务管理器确认无残留进程与文件占用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3.2  总体分层架构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采用“前端界面 + 桌面外壳 + 本地数据库”的单机分层架构，层与层之间通过明确接口通信，界面层不直接读写数据库文件，保证数据安全与后续可替换性。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5896"/>
        <w:gridCol w:w="7087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589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70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表现层（UI）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页面、组件、状态色、表单校验与交互反馈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Vue 3 + TypeScript 单页界面，组件化，颜色统一取设计令牌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桌面外壳层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窗口/托盘/菜单、文件对话框、单实例、开机自启、路径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Tauri（Rust）提供原生窗口与系统能力，前端不直接碰系统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业务与数据访问层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业务规则、状态流转、查询统计、事务、备份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Rust 侧封装数据服务，对前端暴露受限命令（Command）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数据存储层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业务数据持久化、事务一致性、并发保护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嵌入式 SQLite 单文件库，WAL 模式，定期 VACUUM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文件与备份层</w:t>
            </w:r>
          </w:p>
        </w:tc>
        <w:tc>
          <w:tcPr>
            <w:tcW w:type="dxa" w:w="589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附件、导出、自动备份、运行日志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全部位于 exe 同级便携目录，相对路径定位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数据流：界面操作 → 前端校验 → 调用外壳命令 → Rust 业务校验并在一个事务内写库 → 返回结果 → 界面按第 6 章状态色刷新。所有写操作走事务，避免异常断电导致半条数据。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3.3  技术选型</w:t>
      </w:r>
    </w:p>
    <w:p>
      <w:pPr>
        <w:spacing w:line="360" w:lineRule="auto" w:before="0" w:after="80"/>
        <w:ind w:firstLineChars="200" w:firstLine="48"/>
        <w:jc w:val="both"/>
      </w:pPr>
      <w:r>
        <w:t>选型贴合单人维护、便携离线与既有技术栈，优先成熟稳定、打包体积小、无需用户另行安装业务运行时的方案；开发与发布必须使用 lockfile 和版本清单固定具体版本，不能只锁定大版本。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4309"/>
        <w:gridCol w:w="8788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层</w:t>
            </w:r>
          </w:p>
        </w:tc>
        <w:tc>
          <w:tcPr>
            <w:tcW w:type="dxa" w:w="430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技术（大版本方向）</w:t>
            </w:r>
          </w:p>
        </w:tc>
        <w:tc>
          <w:tcPr>
            <w:tcW w:type="dxa" w:w="87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选型理由 / 便携说明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界面框架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Vue 3 + TypeScript + Vite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组件化、类型约束减少字段错误；构建产物为静态资源，可被外壳直接内嵌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桌面外壳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Tauri 2（Rust）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打包体积小、内存占用低；Windows WebView2 固定版 / 系统版分发方式必须按第 3.8 节 PoC 定案并记录版本、离线行为和许可证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包管理 / 构建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pnpm + Vite 构建前端，Rust 工具链构建外壳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依赖安装快、产物确定；构建只在开发机进行，用户侧零依赖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本地数据库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SQLite 3（Rust 侧嵌入式驱动）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单文件、免服务、事务可靠；随程序内嵌，用户无需单独安装数据库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 / 校验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前端集中式状态管理 + 前后端双重校验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界面即时反馈，Rust 侧兜底，防止脏数据落库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本地生成 UTF-8 CSV（xlsx/PDF 暂不纳入 V1.2）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纯本地生成，不依赖联网与第三方服务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界面视觉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Naive UI（按需引入）+ 第 6 章设计令牌全量覆盖</w:t>
            </w:r>
          </w:p>
        </w:tc>
        <w:tc>
          <w:tcPr>
            <w:tcW w:type="dxa" w:w="87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对象级主题定制、TypeScript 类型完备、无默认样式污染；主色经令牌覆盖为钢蓝，杜绝“第二种蓝”；MIT 许可、零授权成本（对比见表 3-1）</w:t>
            </w:r>
          </w:p>
        </w:tc>
      </w:tr>
    </w:tbl>
    <w:p>
      <w:pPr>
        <w:spacing w:line="240" w:lineRule="auto" w:before="0" w:after="40"/>
        <w:ind/>
      </w:pPr>
    </w:p>
    <w:p>
      <w:r>
        <w:t>选型结论经以下对比得出；组件库在此定案为 Naive UI，不再保留双选。</w:t>
      </w:r>
    </w:p>
    <w:p>
      <w:r>
        <w:t>表 3-1  选型对比与备选说明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3572"/>
        <w:gridCol w:w="5386"/>
        <w:gridCol w:w="4252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层</w:t>
            </w:r>
          </w:p>
        </w:tc>
        <w:tc>
          <w:tcPr>
            <w:tcW w:type="dxa" w:w="35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选定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备选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放弃原因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桌面外壳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Tauri 2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Electron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打包与内存占用大（安装包常 ≥ 80MB、空闲内存数百 MB），违背第 3.1 节便携约束与 3.7 节低占用指标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桌面外壳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Tauri 2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C# WPF / Qt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WPF 依赖 .NET 运行时且与前端技术栈割裂；Qt 体积与授权不适合单人绿色分发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界面框架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Vue 3 + TypeScript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React / Svelte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均可满足需求，按开发熟悉度与 TS 生态成熟度选定 Vue 3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本地数据库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SQLite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LevelDB / JSON 文件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对账、账龄等需 SQL 聚合与事务保障；文件型方案无事务与断电保护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组件库</w:t>
            </w:r>
          </w:p>
        </w:tc>
        <w:tc>
          <w:tcPr>
            <w:tcW w:type="dxa" w:w="35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Naive UI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Element Plus / 自研轻量组件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主题为对象级令牌、覆盖成本最低；如 P1 期间遇硬性障碍可切换 Element Plus，令牌层已隔离组件库、切换不改页面</w:t>
            </w:r>
          </w:p>
        </w:tc>
      </w:tr>
    </w:tbl>
    <w:p>
      <w:r>
        <w:t>全部选定组件均为宽松开源许可（Tauri：MIT / Apache-2.0，Vue：MIT，SQLite：Public Domain，Naive UI：MIT），零授权成本、无联网授权风险。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3.4  便携目录结构与路径规则</w:t>
      </w:r>
    </w:p>
    <w:p>
      <w:pPr>
        <w:spacing w:line="360" w:lineRule="auto" w:before="0" w:after="80"/>
        <w:ind w:firstLineChars="200" w:firstLine="48"/>
        <w:jc w:val="both"/>
      </w:pPr>
      <w:r>
        <w:t>程序运行时一律以“可执行文件所在目录”为根（便携根），使用相对路径，绝不使用绝对盘符或用户目录保存业务数据。运行状态标记使用同一便携根下的 ./state/last_exit.json，与主库分离，供数据库尚未打开或已损坏时判断上次退出状态。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3-2  绿色便携目录结构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402"/>
        <w:gridCol w:w="5386"/>
        <w:gridCol w:w="6237"/>
      </w:tblGrid>
      <w:tr>
        <w:trPr>
          <w:cantSplit/>
          <w:tblHeader w:val="true"/>
        </w:trPr>
        <w:tc>
          <w:tcPr>
            <w:tcW w:type="dxa" w:w="34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路径（相对 exe）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便携 / 清理规则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./ERP.exe（及运行依赖）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主程序与内嵌资源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绿色目录的一部分，整体拷贝即可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./data/erp.db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唯一主数据库文件（SQLite）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核心资产，备份重点；路径随 exe 自适应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./data/erp.db-wal、-shm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WAL 临时文件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正常关闭后自动合并清理，不手动删除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./backup/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 / 手动备份库，按日期时间命名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保留份数可配，超量自动清理最旧备份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./export/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导出的 CSV、对账单、送货单（Excel/WPS 可打开）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用户文件，可随时拷出，程序不强制清理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./files/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客户资料、样品图片等附件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仅通过程序相对引用，不写绝对路径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./logs/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运行与异常日志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按大小 / 天数滚动，便于排查启动关闭问题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./config/settings.json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本地偏好（窗口大小、点×行为、配色等）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纯本地配置，拷贝即迁移，无注册表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b w:val="0"/>
              </w:rPr>
              <w:t>./state/last_exit.json</w:t>
            </w:r>
          </w:p>
        </w:tc>
        <w:tc>
          <w:tcPr>
            <w:tcW w:type="dxa" w:w="5386"/>
            <w:vAlign w:val="center"/>
          </w:tcPr>
          <w:p>
            <w:r>
              <w:rPr>
                <w:b w:val="0"/>
              </w:rPr>
              <w:t>启动 dirty / 正常 clean 状态、时间、版本和备份结果</w:t>
            </w:r>
          </w:p>
        </w:tc>
        <w:tc>
          <w:tcPr>
            <w:tcW w:type="dxa" w:w="6237"/>
            <w:vAlign w:val="center"/>
          </w:tcPr>
          <w:p>
            <w:r>
              <w:rPr>
                <w:b w:val="0"/>
              </w:rPr>
              <w:t>使用临时文件 + 原子替换；写入失败则下次按异常退出处理，不得覆盖主库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b w:val="0"/>
              </w:rPr>
              <w:t>./runtime/webview2/</w:t>
            </w:r>
          </w:p>
        </w:tc>
        <w:tc>
          <w:tcPr>
            <w:tcW w:type="dxa" w:w="5386"/>
            <w:vAlign w:val="center"/>
          </w:tcPr>
          <w:p>
            <w:r>
              <w:rPr>
                <w:b w:val="0"/>
              </w:rPr>
              <w:t>固定版 WebView2 运行时（仅在随包方案下存在）</w:t>
            </w:r>
          </w:p>
        </w:tc>
        <w:tc>
          <w:tcPr>
            <w:tcW w:type="dxa" w:w="6237"/>
            <w:vAlign w:val="center"/>
          </w:tcPr>
          <w:p>
            <w:r>
              <w:rPr>
                <w:b w:val="0"/>
              </w:rPr>
              <w:t>发布目录的一部分；版本与许可证写入发布清单，不手动删除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3.5  数据安全、备份与恢复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154"/>
        <w:gridCol w:w="5216"/>
        <w:gridCol w:w="7654"/>
      </w:tblGrid>
      <w:tr>
        <w:trPr>
          <w:cantSplit/>
          <w:tblHeader w:val="true"/>
        </w:trPr>
        <w:tc>
          <w:tcPr>
            <w:tcW w:type="dxa" w:w="21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机制</w:t>
            </w:r>
          </w:p>
        </w:tc>
        <w:tc>
          <w:tcPr>
            <w:tcW w:type="dxa" w:w="521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策略</w:t>
            </w:r>
          </w:p>
        </w:tc>
        <w:tc>
          <w:tcPr>
            <w:tcW w:type="dxa" w:w="76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写库事务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所有新增/修改/删除包裹在事务中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中途失败回滚，杜绝半截数据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关闭前备份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每次正常退出时在备份完成后再结束进程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见第 5.3 关闭时序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定时自动备份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可配每日首次打开后备份 + 每隔 N 天备份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备份为一致性快照，使用 SQLite 安全备份接口而非复制占用中的文件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手动备份 / 还原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提供“一键备份到便携 backup 目录 / 从备份还原”；指定外部位置复制列为后续版本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还原前自动先备份当前库，防止误操作覆盖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备份保留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默认保留最近 10 份（可配）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超量滚动删除最旧；U 盘空间不足时提示并允许改路径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损坏自检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打开时校验库完整性（PRAGMA integrity_check）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损坏则引导选择最近备份恢复，流程见第 4.4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导出兜底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台账随时导出 UTF-8 CSV（Excel/WPS 可打开）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即使程序不可用，数据仍可读，降低单点风险</w:t>
            </w:r>
          </w:p>
        </w:tc>
      </w:tr>
      <w:tr>
        <w:trPr>
          <w:cantSplit/>
        </w:trPr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异地容灾</w:t>
            </w:r>
          </w:p>
        </w:tc>
        <w:tc>
          <w:tcPr>
            <w:tcW w:type="dxa" w:w="521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每周将 backup 目录完整复制一份至电脑硬盘或其他非 U 盘介质；月底对账完成后另存一份台账导出</w:t>
            </w:r>
          </w:p>
        </w:tc>
        <w:tc>
          <w:tcPr>
            <w:tcW w:type="dxa" w:w="76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当前通过文件管理器手动复制 backup 目录至非 U 盘介质；设置页快捷复制入口列为后续版本，仍应对 U 盘丢失与损坏（见第 9 章 R1 / R2）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3.6  打包与分发</w:t>
      </w:r>
    </w:p>
    <w:p>
      <w:pPr>
        <w:spacing w:line="360" w:lineRule="auto" w:before="0" w:after="80"/>
        <w:ind w:firstLineChars="200" w:firstLine="48"/>
        <w:jc w:val="both"/>
      </w:pPr>
      <w:r>
        <w:t>最终产物为一个绿色文件夹（含 exe 与运行资源、data/backup 等空目录，以及按第 3.8 节选定的 runtime/ 和 state/ 目录），可压缩为单个压缩包或直接拷入 U 盘分发；不制作需要安装的安装包，不创建系统服务与注册表开机项（开机自启若启用，采用“启动文件夹快捷方式”这一无需管理员的方式，并可一键撤销）。首次运行自动在同级创建 data/backup/export/files/logs/state 目录；固定版 WebView2 随包时不得在用户侧联网下载。为降低杀毒软件误报，发布版本保持单一可信来源、必要时进行代码签名；如被拦截，在说明中提供可信目录添加方法，不要求关闭系统防护。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3.7  性能与可靠性指标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118"/>
        <w:gridCol w:w="5670"/>
        <w:gridCol w:w="6237"/>
      </w:tblGrid>
      <w:tr>
        <w:trPr>
          <w:cantSplit/>
          <w:tblHeader w:val="true"/>
        </w:trPr>
        <w:tc>
          <w:tcPr>
            <w:tcW w:type="dxa" w:w="311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6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目标值（单人数据量级）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测量方式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冷启动到主窗口可交互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≤ 3 秒（普通 U 盘 ≤ 5 秒）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双击到工作台可点击的秒表计时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常用列表查询 / 翻页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≤ 300 毫秒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万级记录下实测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关闭（含自动备份）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≤ 2 秒；库体积大或 U 盘写入慢时以“备份完整落盘”为准，显示进度、不强制中断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点退出到进程消失、U 盘可安全弹出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数据库规模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单人三年数据控制在百 MB 级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附件放文件系统、库内只存路径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内存占用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空闲 ≤ 200 MB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任务管理器观察</w:t>
            </w:r>
          </w:p>
        </w:tc>
      </w:tr>
      <w:tr>
        <w:trPr>
          <w:cantSplit/>
        </w:trPr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异常恢复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断电 / 强杀后下次打开可自检并恢复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杀进程、拔盘后重新打开验证</w:t>
            </w:r>
          </w:p>
        </w:tc>
      </w:tr>
    </w:tbl>
    <w:p>
      <w:pPr>
        <w:pStyle w:val="4"/>
      </w:pPr>
      <w:r>
        <w:t>3.8  运行时、安全与恢复验收</w:t>
      </w:r>
    </w:p>
    <w:p>
      <w:pPr/>
      <w:r>
        <w:t>V1.2 采用“保护模式”为默认安全基线：不设云端账号，但本地数据保护不能只停留在界面遮挡。实现库、备份和敏感导出所使用的具体加密组件由技术 PoC 定案，版本、许可证和兼容性结果必须写入发布清单。</w:t>
      </w:r>
    </w:p>
    <w:p>
      <w:pPr/>
      <w:r>
        <w:t>表 3-3  P0 运行时与安全要求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基线要求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验收证据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WebView2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在无开发环境、断网和缺少系统 WebView2 的目标环境下按发布方案运行；固定版随包时放入 ./runtime/webview2/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干净环境启动记录、包体积、许可证和版本清单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本地口令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使用随机盐和明确工作因子的密码派生；取消安全提示问题，恢复使用一次性恢复密钥或人工恢复流程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口令设置、修改、失败重试、恢复和锁定用例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静态加密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主库、备份和敏感导出采用一致的加密策略；未启用保护模式时必须显示明确的明文风险提示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文件直接读取测试、备份还原测试、密钥恢复记录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备份完整性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每份备份记录时间、版本、大小、校验值和结果；定期执行真实还原演练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backup_records、校验报告、还原报告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恢复目标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最近可恢复备份距当前不超过 24 小时，损坏库恢复到可用状态不超过 30 分钟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RPO/RTO 演练记录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日志与副本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日志不写入口令、密钥和未脱敏敏感字段；不同便携副本显示账套标识并提示数据可能分叉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日志抽查、多副本启动提示和差异记录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4  打开（启动）流程与细节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本章规定从“双击程序”到“进入工作台可操作”之间的每一步行为与异常处理，目标是启动快、不白屏、不丢数据、换盘换电脑不出错。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4.1  启动方式与单实例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规则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启动入口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双击 exe、U 盘中双击、或桌面 / 启动文件夹快捷方式，行为完全一致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单实例互斥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同一便携目录只允许一个进程；再次打开时不新开窗口，而是激活并置顶已有主窗口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已最小化到托盘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再次打开等同于唤起：恢复窗口、置前并聚焦到上次停留页面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开机自启（可选）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默认关闭；开启时仅在当前用户“启动”文件夹放置快捷方式，无需管理员、可一键取消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多副本隔离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不同目录 / 不同 U 盘的副本视为不同账套，允许分别运行，但标题栏显示便携目录名以防误操作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4.2  启动加载时序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启动按固定顺序执行，每一步都有明确的界面反馈与异常处理；任一步失败都给出可读提示而非闪退。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4-1  启动加载时序（顺序不可颠倒）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680"/>
        <w:gridCol w:w="2268"/>
        <w:gridCol w:w="5840"/>
        <w:gridCol w:w="6237"/>
      </w:tblGrid>
      <w:tr>
        <w:trPr>
          <w:cantSplit/>
          <w:tblHeader w:val="true"/>
        </w:trPr>
        <w:tc>
          <w:tcPr>
            <w:tcW w:type="dxa" w:w="68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序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583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具体动作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异常处理 / 界面反馈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进程与单实例检查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创建互斥标识，判断是否已有实例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已有实例→激活原窗口后本进程立即退出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定位便携根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 exe 所在目录为根，解析 data/config 等相对路径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目录缺失→自动创建；U 盘未就绪→提示重新插入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先显示启动画面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立即展示 Splash（程序名 + 加载状态文案），避免白屏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Splash 固定不卡死，加载进度实时更新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读取本地配置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读取窗口大小、上次页面、点×行为、主题配色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配置损坏→用默认配置并备份损坏文件，不阻断启动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读取并标记退出状态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在连接数据库前读取 ./state/last_exit.json，立即原子写入 dirty 状态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缺失或 dirty → 记录异常上下文并进入第 4.4 节；写入失败不得新建空库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数据库连接与自检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连接 erp.db、执行完整性检查、必要时做版本迁移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损坏 → 进入第 4.4 节；迁移失败 → 回滚并提示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加载首屏数据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只加载工作台首屏所需数据，其余页面按需懒加载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分批加载，先出骨架屏再填数据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进入工作台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关闭 Splash，按上次状态还原窗口与页面，定位待办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焦点落在今日待办，红点 / 提醒按第 6 章着色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4.3  首屏与白屏规避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启动画面在进程创建后第一时间出现，背景色与主色一致（见第 6 章），中央显示程序名与当前加载文案，文案随阶段变化（如“正在检查数据…”“正在加载工作台…”）。主窗口采用“先渲染静态骨架、再异步填充数据”的方式：导航与布局先出现，列表区域显示骨架屏，数据到位后替换，避免长时间整窗白屏；超过指标时长仍未加载完成时显示“加载较慢，正在重试”并提供安全退出入口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4.4  异常关闭后的打开恢复</w:t>
      </w:r>
    </w:p>
    <w:p>
      <w:pPr>
        <w:spacing w:line="360" w:lineRule="auto" w:before="0" w:after="80"/>
        <w:ind w:firstLineChars="200" w:firstLine="48"/>
        <w:jc w:val="both"/>
      </w:pPr>
      <w:r>
        <w:t>每次启动先读取 ./state/last_exit.json。启动前将状态原子写为 dirty；正常关闭完成数据库、备份和句柄处理后再写为 clean。若发现缺失或 dirty，即判定上次为异常关闭（断电、强杀、直接拔盘），不依赖损坏主库中的字段判断。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13551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1355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界面与动作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① 提示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弹窗说明“上次未正常关闭”，并显示异常时间与日志位置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② 完整性自检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自动执行库完整性检查，结果以正常 / 警告 / 损坏三态呈现（颜色见第 6.4）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③ 草稿恢复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列出未关闭的录入草稿（来自本地暂存），由用户选择恢复或丢弃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④ 备份选择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库损坏时列出 backup 中最近若干备份（时间、大小），默认选中最近一份，还原前先备份现状</w:t>
            </w:r>
          </w:p>
        </w:tc>
      </w:tr>
      <w:tr>
        <w:trPr>
          <w:cantSplit/>
        </w:trPr>
        <w:tc>
          <w:tcPr>
            <w:tcW w:type="dxa" w:w="147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⑤ 留痕</w:t>
            </w:r>
          </w:p>
        </w:tc>
        <w:tc>
          <w:tcPr>
            <w:tcW w:type="dxa" w:w="1355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本次异常与选择写入日志，便于判断是否为 U 盘或磁盘问题反复出现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4.5  登录与身份策略</w:t>
      </w:r>
    </w:p>
    <w:p>
      <w:pPr>
        <w:spacing w:line="360" w:lineRule="auto" w:before="0" w:after="80"/>
        <w:ind w:firstLineChars="200" w:firstLine="48"/>
        <w:jc w:val="both"/>
      </w:pPr>
      <w:r>
        <w:t>本程序为单人单机、数据随 U 盘自持，不设云端账号体系或联网鉴权。V1.2 默认使用本地保护模式：首次建档后设置本地口令，口令只用于派生数据保护密钥，不采用安全提示问题；忘记口令只能使用预先保存的恢复密钥或在新副本中执行人工恢复。用户跳过保护设置时必须看到明文数据风险提示，并不能把该状态判定为“信息已加密”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4.6  U 盘换盘符与路径自适应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所有数据、附件、备份路径均相对 exe 实时解析，不保存“E:\…”这类绝对盘符；因此同一 U 盘在不同电脑显示为不同盘符时无需任何设置。若数据目录被独占占用（如杀毒扫描、上一进程未退净），启动时提示“数据文件被占用”，引导关闭占用程序或等待重试，而不是直接新建空库覆盖原数据。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5  关闭（退出）流程与细节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本章规定从“用户想关闭”到“进程彻底退出、U 盘可安全拔出”之间的行为，核心是先保数据、再退进程，区分“最小化到托盘”和“真正退出”，做到不丢录入、不残留进程、不占用 U 盘。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5.1  关闭入口与统一行为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402"/>
        <w:gridCol w:w="11623"/>
      </w:tblGrid>
      <w:tr>
        <w:trPr>
          <w:cantSplit/>
          <w:tblHeader w:val="true"/>
        </w:trPr>
        <w:tc>
          <w:tcPr>
            <w:tcW w:type="dxa" w:w="34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关闭入口</w:t>
            </w:r>
          </w:p>
        </w:tc>
        <w:tc>
          <w:tcPr>
            <w:tcW w:type="dxa" w:w="1162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标题栏 × 按钮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按设置的“点 × 行为”执行（默认最小化到托盘，可改为直接退出，见 5.4）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托盘图标右键 → 退出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无条件走“真正退出”流程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主菜单 → 文件 → 退出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真正退出，与托盘退出同一套时序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快捷键 Ctrl+Q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真正退出；Esc 仅关闭当前弹层 / 弹窗，不退出程序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Alt+F4 / 任务栏关闭窗口</w:t>
            </w:r>
          </w:p>
        </w:tc>
        <w:tc>
          <w:tcPr>
            <w:tcW w:type="dxa" w:w="1162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等同标题栏 ×，遵循同一设置，不另搞一套逻辑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5.2  关闭前检查清单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执行退出前逐项检查；存在未完成事项时先拦截、由用户决策，不允许在用户不知情时丢弃内容。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6463"/>
        <w:gridCol w:w="6520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46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判定为“需要拦截”的条件</w:t>
            </w:r>
          </w:p>
        </w:tc>
        <w:tc>
          <w:tcPr>
            <w:tcW w:type="dxa" w:w="652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未保存表单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任一录入 / 编辑表单存在未落库修改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弹窗列出未保存项，提供保存 / 不保存 / 取消返回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进行中的导出 / 备份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尚有导出、备份、还原任务未完成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等待完成或确认中止；备份中禁止强退以免产生坏备份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 flush 的写入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WAL 中存在尚未合并的写入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退出前执行 checkpoint，确认落盘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后台任务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存在定时备份、附件读写等后台任务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先停止任务调度并等待当前任务收尾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外部文件占用</w:t>
            </w:r>
          </w:p>
        </w:tc>
        <w:tc>
          <w:tcPr>
            <w:tcW w:type="dxa" w:w="646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导出文件仍被 Office 打开等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提示但不强制，允许用户确认后继续退出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5.3  关闭时序与拦截文案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5-1  真正退出的关闭时序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680"/>
        <w:gridCol w:w="7541"/>
        <w:gridCol w:w="6804"/>
      </w:tblGrid>
      <w:tr>
        <w:trPr>
          <w:cantSplit/>
          <w:tblHeader w:val="true"/>
        </w:trPr>
        <w:tc>
          <w:tcPr>
            <w:tcW w:type="dxa" w:w="68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序</w:t>
            </w:r>
          </w:p>
        </w:tc>
        <w:tc>
          <w:tcPr>
            <w:tcW w:type="dxa" w:w="754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680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失败 / 异常处理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拦截检查（第 5.2），有未保存项先弹窗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用户选“取消”则放弃退出、回到原界面且不丢现场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停止后台调度，保存窗口大小 / 上次页面等本地配置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配置写入失败不阻断退出，记录日志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提交或回滚所有数据库事务，执行 WAL checkpoint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失败则重试一次，仍失败先紧急备份再提示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执行关闭前自动备份（一致性快照）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 盘空间不足时提示改存位置或跳过（需二次确认）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关闭数据库连接，释放附件 / 文件句柄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确保 data、export 目录不再被占用；关闭失败则保持 dirty 状态并记录日志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原子写入 ./state/last_exit.json 的 clean 标志（附备份结果），移除托盘图标，销毁窗口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标志写入失败则记录日志并按下次启动异常处理，不得声称已安全退出</w:t>
            </w:r>
          </w:p>
        </w:tc>
      </w:tr>
      <w:tr>
        <w:trPr>
          <w:cantSplit/>
        </w:trPr>
        <w:tc>
          <w:tcPr>
            <w:tcW w:type="dxa" w:w="6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754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进程彻底退出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任务管理器无残留；U 盘可安全弹出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脏表单拦截使用统一、明确的弹窗文案，避免“是否退出？”这类含糊表达，标准文案如下：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2041"/>
        <w:gridCol w:w="11056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标题</w:t>
            </w:r>
          </w:p>
        </w:tc>
        <w:tc>
          <w:tcPr>
            <w:tcW w:type="dxa" w:w="1105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正文与按钮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有未保存录入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存在未保存的内容</w:t>
            </w:r>
          </w:p>
        </w:tc>
        <w:tc>
          <w:tcPr>
            <w:tcW w:type="dxa" w:w="1105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正文：“当前有 N 个录入尚未保存，退出后未保存内容将丢失。”；按钮：【保存并退出】（默认/主按钮）、【不保存退出】（危险描边）、【继续编辑】（取消）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正在备份 / 导出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任务尚未完成</w:t>
            </w:r>
          </w:p>
        </w:tc>
        <w:tc>
          <w:tcPr>
            <w:tcW w:type="dxa" w:w="1105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正文：“正在备份 / 导出，立即退出可能产生不完整文件。”；按钮：【等待完成】（默认）、【强制退出】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备份失败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自动备份未完成</w:t>
            </w:r>
          </w:p>
        </w:tc>
        <w:tc>
          <w:tcPr>
            <w:tcW w:type="dxa" w:w="1105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正文：“本次自动备份未成功（原因：…）。仍要退出吗？”；按钮：【重试备份】（默认）、【另存备份到…】、【直接退出】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5.4  最小化到托盘与真正退出</w:t>
      </w:r>
    </w:p>
    <w:p>
      <w:pPr>
        <w:spacing w:line="360" w:lineRule="auto" w:before="0" w:after="80"/>
        <w:ind w:firstLineChars="200" w:firstLine="48"/>
        <w:jc w:val="both"/>
      </w:pPr>
      <w:r>
        <w:t>为兼顾“随手关窗口但保持提醒（如跟进 / 回款到期提醒）”与“彻底退出释放 U 盘”，明确区分两种行为：最小化到托盘不是一次真正退出，不触发关闭时序中的关闭前备份，定时备份仍按计划执行；真正退出才释放文件句柄并写入 clean 状态。两种行为在设置中提供开关，默认策略如下表。首次点击 × 时显示一次轻提示说明该行为，之后不再打扰。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835"/>
        <w:gridCol w:w="3118"/>
        <w:gridCol w:w="5103"/>
        <w:gridCol w:w="3969"/>
      </w:tblGrid>
      <w:tr>
        <w:trPr>
          <w:cantSplit/>
          <w:tblHeader w:val="true"/>
        </w:trPr>
        <w:tc>
          <w:tcPr>
            <w:tcW w:type="dxa" w:w="283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行为</w:t>
            </w:r>
          </w:p>
        </w:tc>
        <w:tc>
          <w:tcPr>
            <w:tcW w:type="dxa" w:w="311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触发</w:t>
            </w:r>
          </w:p>
        </w:tc>
        <w:tc>
          <w:tcPr>
            <w:tcW w:type="dxa" w:w="510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结果</w:t>
            </w:r>
          </w:p>
        </w:tc>
        <w:tc>
          <w:tcPr>
            <w:tcW w:type="dxa" w:w="39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进程 / 提醒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最小化到托盘（默认点 ×）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标题栏 × / Alt+F4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窗口隐藏，托盘图标保留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进程在、到期提醒与定时备份继续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托盘退出 / 菜单退出 / Ctrl+Q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走第 5.3 时序后进程结束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进程消失、释放文件、停止一切任务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可配置项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设置 → 常规 → “关闭按钮的作用”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在“最小化到托盘 / 直接退出”间二选一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配置写入 config，跨启动记忆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5.5  异常关闭兜底</w:t>
      </w:r>
    </w:p>
    <w:p>
      <w:pPr>
        <w:spacing w:line="360" w:lineRule="auto" w:before="0" w:after="80"/>
        <w:ind w:firstLineChars="200" w:firstLine="48"/>
        <w:jc w:val="both"/>
      </w:pPr>
      <w:r>
        <w:t>进程崩溃或被任务管理器强杀时，异常处理器尽量将错误堆栈与现场写入 logs，并保留 ./state/last_exit.json 的 dirty 状态；数据库依赖 WAL 与事务保证已提交数据不丢、未提交事务回滚。下次打开按第 4.4 自检恢复。连续多次异常关闭时，启动后主动提示可能与 U 盘质量 / 磁盘有关，建议另存备份。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5.6  U 盘安全移除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真正退出完成、确认数据连接与文件句柄全部释放后，方可拔出 U 盘。程序在“退出并完成备份”后给出一次明确反馈（如“已安全退出并完成备份，现在可以移除 U 盘”）；禁止在仍占用 data 目录时提示可拔出，避免 Windows“设备正在使用中”或库文件损坏。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6  颜色规范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颜色是本程序最重要的视觉语言之一：业务进度、操作反馈、可点与不可点都依赖颜色快速识别。全程序颜色只允许取自本章色板，并以“设计令牌（变量名）”在代码中统一引用，禁止在页面里硬编码零散色值；需要调整时改令牌即可全局生效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6.1  配色原则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克制稳重：面向工业材料销售的桌面工具，以中性灰为底、单一钢蓝为主色，整体不花哨、不刺眼，适合长时间使用。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一义一色：同一业务状态 / 同一反馈类型在所有页面颜色一致；主色只表示“主操作 / 选中 / 品牌”，不另作他用。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层次分明：用明度与留白区分层级，状态色仅用于状态点、标签、徽章和必要强调，不给整行铺高饱和底色。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可辨识与可打印：正文对比度达到 WCAG AA（普通文字 ≥ 4.5:1）；状态除颜色外同时配文字或图标，兼顾色弱与黑白打印。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不用组件库默认蓝：任何第三方组件库的默认主题色必须被本章令牌覆盖，避免出现与主色不一致的“第二种蓝”。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6.2  品牌主色与中性色板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主色为沉稳钢蓝，提供深、中、浅三档供不同交互状态与浅底使用；中性色承载页面底色、卡片、边框与分割线。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6-1  主色与中性背景 / 边框色板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2154"/>
        <w:gridCol w:w="1360"/>
        <w:gridCol w:w="1927"/>
        <w:gridCol w:w="8108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21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810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2B6CB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2B6CB0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 / Primary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#2B6CB0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43,108,176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主按钮、选中、链接、当前导航、激活态；其上文字用白色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1E5E9E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1E5E9E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主色-悬停 hover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#1E5E9E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30,94,158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主按钮悬停、可点元素悬停加深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1A4E8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1A4E82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主色-按下 active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#1A4E82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26,78,130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主按钮按下瞬间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F1F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E8F1F9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主色-浅底 tint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#E8F1F9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232,241,249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选中行浅底、信息提示浅底；其上用深色文字 #1F2329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6F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F5F6F8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页面背景 bg-page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#F5F6F8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245,246,248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窗口最底层背景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FFFFFF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卡片 / 容器 bg-card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#FFFFFF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255,255,255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表格、表单、弹层卡片底色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D9DCE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D9DCE1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边框 border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#D9DCE1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217,220,225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输入框、表格、卡片描边与分割线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CEEF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ECEEF1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分割线 divider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#ECEEF1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236,238,241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弱分割，比边框更浅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6.3  文字颜色层级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6-2  文字颜色层级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2381"/>
        <w:gridCol w:w="1360"/>
        <w:gridCol w:w="1927"/>
        <w:gridCol w:w="7881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7880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1F232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1F2329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一级文字 text-strong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#1F2329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31,35,41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页面标题、关键数据、表格主要内容（近黑，较纯黑柔和）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33373D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33373D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二级文字 text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#33373D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51,55,61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正文、表单值、普通说明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6A707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6A7078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次要文字 text-muted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#6A7078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106,112,120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辅助说明、标签、时间戳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A6ABB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A6ABB3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占位 / 弱化 ph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#A6ABB3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166,171,179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输入占位符、禁用文字、未填写提示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FFFFFF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反白文字 on-color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#FFFFFF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255,255,255</w:t>
            </w:r>
          </w:p>
        </w:tc>
        <w:tc>
          <w:tcPr>
            <w:tcW w:type="dxa" w:w="788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深底色（主色 / 状态深色）上的文字与图标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6.4  功能反馈色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成功、警告、危险、信息四类反馈各配“深色（文字 / 图标 / 描边）+ 浅底（提示条 / 徽章背景）”，深色用于前景，浅底用于背景，不直接用高饱和深色铺大面积。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6-3  功能反馈色（深色 + 浅底）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474"/>
        <w:gridCol w:w="2154"/>
        <w:gridCol w:w="1360"/>
        <w:gridCol w:w="1927"/>
        <w:gridCol w:w="8108"/>
      </w:tblGrid>
      <w:tr>
        <w:trPr>
          <w:cantSplit/>
          <w:tblHeader w:val="true"/>
        </w:trPr>
        <w:tc>
          <w:tcPr>
            <w:tcW w:type="dxa" w:w="147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215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810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2E9E5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2E9E5B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成功 success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#2E9E5B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46,158,91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完成、已结清、保存成功；浅底 #E8F6EE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F6EE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E8F6EE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成功-浅底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#E8F6EE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232,246,238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成功提示条 / 徽章背景，文字用 #1F7A43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D98A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D98A09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警告 warning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#D98A09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217,138,9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临近到期、需关注、库存偏低；浅底 #FDF3E2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F3E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FDF3E2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警告-浅底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#FDF3E2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253,243,226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警告提示 / 徽章背景，文字用 #B97408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D549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D54941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危险 danger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#D54941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213,73,65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逾期、删除、不保存退出；浅底 #FCEBEA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CEBE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FCEBEA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危险-浅底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#FCEBEA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252,235,234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危险提示 / 徽章背景，文字用 #B83830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2B6CB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2B6CB0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信息 info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#2B6CB0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43,108,176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普通提示、进行中；浅底复用主色浅底 #E8F1F9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FF0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EFF0F2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禁用 disabled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#EFF0F2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239,240,242</w:t>
            </w:r>
          </w:p>
        </w:tc>
        <w:tc>
          <w:tcPr>
            <w:tcW w:type="dxa" w:w="810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禁用控件底色；禁用文字 #A6ABB3、边框 #D9DCE1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6.5  业务状态色（与第 2.3 节状态一一对应）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业务状态一律以“小色点 + 状态文字徽章”呈现：徽章用对应浅底、文字用对应深色，左侧带同色小圆点；表格中只在“状态列”出现，不给整行铺色，避免颜色泛滥。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6-4  业务状态色总表（客户 / 样品 / 订单 / 回款 / 采购共用）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1927"/>
        <w:gridCol w:w="1360"/>
        <w:gridCol w:w="1814"/>
        <w:gridCol w:w="799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799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A909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8A9099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潜在 / 待处理（中性）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#8A9099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138,144,153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潜在客户、待确认、待询价、未到期（默认灰）；浅底 #F0F1F3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B6CB0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2B6CB0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进行中（主色蓝）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#2B6CB0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43,108,176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初步接触、备货中、测试中、在途；浅底 #E8F1F9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0E8A8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0E8A8A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送样 / 流转（青）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#0E8A8A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14,138,138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送样测试、已送货、部分回款等中间流转；浅底 #E4F4F4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98A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D98A09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谈判 / 关注（琥珀）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#D98A09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217,138,9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报价谈判、临近到期、库存偏低；浅底 #FDF3E2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9E5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2E9E5B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成功 / 完成（绿）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#2E9E5B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46,158,91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定点量产、已回签 / 完成、已结清、通过；浅底 #E8F6EE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549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D54941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/ 危险（红）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#D54941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213,73,65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订单逾期、已逾期、不通过、删除；浅底 #FCEBEA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B5655E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B5655E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暂停 / 流失（灰红）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#B5655E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181,101,94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暂停 / 流失客户、关闭；浅底 #F7ECEA，区别于中性灰</w:t>
            </w:r>
          </w:p>
        </w:tc>
      </w:tr>
    </w:tbl>
    <w:p>
      <w:pPr>
        <w:spacing w:line="240" w:lineRule="auto" w:before="0" w:after="40"/>
        <w:ind/>
      </w:pP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6-5  回款账龄分档（红色随账龄加深，金额同步着色）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1927"/>
        <w:gridCol w:w="1360"/>
        <w:gridCol w:w="1814"/>
        <w:gridCol w:w="799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色块</w:t>
            </w:r>
          </w:p>
        </w:tc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3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HEX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RGB</w:t>
            </w:r>
          </w:p>
        </w:tc>
        <w:tc>
          <w:tcPr>
            <w:tcW w:type="dxa" w:w="799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 / 搭配前景文字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A909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8A9099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未到期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#8A9099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138,144,153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账期内，中性灰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98A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1F2329"/>
                <w:sz w:val="21"/>
              </w:rPr>
              <w:t>D98A09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临近到期（≤3天）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#D98A09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217,138,9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琥珀色提醒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D549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D54941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1–30 天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#D54941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213,73,65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危险红（基础档）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C0392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C0392B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31–60 天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#C0392B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192,57,43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加深红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9B22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9B2218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逾期 60 天以上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#9B2218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155,34,24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深红并加粗金额，置顶提醒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9E5B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FFFFFF"/>
                <w:sz w:val="21"/>
              </w:rPr>
              <w:t>2E9E5B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已结清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#2E9E5B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46,158,91</w:t>
            </w:r>
          </w:p>
        </w:tc>
        <w:tc>
          <w:tcPr>
            <w:tcW w:type="dxa" w:w="799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成功绿，金额置为次要文字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6.6  控件交互状态色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6-6  常用控件在各交互状态下的颜色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3175"/>
        <w:gridCol w:w="2381"/>
        <w:gridCol w:w="2268"/>
        <w:gridCol w:w="2608"/>
        <w:gridCol w:w="266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控件</w:t>
            </w:r>
          </w:p>
        </w:tc>
        <w:tc>
          <w:tcPr>
            <w:tcW w:type="dxa" w:w="317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默认 default</w:t>
            </w:r>
          </w:p>
        </w:tc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悬停 hover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按下 active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聚焦 focus</w:t>
            </w:r>
          </w:p>
        </w:tc>
        <w:tc>
          <w:tcPr>
            <w:tcW w:type="dxa" w:w="266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禁用 disabled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主按钮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#2B6CB0 / 白字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#1E5E9E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#1A4E82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外圈主色浅底描边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#EFF0F2 / 字 #A6ABB3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次 / 描边按钮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白底 / 字 #33373D / 边 #D9DCE1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#F5F6F8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#ECEEF1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主色描边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#EFF0F2 / 字 #A6ABB3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危险按钮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白底红字 #D54941 / 红描边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浅红底 #FCEBEA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再加深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红色外描边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灰底灰字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输入框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白底 / 边 #D9DCE1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边 #8A9099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边 #2B6CB0 + 浅色外发光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#EFF0F2 不可编辑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链接 / 文字按钮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#2B6CB0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#1E5E9E + 下划线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#1A4E82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字 #A6ABB3 不可点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可点行 / 列表项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透明 / 卡片白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#F5F6F8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底 #E8F1F9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选中项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浅主色底 #E8F1F9 + 左侧主色竖条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浅主色底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同左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—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6.7  颜色使用禁忌与可访问性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全程序主色只有一种钢蓝；除第 6.4 的四类反馈色与第 6.5 状态色外，不引入额外高饱和彩色。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禁止用红绿区分作为唯一信息来源：状态必须同时有文字（如“已逾期”）或图标，避免色弱用户无法分辨。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浅色浅底只做背景，前景用对应深色，保证对比度；禁止浅底配浅字、深底配深字。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表格不整行铺高饱和色；整行仅在被选中时用主色浅底 #E8F1F9，状态色限定在状态徽章 / 色点 / 金额。</w:t>
      </w:r>
    </w:p>
    <w:p>
      <w:pPr>
        <w:pStyle w:val="16"/>
        <w:spacing w:line="336" w:lineRule="auto" w:after="40"/>
        <w:ind/>
      </w:pPr>
      <w:r>
        <w:t>预留深色模式令牌结构（同一令牌名挂两套值），V1.2 先交付浅色模式，深色模式不属于本版本验收范围，后续仅替换令牌、不改页面。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7  UI 细节规范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本章规定界面布局、字体、导航、表格、表单、按钮、反馈、看板、快捷键与适配的具体规格，目标是在任意 Windows 电脑、不同显示缩放下都整齐、统一、可预期；所有尺寸以 4px 为基数栅格。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7.1  整体布局与窗口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551"/>
        <w:gridCol w:w="12474"/>
      </w:tblGrid>
      <w:tr>
        <w:trPr>
          <w:cantSplit/>
          <w:tblHeader w:val="true"/>
        </w:trPr>
        <w:tc>
          <w:tcPr>
            <w:tcW w:type="dxa" w:w="255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247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默认窗口尺寸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1280 × 800（首次打开居中），记忆上次关闭时的大小与位置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最小窗口尺寸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1024 × 640，小于该尺寸不再压缩，避免表格挤压变形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三区结构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左侧导航栏 + 顶部工具栏（页面标题 / 全局搜索 / 快捷新增 / 托盘最小化）+ 主内容区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侧边导航宽度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展开 216px、折叠 56px；折叠后仅显图标，悬停浮出二级菜单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间距栅格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以 4px 为基数：常用 4 / 8 / 12 / 16 / 24；同组元素 8，区块之间 16/24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圆角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卡片 / 输入框 6px，按钮 6px，徽章 4px，弹窗 8px，全程序统一不混用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阴影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仅弹层、下拉、弹窗使用轻阴影，普通卡片用 1px 边框区分，不堆阴影</w:t>
            </w:r>
          </w:p>
        </w:tc>
      </w:tr>
      <w:tr>
        <w:trPr>
          <w:cantSplit/>
        </w:trPr>
        <w:tc>
          <w:tcPr>
            <w:tcW w:type="dxa" w:w="255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内容密度</w:t>
            </w:r>
          </w:p>
        </w:tc>
        <w:tc>
          <w:tcPr>
            <w:tcW w:type="dxa" w:w="1247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桌面工具采用“适中偏紧凑”密度，表格行高 36px（紧凑 30px 可切换）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7.2  字体、字号与数字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608"/>
        <w:gridCol w:w="3061"/>
        <w:gridCol w:w="3118"/>
        <w:gridCol w:w="6237"/>
      </w:tblGrid>
      <w:tr>
        <w:trPr>
          <w:cantSplit/>
          <w:tblHeader w:val="true"/>
        </w:trPr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06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字号 / 字重</w:t>
            </w:r>
          </w:p>
        </w:tc>
        <w:tc>
          <w:tcPr>
            <w:tcW w:type="dxa" w:w="311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字体</w:t>
            </w:r>
          </w:p>
        </w:tc>
        <w:tc>
          <w:tcPr>
            <w:tcW w:type="dxa" w:w="623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页面标题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18px / 中粗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微软雅黑（中文）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顶部当前页面名称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区块 / 卡片标题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15px / 中粗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卡片、弹窗、分区标题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正文 / 表格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14px / 常规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表单值、表格、菜单（基准字号）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辅助说明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12px / 常规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微软雅黑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字段提示、时间、次要信息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关键数字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14–20px / 中粗，等宽数字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数字用 Consolas / Roboto Mono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金额、数量、账龄，千分位对齐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禁用全局缩放字体以外的艺术字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不使用斜体、艺术字与多种字体混搭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保持工具型软件的克制一致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中文统一微软雅黑（缺字时回退系统默认黑体），数字与英文使用等宽 / 半角字体以便纵向对齐；金额一律右对齐、带千分位与两位小数，单位（元 / kg / 吨）在表头统一标注，不在单元格内重复。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7.3  导航与菜单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左侧导航按业务主线分组：工作台、客户跟进、材料牌号库、样品、报价、订单送货、对账回款、采购库存、基础设置（字典维护、提醒与备份参数、外观偏好、关于 / 变更记录，模块职责见表 2-1）。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当前页面导航项用主色浅底 #E8F1F9 + 左侧 3px 主色竖条 + 主色文字；悬停用 #F5F6F8。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导航项有未读 / 到期事项时，右侧显示数字角标（红点规则见 7.7）；展开 / 折叠状态写入本地配置记忆。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主内容区顶部提供面包屑（如 对账回款 / 对账单详情），二级页面可返回上一级且保留列表筛选状态。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7.4  数据表格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要素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表头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固定不随滚动移动，浅灰底 #F2F2F2、中粗；长表翻页 / 滚动时保持可见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斑马纹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隔行 #FAFAFA，纯白与极浅灰交替，提升横向跟随性，不使用彩色斑马纹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对齐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文本左对齐、短枚举居中、金额 / 数量右对齐；整列对齐方式保持一致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状态列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统一“色点 + 状态徽章”，颜色取自第 6.5，宽度固定避免跳动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排序 / 筛选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可排序列表头带箭头；常用筛选置于表头或顶部筛选条，筛选条件可一键清空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行操作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悬停行末出现“编辑 / 更多”文字按钮，不默认堆满图标；危险操作（删除）收入更多菜单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选择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首列复选框，选中行用主色浅底；支持全选当前页与跨页选择提示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空状态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无数据时居中空状态插画位 + 一句话说明 + 主操作按钮（如“新增客户”），不留一片空白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加载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翻页 / 检索时用骨架屏或行级加载，不整页闪烁；加载失败显示重试，不清空已填筛选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分页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右下角显示总数与每页条数（可切 20/50/100），单人数据默认 50 条 / 页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7.5  表单与校验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要素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标签与布局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标签右对齐、统一宽度（建议 96–120px），输入框左对齐成一列；弹窗表单用上下结构亦可，但同一弹窗内统一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必填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必填项标签前加红色 *（#D54941），并在提交时统一校验，不允许漏填后无提示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校验时机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输入中不打断；失焦做格式校验，提交时做整体校验；错误定位到第一个异常字段并滚动到可视区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错误呈现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输入框变红边 #D54941，下方 12px 红字说明原因与正确示例，修正后立即消失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默认值与占位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能合理默认的（如日期=今天、负责人=本人）预填；占位符用 #A6ABB3 提示格式，提交时不作为真实值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下拉 / 字典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销售阶段、状态等用字典下拉，支持搜索与（管理员=本人）维护选项，不允许自由文本造成状态分裂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 / 日期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数字限定输入并千分位显示；日期用日期控件，统一 YYYY-MM-DD，时间 YYYY-MM-DD HH:mm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未保存保护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表单有改动后关闭页面 / 弹窗走第 5 章拦截；离开时标题或标签显示小圆点提示“已修改未保存”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7.6  按钮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按钮分五类，颜色严格引用第 6.6；每个区域只允许一个主按钮（最主要动作），其余为次按钮，避免多个蓝色主按钮争夺注意力。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4876"/>
        <w:gridCol w:w="5386"/>
        <w:gridCol w:w="2835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538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默认样式</w:t>
            </w:r>
          </w:p>
        </w:tc>
        <w:tc>
          <w:tcPr>
            <w:tcW w:type="dxa" w:w="283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尺寸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保存、确认、新增等主要动作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主色底白字，悬停加深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高 32px，左右内边距 16px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次按钮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取消、返回、次要操作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白底灰描边深字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同主按钮等高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描边 / 文字按钮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表格行内、轻量操作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无底色，主色文字，悬停下划线 / 浅底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高 28px（紧凑）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删除、不保存退出、还原覆盖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白底红描边红字，悬停浅红底；高危操作二次确认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同主按钮等高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禁用按钮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条件未满足（如未填必填项）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灰底 #EFF0F2、字 #A6ABB3，不可点且不响应悬停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同原类型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7.7  反馈、弹窗与状态提示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381"/>
        <w:gridCol w:w="12644"/>
      </w:tblGrid>
      <w:tr>
        <w:trPr>
          <w:cantSplit/>
          <w:tblHeader w:val="true"/>
        </w:trPr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反馈形式</w:t>
            </w:r>
          </w:p>
        </w:tc>
        <w:tc>
          <w:tcPr>
            <w:tcW w:type="dxa" w:w="1264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使用场景与规格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Toast 轻提示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保存成功、复制完成等无需决策的反馈，右上角出现 2–3 秒自动消失，不打断操作；成功绿 / 失败红 / 普通信息蓝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对话框 Modal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需要用户决策（删除、未保存退出、还原）时居中弹出，带遮罩；主按钮在右、默认聚焦安全项（如“保存并退出”）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确认强度分级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普通操作一步确认；删除 / 覆盖备份等不可逆操作，要求二次确认或输入确认，按钮用危险样式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行内 / 顶部提示条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列表级提醒（如存在超期回款）用可关闭的浅色提示条，颜色取第 6.4 浅底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加载 / 骨架屏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首屏与翻页用骨架屏；长任务（备份、导出、还原）用带百分比的进度条且禁止重复点击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空状态 / 无结果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区分“暂无数据（去新增）”与“筛选无结果（清空筛选）”，分别给对应动作按钮</w:t>
            </w:r>
          </w:p>
        </w:tc>
      </w:tr>
      <w:tr>
        <w:trPr>
          <w:cantSplit/>
        </w:trPr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红点 / 角标</w:t>
            </w:r>
          </w:p>
        </w:tc>
        <w:tc>
          <w:tcPr>
            <w:tcW w:type="dxa" w:w="1264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导航与待办上的数字角标用危险红 #D54941、白字；仅提醒数量，点击进入后清除；无数量时用小红点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7.8  工作台与阶段看板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顶部为关键指标卡：本月销售额、本月回款、应收未收、待跟进 / 超期数量；数字用等宽字体，超期数红色。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客户阶段看板按第 2.3 的六阶段分列，列头显示阶段名 + 数量并带对应状态色点；卡片显示客户、材料体系、下次跟进日。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卡片可拖拽改变阶段，拖动时校验流转规则（不允许的跳转给出说明并回弹）；跨阶段变更自动写入跟进记录。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今日待办按“超期（红）→ 今日到期（琥珀）→ 未来计划（中性）”排序，点击直达对应单据。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7.9  快捷键与右键菜单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5670"/>
        <w:gridCol w:w="1814"/>
        <w:gridCol w:w="5726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快捷键</w:t>
            </w:r>
          </w:p>
        </w:tc>
        <w:tc>
          <w:tcPr>
            <w:tcW w:type="dxa" w:w="566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快捷键</w:t>
            </w:r>
          </w:p>
        </w:tc>
        <w:tc>
          <w:tcPr>
            <w:tcW w:type="dxa" w:w="5726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Ctrl+N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快速新增当前模块单据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Ctrl+F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聚焦当前列表搜索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保存当前表单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Esc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关闭弹层 / 弹窗（不退出程序）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Ctrl+Q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真正退出程序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Ctrl+D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打开今日待办 / 工作台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Ctrl+E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导出当前列表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刷新当前列表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Enter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对话框中触发主按钮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Delete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列表中删除（仍弹二次确认）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列表行、输入框、看板卡片提供右键上下文菜单，动作与行内“更多”保持一致并按权限（本人即全部）置灰不可用项；快捷键在设置中可查，全程序一致、不与系统常用快捷键冲突。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7.10  窗口适配与可访问性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兼容 Windows 10/11 在 100%、125%、150% 缩放下的显示，布局使用弹性栅格，图标与文字不重叠、不裁切。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支持键盘完整操作：Tab 顺序与视觉顺序一致，聚焦框用主色描边清晰可见；常用动作可由快捷键完成。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在最小窗口 1024×640 下仍可完整完成新增、查询、保存；超出时内部滚动而非整体变形。</w:t>
      </w:r>
    </w:p>
    <w:p>
      <w:pPr>
        <w:pStyle w:val="16"/>
        <w:spacing w:line="336" w:lineRule="auto" w:after="40"/>
        <w:ind/>
      </w:pPr>
      <w:r>
        <w:rPr>
          <w:rFonts w:ascii="Arial" w:hAnsi="Arial" w:eastAsia="宋体"/>
          <w:color w:val="000000"/>
          <w:sz w:val="23"/>
        </w:rPr>
        <w:t>颜色之外同时用文字 / 图标 / 形状传达状态（见 6.7）；关键按钮图标旁配文字，不只用含义模糊的小图标。</w:t>
      </w:r>
    </w:p>
    <w:p>
      <w:pPr>
        <w:spacing w:after="0"/>
      </w:pPr>
      <w:r>
        <w:br w:type="page"/>
      </w:r>
    </w:p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8  实施计划与验收</w:t>
      </w: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按“先底座、再业务、后打磨”的顺序推进，每阶段都有可运行产物与明确验收点；周期以单人 / 小团队可投入的相对周次估算，实际起止日期在立项时回填，本文不预设绝对日期。</w:t>
      </w: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8.1  阶段划分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8-1  实施阶段、产出与验收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2608"/>
        <w:gridCol w:w="4762"/>
        <w:gridCol w:w="4252"/>
        <w:gridCol w:w="1701"/>
      </w:tblGrid>
      <w:tr>
        <w:trPr>
          <w:cantSplit/>
          <w:tblHeader w:val="true"/>
        </w:trPr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476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主要工作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阶段产出 / 验收点</w:t>
            </w:r>
          </w:p>
        </w:tc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建议周期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P1 技术底座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跑通便携外壳与本地库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Tauri+Vue 工程骨架、便携目录、SQLite 连接、单实例、打开 / 关闭主链路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绿色目录双击可开可关、换盘换电脑数据不丢、关闭自动备份生效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1–2 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P2 核心业务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打通客户到回款主线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客户跟进、牌号库、样品、报价、订单送货、对账回款、采购库存、工作台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2 章字段与状态流转全部可增删改查、状态可按规则流转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3–6 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P3 视觉与交互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统一颜色与 UI 细节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落地设计令牌、状态徽章、表格 / 表单 / 按钮 / 反馈、看板、快捷键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对照第 6、7 章与附录 A 逐项验收，无第二种主色、无默认蓝残留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7–8 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P4 打包与验收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绿色交付与可靠性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打包绿色目录 / 压缩包、断网与非管理员验证、异常关闭恢复、导出、回归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全新账户与 U 盘环境全功能通过，达到第 3.7 指标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第 9–10 周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8.2  关键验收清单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13211"/>
      </w:tblGrid>
      <w:tr>
        <w:trPr>
          <w:cantSplit/>
          <w:tblHeader w:val="true"/>
        </w:trPr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209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必须通过的验收项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打开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双击 ≤ 指标时间进入工作台；重复打开只激活原窗口；异常关闭后出现恢复流程且不丢已提交数据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关闭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未保存可拦截；正常退出完成备份并写退出标志；进程无残留、U 盘可安全弹出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颜色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所有颜色取自第 6 章令牌；状态与颜色一一对应；正文对比度达标；状态不只靠颜色区分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100%/125%/150% 缩放不错位；表格对齐统一；表单校验与错误态完整；快捷键全程序一致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便携 / 离线</w:t>
            </w:r>
          </w:p>
        </w:tc>
        <w:tc>
          <w:tcPr>
            <w:tcW w:type="dxa" w:w="13209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非管理员、断网、U 盘换盘换机均正常；数据仅在便携目录；可导出 UTF-8 CSV 兜底</w:t>
            </w:r>
          </w:p>
        </w:tc>
      </w:tr>
    </w:tbl>
    <w:p>
      <w:pPr>
        <w:spacing w:line="240" w:lineRule="auto" w:before="0" w:after="40"/>
        <w:ind/>
      </w:pPr>
    </w:p>
    <w:p>
      <w:pPr>
        <w:pStyle w:val="4"/>
        <w:keepNext/>
        <w:spacing w:before="220" w:after="100" w:line="336" w:lineRule="auto"/>
      </w:pPr>
      <w:r>
        <w:rPr>
          <w:rFonts w:ascii="Arial" w:hAnsi="Arial" w:eastAsia="黑体"/>
          <w:b/>
          <w:color w:val="000000"/>
          <w:sz w:val="28"/>
        </w:rPr>
        <w:t>8.3  预期收益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收益维度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进度不遗漏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客户阶段、跟进 / 回签 / 回款到期统一提醒，超期自动标红，替代分散的表格与记忆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数据随身安全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U 盘即系统，自动备份 + 导出兜底，单机离线不依赖网络与第三方账号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零部署低成本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免安装、免运维、无订阅费用，拷贝即用，适合单人长期使用与低成本迭代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体验一致高效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统一颜色与控件规范，降低误操作；快捷键与看板让每日跟进、对账更快完成</w:t>
            </w:r>
          </w:p>
        </w:tc>
      </w:tr>
    </w:tbl>
    <w:p>
      <w:pPr>
        <w:spacing w:line="240" w:lineRule="auto" w:before="0" w:after="40"/>
        <w:ind/>
      </w:pPr>
    </w:p>
    <w:p>
      <w:pPr>
        <w:spacing w:after="0"/>
      </w:pPr>
      <w:r>
        <w:br w:type="page"/>
      </w:r>
    </w:p>
    <w:p>
      <w:pPr>
        <w:pStyle w:val="4"/>
      </w:pPr>
      <w:r>
        <w:t>8.4  测试策略与验收用例</w:t>
      </w:r>
    </w:p>
    <w:p>
      <w:r>
        <w:t>第 8.2 节验收清单每一项转化为可勾选的手工用例；P0 用例、指标定义和证据格式以第 8.6、8.7 节为准，测试结果必须关联版本号和数据集。</w:t>
      </w:r>
    </w:p>
    <w:p>
      <w:r>
        <w:t>表 8-2  测试要求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类别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要求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单元测试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Rust 侧状态流转规则、账龄计算、备份 / 还原模块须有自动化测试，关键分支覆盖率 ≥ 80%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集成测试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t>打开 / 关闭主链路、事务回滚、单实例互斥、CSV 导入各至少 1 条自动化用例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手工验收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第 8.2 节清单逐项转化为用例（编号、步骤、预期），存放于工程 tests/acceptance 目录，每阶段交付前全量执行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回归范围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涉及启动 / 关闭 / 备份的改动，加做断电与强杀专项验证（配合第 4.4、5.5 节）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双轨核对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试运行期第 1–4 周与既有 Excel 台账并行记录，每周核对一次一致性（见 8.5 节）</w:t>
            </w:r>
          </w:p>
        </w:tc>
      </w:tr>
    </w:tbl>
    <w:p/>
    <w:p>
      <w:pPr>
        <w:pStyle w:val="4"/>
      </w:pPr>
      <w:r>
        <w:t>8.5  上线后评估机制</w:t>
      </w:r>
    </w:p>
    <w:p>
      <w:r>
        <w:t>上线后按下列节点评估，指标公式、数据源、责任人、统计窗口和通过门禁以第 8.6 节为准；评估结论写入程序“关于 / 变更记录”并同步回填本规范。</w:t>
      </w:r>
    </w:p>
    <w:p>
      <w:r>
        <w:t>表 8-3  评估节点与动作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节点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动作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试运行期（第 1 个月）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每日记录使用问题；第 2–4 周双轨核对；期满决定是否正式弃用 Excel 台账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上线满 1 个月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核对跟进超期率、月度对账耗时、备份成功率与异常关闭次数（自 logs 统计）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上线满 3 个月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数据量与性能对照第 3.7 节实测复盘；汇总改进需求，评估是否升主版本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持续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每次变更登记于“关于 / 变更记录”，与本文第 1.4 节版本约定同步</w:t>
            </w:r>
          </w:p>
        </w:tc>
      </w:tr>
    </w:tbl>
    <w:p>
      <w:pPr>
        <w:pStyle w:val="4"/>
      </w:pPr>
      <w:r>
        <w:t>8.6  指标定义与评估门禁</w:t>
      </w:r>
    </w:p>
    <w:p>
      <w:pPr/>
      <w:r>
        <w:t>以下目标值为试运行前的建议起始值。基线采集完成后允许调整，但必须记录调整原因、样本范围和批准人；没有公式或证据的指标不得判定为达标。</w:t>
      </w:r>
    </w:p>
    <w:p>
      <w:pPr/>
      <w:r>
        <w:t>表 8-4  指标定义与判定规则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028"/>
            <w:vAlign w:val="center"/>
          </w:tcPr>
          <w:p>
            <w:r>
              <w:rPr>
                <w:b/>
              </w:rPr>
              <w:t>计算 / 口径</w:t>
            </w:r>
          </w:p>
        </w:tc>
        <w:tc>
          <w:tcPr>
            <w:tcW w:type="dxa" w:w="3028"/>
            <w:vAlign w:val="center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028"/>
            <w:vAlign w:val="center"/>
          </w:tcPr>
          <w:p>
            <w:r>
              <w:rPr>
                <w:b/>
              </w:rPr>
              <w:t>数据源与频率</w:t>
            </w:r>
          </w:p>
        </w:tc>
        <w:tc>
          <w:tcPr>
            <w:tcW w:type="dxa" w:w="3028"/>
            <w:vAlign w:val="center"/>
          </w:tcPr>
          <w:p>
            <w:r>
              <w:rPr>
                <w:b/>
              </w:rPr>
              <w:t>超标处置</w:t>
            </w:r>
          </w:p>
        </w:tc>
      </w:tr>
      <w:tr>
        <w:tc>
          <w:tcPr>
            <w:tcW w:type="dxa" w:w="3028"/>
            <w:vAlign w:val="center"/>
          </w:tcPr>
          <w:p>
            <w:r>
              <w:rPr>
                <w:b w:val="0"/>
              </w:rPr>
              <w:t>跟进超期率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到期且未完成的跟进任务数 / 到期任务总数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≤ 5%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follow_ups；月度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核查提醒规则和数据完整性，必要时回退试运行</w:t>
            </w:r>
          </w:p>
        </w:tc>
      </w:tr>
      <w:tr>
        <w:tc>
          <w:tcPr>
            <w:tcW w:type="dxa" w:w="3028"/>
            <w:vAlign w:val="center"/>
          </w:tcPr>
          <w:p>
            <w:r>
              <w:rPr>
                <w:b w:val="0"/>
              </w:rPr>
              <w:t>对账耗时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从打开对账功能到成功导出的中位数 / P90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中位数 ≤ 60 分钟，P90 ≤ 90 分钟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操作日志；连续 3 个月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定位流程或性能瓶颈，记录改进项</w:t>
            </w:r>
          </w:p>
        </w:tc>
      </w:tr>
      <w:tr>
        <w:tc>
          <w:tcPr>
            <w:tcW w:type="dxa" w:w="3028"/>
            <w:vAlign w:val="center"/>
          </w:tcPr>
          <w:p>
            <w:r>
              <w:rPr>
                <w:b w:val="0"/>
              </w:rPr>
              <w:t>备份成功率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通过校验的备份数 / 应执行备份数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≥ 99%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backup_records；每周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失败立即重试并检查介质空间</w:t>
            </w:r>
          </w:p>
        </w:tc>
      </w:tr>
      <w:tr>
        <w:tc>
          <w:tcPr>
            <w:tcW w:type="dxa" w:w="3028"/>
            <w:vAlign w:val="center"/>
          </w:tcPr>
          <w:p>
            <w:r>
              <w:rPr>
                <w:b w:val="0"/>
              </w:rPr>
              <w:t>还原成功率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还原后完整性检查通过的次数 / 演练次数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100%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还原演练；每月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暂停发布并修复恢复链路</w:t>
            </w:r>
          </w:p>
        </w:tc>
      </w:tr>
      <w:tr>
        <w:tc>
          <w:tcPr>
            <w:tcW w:type="dxa" w:w="3028"/>
            <w:vAlign w:val="center"/>
          </w:tcPr>
          <w:p>
            <w:r>
              <w:rPr>
                <w:b w:val="0"/>
              </w:rPr>
              <w:t>恢复目标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最近可恢复备份年龄 / 从损坏到可用的耗时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RPO ≤ 24 小时；RTO ≤ 30 分钟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备份和恢复日志；每月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升级为高风险并重新验收</w:t>
            </w:r>
          </w:p>
        </w:tc>
      </w:tr>
      <w:tr>
        <w:tc>
          <w:tcPr>
            <w:tcW w:type="dxa" w:w="3028"/>
            <w:vAlign w:val="center"/>
          </w:tcPr>
          <w:p>
            <w:r>
              <w:rPr>
                <w:b w:val="0"/>
              </w:rPr>
              <w:t>数据完整率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已填写必填字段的记录数 / 应填记录数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≥ 98%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导入报告和月度抽查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修正导入模板或录入校验</w:t>
            </w:r>
          </w:p>
        </w:tc>
      </w:tr>
      <w:tr>
        <w:tc>
          <w:tcPr>
            <w:tcW w:type="dxa" w:w="3028"/>
            <w:vAlign w:val="center"/>
          </w:tcPr>
          <w:p>
            <w:r>
              <w:rPr>
                <w:b w:val="0"/>
              </w:rPr>
              <w:t>性能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固定硬件和数据集下的冷启动、列表查询 P95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启动 ≤ 3 秒；查询 ≤ 300 毫秒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性能数据集；每个发布版本</w:t>
            </w:r>
          </w:p>
        </w:tc>
        <w:tc>
          <w:tcPr>
            <w:tcW w:type="dxa" w:w="3028"/>
            <w:vAlign w:val="center"/>
          </w:tcPr>
          <w:p>
            <w:r>
              <w:rPr>
                <w:b w:val="0"/>
              </w:rPr>
              <w:t>未达标不得进入发布验收</w:t>
            </w:r>
          </w:p>
        </w:tc>
      </w:tr>
    </w:tbl>
    <w:p>
      <w:pPr/>
      <w:r>
        <w:t>评估门禁：试运行第 1 至第 4 周并行记录；第 4 周结束时，所有 P0 指标达到目标或有经批准的偏差说明，且备份还原演练通过，才可决定停止 Excel 并行台账。</w:t>
      </w:r>
    </w:p>
    <w:p>
      <w:pPr>
        <w:pStyle w:val="4"/>
      </w:pPr>
      <w:r>
        <w:t>8.7  阶段完成定义与 P0 验收证据</w:t>
      </w:r>
    </w:p>
    <w:p>
      <w:pPr/>
      <w:r>
        <w:t>每个阶段交付必须同时提供版本号、测试数据集、执行记录、失败记录、修复记录和回滚方式。下表是本版本冻结的最小 P0 证据集。</w:t>
      </w:r>
    </w:p>
    <w:p>
      <w:pPr/>
      <w:r>
        <w:t>表 8-5  P0 验收用例与证据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784"/>
            <w:vAlign w:val="center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784"/>
            <w:vAlign w:val="center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3784"/>
            <w:vAlign w:val="center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P0-01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无 WebView2 / 无开发环境 / 断网启动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按发布方案启动并进入工作台，不发起网络请求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环境矩阵、启动日志、屏幕记录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P0-02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启动后立即强杀，随后重新打开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识别 dirty，完成完整性检查并进入恢复流程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日志、恢复选择记录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P0-03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正常退出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数据库关闭、备份完成、clean 原子写入、进程消失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退出日志、备份记录、进程检查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P0-04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备份失败或空间不足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不伪报成功，给出重试 / 另存 / 风险确认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错误日志、用户选择、失败备份记录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P0-05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主库损坏后还原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还原前保护现状，还原后 integrity_check 通过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前后校验值、还原报告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P0-06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状态非法跳转与回退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阻止非法跳转；回退必须填原因并写审计记录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状态机测试和 audit_logs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P0-07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导入重复、错列、半批失败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预检报告明确，事务整体回滚或按策略幂等处理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导入报告、数据库前后计数</w:t>
            </w:r>
          </w:p>
        </w:tc>
      </w:tr>
      <w:tr>
        <w:tc>
          <w:tcPr>
            <w:tcW w:type="dxa" w:w="3784"/>
            <w:vAlign w:val="center"/>
          </w:tcPr>
          <w:p>
            <w:r>
              <w:rPr>
                <w:b w:val="0"/>
              </w:rPr>
              <w:t>P0-08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保护口令、恢复密钥和敏感导出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文件级保护边界与恢复流程符合第 3.8 节</w:t>
            </w:r>
          </w:p>
        </w:tc>
        <w:tc>
          <w:tcPr>
            <w:tcW w:type="dxa" w:w="3784"/>
            <w:vAlign w:val="center"/>
          </w:tcPr>
          <w:p>
            <w:r>
              <w:rPr>
                <w:b w:val="0"/>
              </w:rPr>
              <w:t>加密测试、恢复演练、脱敏日志</w:t>
            </w:r>
          </w:p>
        </w:tc>
      </w:tr>
    </w:tbl>
    <w:p/>
    <w:p>
      <w:pPr>
        <w:pStyle w:val="3"/>
      </w:pPr>
      <w:r>
        <w:t>9  风险分析与应对</w:t>
      </w:r>
    </w:p>
    <w:p>
      <w:r>
        <w:t>本章登记本程序全生命周期的主要风险与应对措施；风险表随版本评审更新，新增风险按“编号 + 等级 + 应对”补登，并在“变更记录”与本文同步。</w:t>
      </w:r>
    </w:p>
    <w:p>
      <w:pPr>
        <w:pStyle w:val="4"/>
      </w:pPr>
      <w:r>
        <w:t>9.1  风险登记表</w:t>
      </w:r>
    </w:p>
    <w:p>
      <w:r>
        <w:t>表 9-1  风险登记与应对措施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927"/>
        <w:gridCol w:w="3175"/>
        <w:gridCol w:w="2381"/>
        <w:gridCol w:w="2268"/>
        <w:gridCol w:w="2608"/>
        <w:gridCol w:w="2664"/>
      </w:tblGrid>
      <w:tr>
        <w:trPr>
          <w:cantSplit/>
          <w:tblHeader w:val="true"/>
        </w:trPr>
        <w:tc>
          <w:tcPr>
            <w:tcW w:type="dxa" w:w="192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编号</w:t>
            </w:r>
          </w:p>
        </w:tc>
        <w:tc>
          <w:tcPr>
            <w:tcW w:type="dxa" w:w="317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风险</w:t>
            </w:r>
          </w:p>
        </w:tc>
        <w:tc>
          <w:tcPr>
            <w:tcW w:type="dxa" w:w="238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等级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影响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应对措施</w:t>
            </w:r>
          </w:p>
        </w:tc>
        <w:tc>
          <w:tcPr>
            <w:tcW w:type="dxa" w:w="266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责任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R1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U 盘丢失 / 被盗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高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客户、价格与应收信息泄露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保护模式下主库、备份和敏感导出采用一致的静态加密；恢复密钥存放于非 U 盘介质；每月执行一次还原演练。未启用保护模式时必须显示明文风险，不得宣称已加密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R2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备份与主库同盘损坏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高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U 盘损坏即数据与备份同时丢失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每周复制 backup 至非 U 盘介质（3.5 节异地容灾）；月底对账后另存台账导出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R3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单人维护断档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无人可重建或修复程序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源码与构建说明归档于非 U 盘位置；本文与附录 B 保证库结构可被任意 SQLite 工具读取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R4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杀毒软件误报 / 拦截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程序无法启动或被隔离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单一可信来源发布、必要时代码签名；发布前经 Defender / 360 / 火绒实测记录；提供可信目录添加指引，不要求关闭防护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R5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Windows 大版本更新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运行或显示异常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明确支持范围 Win10 / 11（7.10 节）；系统大更新后执行 8.2 节清单回归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R6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依赖生态变动（Tauri 2 等）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升级引发不兼容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锁定依赖版本号；升级按次版本变更走 8.4 节回归；组件库经令牌层隔离、可替换（3.3 节）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R7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数据量超预期增长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低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查询性能劣化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3.7 节已按三年百 MB 预估；附件存文件系统、库内只存路径；必要时归档历史数据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开发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R8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误操作 / 脏数据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低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台账错误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前后端双重校验（3.3 节）；删除二次确认（7.7 节）；状态回退留痕（2.3 节）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R9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U 盘介质劣化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低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反复异常关闭、数据丢失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连续异常关闭主动提示（5.5 节）；选用 USB 3.0 及以上品牌 U 盘并保持双份数据</w:t>
            </w:r>
          </w:p>
        </w:tc>
        <w:tc>
          <w:tcPr>
            <w:tcW w:type="dxa" w:w="266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本人</w:t>
            </w:r>
          </w:p>
        </w:tc>
      </w:tr>
    </w:tbl>
    <w:p/>
    <w:p>
      <w:pPr>
        <w:pStyle w:val="4"/>
      </w:pPr>
      <w:r>
        <w:t>9.2  风险复查</w:t>
      </w:r>
    </w:p>
    <w:p>
      <w:r>
        <w:t>每次版本评审核对风险表：已消除的风险标记关闭并保留记录；新风险补登编号、等级与应对，并同步“变更记录”。</w:t>
      </w:r>
    </w:p>
    <w:p>
      <w:pPr>
        <w:pStyle w:val="4"/>
      </w:pPr>
      <w:r>
        <w:t>9.3  支持资源与维护约定</w:t>
      </w:r>
    </w:p>
    <w:p>
      <w:r>
        <w:t>表 9-2  支持资源与维护约定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041"/>
        <w:gridCol w:w="12984"/>
      </w:tblGrid>
      <w:tr>
        <w:trPr>
          <w:cantSplit/>
          <w:tblHeader w:val="true"/>
        </w:trPr>
        <w:tc>
          <w:tcPr>
            <w:tcW w:type="dxa" w:w="204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事项</w:t>
            </w:r>
          </w:p>
        </w:tc>
        <w:tc>
          <w:tcPr>
            <w:tcW w:type="dxa" w:w="12983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约定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用户上手指引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程序内置“帮助”页（常用操作、备份与还原步骤图文说明）；恢复备份操作另备一份纸质指引随 U 盘存放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源码归档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源码与构建说明存放于非 U 盘位置，每次发布同步归档一份（对应 R3）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更新分发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更新即发布新绿色目录压缩包；覆盖升级前自动备份并执行库版本迁移校验，失败可回退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变更记录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程序“关于 / 变更记录”页登记每次变更（1.4 节），与本规范同步回填</w:t>
            </w:r>
          </w:p>
        </w:tc>
      </w:tr>
      <w:tr>
        <w:trPr>
          <w:cantSplit/>
        </w:trPr>
        <w:tc>
          <w:tcPr>
            <w:tcW w:type="dxa" w:w="204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介质与预算</w:t>
            </w:r>
          </w:p>
        </w:tc>
        <w:tc>
          <w:tcPr>
            <w:tcW w:type="dxa" w:w="12983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建议使用 USB 3.0 及以上品牌 U 盘（直接影响 3.7 节启动与备份指标）；代码签名证书为可选支出，仅在误报影响使用时购买（R4）</w:t>
            </w:r>
          </w:p>
        </w:tc>
      </w:tr>
    </w:tbl>
    <w:p/>
    <w:p>
      <w:pPr>
        <w:pStyle w:val="3"/>
        <w:keepNext/>
        <w:spacing w:before="280" w:after="120" w:line="336" w:lineRule="auto"/>
      </w:pPr>
      <w:r>
        <w:rPr>
          <w:rFonts w:ascii="Arial" w:hAnsi="Arial" w:eastAsia="黑体"/>
          <w:b/>
          <w:color w:val="000000"/>
          <w:sz w:val="32"/>
        </w:rPr>
        <w:t>附录 A  业务状态—颜色—文案—控件对照总表</w:t>
      </w:r>
    </w:p>
    <w:p>
      <w:pPr>
        <w:spacing w:line="360" w:lineRule="auto" w:before="0" w:after="80"/>
        <w:ind w:firstLineChars="200" w:firstLine="48"/>
        <w:jc w:val="both"/>
      </w:pPr>
      <w:r>
        <w:t>本表定义状态展示色、文案和控件呈现；完整机器状态、允许流转和预警 / 金额属性边界以附录 C 为准，若两表冲突以附录 C 的状态码与流转规则为准。</w:t>
      </w:r>
    </w:p>
    <w:p>
      <w:pPr>
        <w:keepNext/>
        <w:spacing w:line="360" w:lineRule="auto" w:before="80" w:after="60"/>
        <w:ind/>
        <w:jc w:val="center"/>
      </w:pPr>
      <w:r>
        <w:rPr>
          <w:rFonts w:ascii="Arial" w:hAnsi="Arial" w:eastAsia="宋体"/>
          <w:color w:val="000000"/>
          <w:sz w:val="21"/>
        </w:rPr>
        <w:t>表 A.1  状态—颜色—文案—呈现—动作 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134"/>
        <w:gridCol w:w="1814"/>
        <w:gridCol w:w="2268"/>
        <w:gridCol w:w="1701"/>
        <w:gridCol w:w="1587"/>
        <w:gridCol w:w="3005"/>
        <w:gridCol w:w="3515"/>
      </w:tblGrid>
      <w:tr>
        <w:trPr>
          <w:cantSplit/>
          <w:tblHeader w:val="true"/>
        </w:trPr>
        <w:tc>
          <w:tcPr>
            <w:tcW w:type="dxa" w:w="113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1814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26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深色(色点/文字)</w:t>
            </w:r>
          </w:p>
        </w:tc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浅底(徽章底)</w:t>
            </w:r>
          </w:p>
        </w:tc>
        <w:tc>
          <w:tcPr>
            <w:tcW w:type="dxa" w:w="1587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徽章文案</w:t>
            </w:r>
          </w:p>
        </w:tc>
        <w:tc>
          <w:tcPr>
            <w:tcW w:type="dxa" w:w="300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列表呈现</w:t>
            </w:r>
          </w:p>
        </w:tc>
        <w:tc>
          <w:tcPr>
            <w:tcW w:type="dxa" w:w="3515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主要动作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潜在客户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潜在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灰点+灰徽章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推进到“初步接触”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初步接触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#2B6CB0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#E8F1F9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接触中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蓝点+浅蓝徽章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 / 推进阶段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送样测试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送样测试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青点+浅青徽章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登记样品与反馈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报价谈判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#D98A09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#FDF3E2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报价中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琥珀点+浅琥珀徽章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出具 / 更新报价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定点量产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定点量产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绿点+浅绿徽章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维护订单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客户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暂停 / 流失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#B5655E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#F7ECEA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暂停/流失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灰红点+浅灰红徽章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记录原因 / 重新激活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样品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待送样 / 测试中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 / 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 / 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按状态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对应色点徽章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送样 / 登记结果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样品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测试通过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转报价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样品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不通过 / 待复测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#D54941 / #D98A09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#FCEBEA / #FDF3E2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不通过/复测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 / 琥珀徽章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登记原因、再送样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待确认 / 备货中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 / #2B6CB0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 / #E8F1F9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按状态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对应色点徽章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确认 / 跟踪备货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已送货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已送货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青徽章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登记回签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已完成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已完成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绿徽章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查看 / 导出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订单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逾期未送货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#D54941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#FCEBEA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已逾期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红徽章 + 行提醒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更新交期 / 加急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未到期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未到期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灰徽章、金额常规色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查看对账单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临近到期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#D98A09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#FDF3E2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临近到期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琥珀徽章、金额琥珀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催款提醒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已逾期(分档)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#D54941→#9B2218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#FCEBEA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逾期N天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红色随账龄加深、金额加粗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置顶催收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部分回款（金额属性）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#0E8A8A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#E4F4F4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部分回款 x%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青徽章 + 比例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登记余款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回款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已结清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#2E9E5B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#E8F6EE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已结清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绿徽章、金额转次要色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归档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采购 / 库存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待询价 / 在途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#8A9099 / #2B6CB0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#F0F1F3 / #E8F1F9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按状态</w:t>
            </w:r>
          </w:p>
        </w:tc>
        <w:tc>
          <w:tcPr>
            <w:tcW w:type="dxa" w:w="300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对应色点徽章</w:t>
            </w:r>
          </w:p>
        </w:tc>
        <w:tc>
          <w:tcPr>
            <w:tcW w:type="dxa" w:w="3515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下单 / 跟催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采购 / 库存</w:t>
            </w:r>
          </w:p>
        </w:tc>
        <w:tc>
          <w:tcPr>
            <w:tcW w:type="dxa" w:w="1814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r>
              <w:rPr>
                <w:b w:val="0"/>
              </w:rPr>
              <w:t>低于安全库存（预警）</w:t>
            </w:r>
          </w:p>
        </w:tc>
        <w:tc>
          <w:tcPr>
            <w:tcW w:type="dxa" w:w="2268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#D98A09</w:t>
            </w:r>
          </w:p>
        </w:tc>
        <w:tc>
          <w:tcPr>
            <w:tcW w:type="dxa" w:w="1701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#FDF3E2</w:t>
            </w:r>
          </w:p>
        </w:tc>
        <w:tc>
          <w:tcPr>
            <w:tcW w:type="dxa" w:w="1587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库存偏低</w:t>
            </w:r>
          </w:p>
        </w:tc>
        <w:tc>
          <w:tcPr>
            <w:tcW w:type="dxa" w:w="300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琥珀徽章 + 数量琥珀</w:t>
            </w:r>
          </w:p>
        </w:tc>
        <w:tc>
          <w:tcPr>
            <w:tcW w:type="dxa" w:w="3515"/>
            <w:shd w:val="clear" w:color="auto" w:fill="FAFAFA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19"/>
              </w:rPr>
              <w:t>发起采购</w:t>
            </w:r>
          </w:p>
        </w:tc>
      </w:tr>
    </w:tbl>
    <w:p>
      <w:pPr>
        <w:spacing w:line="240" w:lineRule="auto" w:before="0" w:after="40"/>
        <w:ind/>
      </w:pPr>
    </w:p>
    <w:p>
      <w:pPr>
        <w:spacing w:line="360" w:lineRule="auto" w:before="0" w:after="80"/>
        <w:ind w:firstLineChars="200" w:firstLine="48"/>
        <w:jc w:val="both"/>
      </w:pPr>
      <w:r>
        <w:rPr>
          <w:rFonts w:ascii="Arial" w:hAnsi="Arial" w:eastAsia="宋体"/>
          <w:b w:val="0"/>
          <w:color w:val="000000"/>
          <w:sz w:val="24"/>
        </w:rPr>
        <w:t>说明：徽章统一为“深色小圆点 + 深色文字 + 浅底”，圆角 4px、左右内边距 8px、上下 2px；金额着色仅用于回款与库存预警，其余列保持常规文字色，避免整表色彩过载。</w:t>
      </w:r>
    </w:p>
    <w:p/>
    <w:p>
      <w:pPr>
        <w:pStyle w:val="3"/>
      </w:pPr>
      <w:r>
        <w:t>附录 B  数据字典（库表结构基线）</w:t>
      </w:r>
    </w:p>
    <w:p>
      <w:r>
        <w:t>本附录为 ./data/erp.db 的表结构基线；缺失对象、金额精度、派生字段、审计和迁移规则以附录 D 补充为准。字段命名采用蛇形小写，结构变更按第 1.4 节升版。金额不得使用 REAL 造成精度不确定，派生状态不得与来源记录长期脱节。</w:t>
      </w:r>
    </w:p>
    <w:p>
      <w:r>
        <w:t>表 B.1  数据字典总表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2608"/>
        <w:gridCol w:w="4762"/>
        <w:gridCol w:w="4252"/>
        <w:gridCol w:w="1701"/>
      </w:tblGrid>
      <w:tr>
        <w:trPr>
          <w:cantSplit/>
          <w:tblHeader w:val="true"/>
        </w:trPr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表（对象）</w:t>
            </w:r>
          </w:p>
        </w:tc>
        <w:tc>
          <w:tcPr>
            <w:tcW w:type="dxa" w:w="2608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字段</w:t>
            </w:r>
          </w:p>
        </w:tc>
        <w:tc>
          <w:tcPr>
            <w:tcW w:type="dxa" w:w="476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类型</w:t>
            </w:r>
          </w:p>
        </w:tc>
        <w:tc>
          <w:tcPr>
            <w:tcW w:type="dxa" w:w="4252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必填</w:t>
            </w:r>
          </w:p>
        </w:tc>
        <w:tc>
          <w:tcPr>
            <w:tcW w:type="dxa" w:w="1701"/>
            <w:shd w:val="clear" w:color="auto" w:fill="F2F2F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说明（约束 / 字典 / 默认）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customers 客户档案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name 客户名称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与 main_host 联合唯一索引，防重复建档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main_host 对接主机厂 / Tier1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可空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direction 产品方向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如内饰、出风口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material_system 材料体系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 PC/ABS、PP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stage 销售阶段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customer_stage，默认“潜在客户”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next_follow_date 下次跟进日期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超期标红依据（2.2 节）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follow_ups 跟进记录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客户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customers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content 跟进内容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follow_date 跟进日期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默认当天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next_date 下次跟进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联动更新客户档案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materials 材料牌号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code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唯一索引，如 PP+EPDM-TD20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base_resin 基材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 PP、PC/ABS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modification 改性方式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字典：TD / GF / 阻燃 / 遮光 / 光扩散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mi / impact / hdt / density 关键性能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熔指、冲击、热变形、密度分列存储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supplier_id 供应来源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suppliers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cost 参考成本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按询价更新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cost_date 成本更新日期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更新留痕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samples 样品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code 样品编号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唯一，按规则自动生成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客户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customers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material_id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materials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batch 批次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weight 送样克重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sent_date 送样日期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默认当天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test_items 测试项目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样品状态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sample_status（表 2-3）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fail_reason 不通过 / 复测原因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不通过、待复测时必填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quotations 报价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报价单号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唯一，自动生成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/ material_id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price 含税单价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0，元 / 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moq 起订量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freight 运费承担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字典：买方 / 卖方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valid_until 有效期至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到期提醒依据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version 版本号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从 1 递增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报价状态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quotation_status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orders 订单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订单号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/ material_id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qty 数量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0，kg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price 单价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含税，元 / 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amount 金额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= qty × price 自动计算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delivery_date 交期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逾期预警依据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订单状态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order_status（表 2-3）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sign_status 回签状态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sign_status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quotation_id 来源报价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报价转订单时回填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deliveries 送货单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送货单号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唯一，打印版式见 2.5 节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order_id 订单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orders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sent_date 送货日期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sign_date 回签日期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登记后更新订单回签状态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statements 对账单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对账单号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唯一，自动生成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customer_id 客户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period_start / period_end 对账期间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YYYY-MM-DD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total 对账金额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期间订单合计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received / unpaid 已收 / 未收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未收 = total − received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account_days 账期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aging 账龄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按日计算，着色依据（6.5 节）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promise_date 承诺回款日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pay_status 回款状态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pay_status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payments 回款登记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statement_id 对账单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statements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amount 回款金额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pay_date 回款日期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method 收款方式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字典：转账 / 承兑 / 现金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purchases 采购单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no 采购单号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supplier_id 供应商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suppliers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material_id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外键 → materials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qty 采购量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&gt; 0，kg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status 采购状态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字典 purchase_status（表 2-3）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eta 预计到货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在途计算依据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inventory 库存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material_id 牌号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on_hand 现有库存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kg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in_transit 在途量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与采购“在途”状态联动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safety 安全库存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低于触发琥珀预警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available 可用量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= on_hand + in_transit − 锁定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suppliers 供应商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name 名称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唯一，如金发、聚隆（冠久）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contact 联系方式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price_ref 最新询价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REAL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询价留痕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dicts 字典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type 字典类型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如 customer_stage、order_status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value 选项值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同 type 内唯一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label 显示名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enabled 启用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INTEGER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/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停用不删除，保证历史数据可读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settings 本地偏好</w:t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key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主键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/>
            </w:r>
          </w:p>
        </w:tc>
        <w:tc>
          <w:tcPr>
            <w:tcW w:type="dxa" w:w="2608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value</w:t>
            </w:r>
          </w:p>
        </w:tc>
        <w:tc>
          <w:tcPr>
            <w:tcW w:type="dxa" w:w="476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TEXT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left"/>
            </w:pPr>
            <w:r>
              <w:t xml:space="preserve">必填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8" w:type="dxa"/>
              <w:end w:w="108" w:type="dxa"/>
              <w:left w:w="108" w:type="dxa"/>
              <w:right w:w="108" w:type="dxa"/>
            </w:tcMar>
            <w:vAlign w:val="center"/>
          </w:tcPr>
          <w:p>
            <w:pPr>
              <w:spacing w:line="276" w:lineRule="auto" w:before="0" w:after="0"/>
              <w:ind/>
              <w:jc w:val="center"/>
            </w:pPr>
            <w:r>
              <w:t xml:space="preserve">JSON 序列化，如点 × 行为、窗口大小</w:t>
            </w:r>
          </w:p>
        </w:tc>
      </w:tr>
    </w:tbl>
    <w:p>
      <w:r>
        <w:t>索引与约束：customers(name, main_host)、materials(code)、各单据编号列建唯一索引；orders(delivery_date)、statements(promise_date)、customers(next_follow_date) 建普通索引供预警查询；所有外键 ON DELETE RESTRICT，被引用主数据不可直接删除，只能停用。</w:t>
      </w:r>
    </w:p>
    <w:p>
      <w:pPr>
        <w:pStyle w:val="3"/>
      </w:pPr>
      <w:r>
        <w:t>附录 C  状态码与流转矩阵</w:t>
      </w:r>
    </w:p>
    <w:p>
      <w:pPr/>
      <w:r>
        <w:t>本附录定义程序内部使用的不可变 code、显示名称、允许下一状态和触发条件。用户可维护显示名称和排序，但不得删除或停用仍被历史数据引用的 code。部分回款、低于安全库存、临近到期和逾期属于金额属性或预警标签，不占用主状态机。</w:t>
      </w:r>
    </w:p>
    <w:p>
      <w:pPr/>
      <w:r>
        <w:t>表 C.1  完整状态码与允许流转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2523"/>
            <w:vAlign w:val="cente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523"/>
            <w:vAlign w:val="center"/>
          </w:tcPr>
          <w:p>
            <w:r>
              <w:rPr>
                <w:b/>
              </w:rPr>
              <w:t>显示名称</w:t>
            </w:r>
          </w:p>
        </w:tc>
        <w:tc>
          <w:tcPr>
            <w:tcW w:type="dxa" w:w="2523"/>
            <w:vAlign w:val="center"/>
          </w:tcPr>
          <w:p>
            <w:r>
              <w:rPr>
                <w:b/>
              </w:rPr>
              <w:t>允许下一状态</w:t>
            </w:r>
          </w:p>
        </w:tc>
        <w:tc>
          <w:tcPr>
            <w:tcW w:type="dxa" w:w="2523"/>
            <w:vAlign w:val="center"/>
          </w:tcPr>
          <w:p>
            <w:r>
              <w:rPr>
                <w:b/>
              </w:rPr>
              <w:t>进入条件 / 必填</w:t>
            </w:r>
          </w:p>
        </w:tc>
        <w:tc>
          <w:tcPr>
            <w:tcW w:type="dxa" w:w="2523"/>
            <w:vAlign w:val="center"/>
          </w:tcPr>
          <w:p>
            <w:r>
              <w:rPr>
                <w:b/>
              </w:rPr>
              <w:t>色彩类别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客户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lead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潜在客户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contacted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已获取线索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中性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客户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contacted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初步接触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sampling / paused_lost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已有有效接触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进行中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客户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sampling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送样测试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quoting / paused_lost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已送样并等待反馈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流转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客户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quoting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报价谈判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won / paused_lost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已出具报价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关注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客户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won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定点量产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won / paused_lost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形成稳定订单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成功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客户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paused_lost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暂停 / 流失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contacted / sampling / quoting / won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必须填写原因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暂停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样品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pending_send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待送样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sent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客户、牌号必填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中性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样品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sent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已送样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testing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送样日期、批次必填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流转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样品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testing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测试中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passed / failed / retest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测试项目必填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进行中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样品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passed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通过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passed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测试结论必填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成功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样品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failed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不通过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retest / failed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失败原因必填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危险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样品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retest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待复测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sent / testing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复测原因必填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关注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订单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pending_confirm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待确认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preparing / 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客户、数量、价格必填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中性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订单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preparing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已确认备货中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delivered / 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交期必填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进行中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订单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delivered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已送货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signed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送货日期、数量必填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流转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订单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signed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已回签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completed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回签日期或凭证必填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成功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订单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completed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已完成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completed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终态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成功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采购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pending_quote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待询价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ordered / 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牌号、供应商可选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中性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采购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ordered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已下单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in_transit / 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采购量、下单日期必填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进行中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采购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in_transit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在途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received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预计到货日期可选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进行中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采购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received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入库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closed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实际入库量、批次必填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成功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采购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closed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关闭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closed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终态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中性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回款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not_due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未到期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near_due / overdue / settled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根据到期日计算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中性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回款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near_due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临近到期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overdue / settled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根据提醒提前天数计算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关注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回款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overdue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已逾期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settled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根据当前日期计算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危险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回款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settled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已结清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settled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已收金额等于应收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成功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订单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已取消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终态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危险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b w:val="0"/>
              </w:rPr>
              <w:t>采购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已取消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cancelled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终态</w:t>
            </w:r>
          </w:p>
        </w:tc>
        <w:tc>
          <w:tcPr>
            <w:tcW w:type="dxa" w:w="2523"/>
            <w:vAlign w:val="center"/>
          </w:tcPr>
          <w:p>
            <w:r>
              <w:rPr>
                <w:b w:val="0"/>
              </w:rPr>
              <w:t>危险</w:t>
            </w:r>
          </w:p>
        </w:tc>
      </w:tr>
    </w:tbl>
    <w:p>
      <w:pPr>
        <w:pStyle w:val="3"/>
      </w:pPr>
      <w:r>
        <w:t>附录 D  数据字典补充与约束</w:t>
      </w:r>
    </w:p>
    <w:p>
      <w:pPr/>
      <w:r>
        <w:t>本附录补齐附录 B 未覆盖但业务流程已引用的对象。字段名称是建议基线，落地时必须与迁移脚本、命令接口和验收用例保持一致。</w:t>
      </w:r>
    </w:p>
    <w:p>
      <w:pPr/>
      <w:r>
        <w:t>表 D.1  缺失对象与最小字段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最小字段</w:t>
            </w:r>
          </w:p>
        </w:tc>
        <w:tc>
          <w:tcPr>
            <w:tcW w:type="dxa" w:w="5046"/>
            <w:vAlign w:val="center"/>
          </w:tcPr>
          <w:p>
            <w:r>
              <w:rPr>
                <w:b/>
              </w:rPr>
              <w:t>关键约束 / 关系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contacts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customer_id、name、role、phone、email、preferred_channel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customer_id 外键；可有多个联系人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projects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customer_id、name、main_host、part_name、expected_volume、stage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项目独立维护阶段和预计量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sample_tests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sample_id、test_date、test_item、result、conclusion、next_action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一条样品可有多次测试 / 复测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quotation_items / order_items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document_id、material_id、batch、qty、unit_price、amount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amount = qty × unit_price；金额定点计算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delivery_items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delivery_id、order_item_id、batch、qty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支持分批送货；与打印单据一致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statement_items / payment_allocations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statement_id、order_id、allocated_amount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防止一笔回款重复计入多张对账单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inventory_movements / stock_reservations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material_id、movement_type、qty、batch、source_id、reserved_qty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可用量由流水和预留计算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attachments / audit_logs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object_type、object_id、relative_path、hash、event_type、before、after、reason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路径相对 exe；日志脱敏且不可静默删除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b w:val="0"/>
              </w:rPr>
              <w:t>import_batches / backup_records / schema_migrations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batch_id、source_row、status、checksum、backup_time、schema_version</w:t>
            </w:r>
          </w:p>
        </w:tc>
        <w:tc>
          <w:tcPr>
            <w:tcW w:type="dxa" w:w="5046"/>
            <w:vAlign w:val="center"/>
          </w:tcPr>
          <w:p>
            <w:r>
              <w:rPr>
                <w:b w:val="0"/>
              </w:rPr>
              <w:t>支持幂等导入、备份校验和版本迁移</w:t>
            </w:r>
          </w:p>
        </w:tc>
      </w:tr>
    </w:tbl>
    <w:p>
      <w:pPr/>
      <w:r>
        <w:t>统一约束：所有外键启用并验证；主数据删除采用停用或受控归档；字典 code 不因显示名称修改而改变；派生字段在查询或事务提交时重新计算；导入必须保留原文件校验值、批次号、失败行和回滚结果。</w:t>
      </w:r>
    </w:p>
    <w:sectPr>
      <w:footerReference w:type="default" r:id="rId9"/>
      <w:pgSz w:w="16838" w:h="11906" w:orient="landscape"/>
      <w:pgMar w:top="1020" w:right="850" w:bottom="102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DC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 w:ascii="Arial" w:hAnsi="Arial" w:eastAsia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Arial" w:hAnsi="Arial" w:eastAsia="黑体"/>
      <w:b/>
      <w:bCs/>
      <w14:textFill>
        <w14:solidFill>
          <w14:schemeClr w14:val="accent1"/>
        </w14:solidFill>
      </w14:textFill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Normal"/>
    <w:next w:val="Normal"/>
    <w:unhideWhenUsed/>
    <w:pPr>
      <w:spacing w:before="0" w:after="40" w:line="260" w:lineRule="auto"/>
      <w:ind w:left="0" w:firstLine="0"/>
    </w:pPr>
    <w:rPr>
      <w:rFonts w:ascii="Arial" w:hAnsi="Arial" w:eastAsia="宋体"/>
      <w:sz w:val="21"/>
      <w:szCs w:val="21"/>
    </w:rPr>
  </w:style>
  <w:style w:type="paragraph" w:styleId="TOC2">
    <w:name w:val="toc 2"/>
    <w:basedOn w:val="Normal"/>
    <w:next w:val="Normal"/>
    <w:unhideWhenUsed/>
    <w:pPr>
      <w:spacing w:before="0" w:after="40" w:line="260" w:lineRule="auto"/>
      <w:ind w:left="440" w:firstLine="0"/>
    </w:pPr>
    <w:rPr>
      <w:rFonts w:ascii="Arial" w:hAnsi="Arial" w:eastAsia="宋体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3044</Words>
  <Characters>3332</Characters>
  <Lines>0</Lines>
  <Paragraphs>0</Paragraphs>
  <TotalTime>0</TotalTime>
  <ScaleCrop>false</ScaleCrop>
  <LinksUpToDate>false</LinksUpToDate>
  <CharactersWithSpaces>3456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V1.2 baseline supplement generated from the reviewed ERP specification.</dc:description>
  <cp:lastModifiedBy>Codex</cp:lastModifiedBy>
  <dcterms:modified xsi:type="dcterms:W3CDTF">2026-09-12T13:00:53Z</dcterms:modified>
  <dc:subject>单人销售管理程序业务基线、P0 安全与验收补充</dc:subject>
  <dc:title>改性塑料颗粒销售个人工作进度跟踪管理规范（V1.2 基线补充版）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eyJoZGlkIjoiMWU0NzlmMDBiMmQwZmJlZjcwYjY4NmNmZjA5MzA2YjEiLCJ1c2VySWQiOiIyOTAyNjgwNTUifQ==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71950C6C94CA47719146F7C175B50560_12</vt:lpwstr>
  </property>
</Properties>
</file>