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投标 / 响应文件</w:t>
      </w:r>
    </w:p>
    <w:p>
      <w:pPr>
        <w:jc w:val="center"/>
      </w:pPr>
      <w:r>
        <w:rPr>
          <w:b/>
          <w:sz w:val="44"/>
        </w:rPr>
        <w:t>三级结构骨架（按采购方式选用）</w:t>
      </w:r>
    </w:p>
    <w:p>
      <w:pPr>
        <w:jc w:val="center"/>
      </w:pPr>
      <w:r>
        <w:rPr>
          <w:b/>
          <w:sz w:val="28"/>
        </w:rPr>
        <w:t>生态环境咨询服务类</w:t>
      </w:r>
    </w:p>
    <w:p>
      <w:r>
        <w:br w:type="page"/>
      </w:r>
    </w:p>
    <w:p>
      <w:pPr>
        <w:pStyle w:val="Heading1"/>
      </w:pPr>
      <w:r>
        <w:rPr>
          <w:color w:val="16284A"/>
        </w:rPr>
        <w:t>使用说明</w:t>
      </w:r>
    </w:p>
    <w:p>
      <w:r>
        <w:rPr>
          <w:b w:val="0"/>
        </w:rPr>
        <w:t>按采购金额与方式三选一：正式投标（公开招标）→ 用第一级；竞争性磋商/谈判 → 用第二级；网上竞价/小额零星 → 用第三级。</w:t>
      </w:r>
    </w:p>
    <w:p>
      <w:pPr>
        <w:pStyle w:val="Heading1"/>
      </w:pPr>
      <w:r>
        <w:rPr>
          <w:color w:val="16284A"/>
        </w:rPr>
        <w:t>第一级 · 正式投标文件（公开招标，12件套）</w:t>
      </w:r>
    </w:p>
    <w:p>
      <w:r>
        <w:rPr>
          <w:b/>
        </w:rPr>
        <w:t>一、投标函及投标函附录</w:t>
      </w:r>
    </w:p>
    <w:p>
      <w:r>
        <w:rPr>
          <w:b/>
        </w:rPr>
        <w:t>二、法定代表人身份证明</w:t>
      </w:r>
    </w:p>
    <w:p>
      <w:r>
        <w:rPr>
          <w:b/>
        </w:rPr>
        <w:t>三、授权委托书</w:t>
      </w:r>
    </w:p>
    <w:p>
      <w:r>
        <w:rPr>
          <w:b/>
        </w:rPr>
        <w:t>四、服务方案（★评分大头）</w:t>
      </w:r>
    </w:p>
    <w:p>
      <w:r>
        <w:rPr>
          <w:b/>
        </w:rPr>
        <w:t>五、商务偏差表</w:t>
      </w:r>
    </w:p>
    <w:p>
      <w:r>
        <w:rPr>
          <w:b/>
        </w:rPr>
        <w:t>六、拟派项目人员（姓名/职称/任务分工表）</w:t>
      </w:r>
    </w:p>
    <w:p>
      <w:r>
        <w:rPr>
          <w:b/>
        </w:rPr>
        <w:t>七、资格审查资料（基本情况表+承诺函）</w:t>
      </w:r>
    </w:p>
    <w:p>
      <w:r>
        <w:rPr>
          <w:b/>
        </w:rPr>
        <w:t>八、中小企业声明函</w:t>
      </w:r>
    </w:p>
    <w:p>
      <w:r>
        <w:rPr>
          <w:b/>
        </w:rPr>
        <w:t>九、残疾人福利性单位声明函（如适用）</w:t>
      </w:r>
    </w:p>
    <w:p>
      <w:r>
        <w:rPr>
          <w:b/>
        </w:rPr>
        <w:t>十、监狱企业证明（如适用）</w:t>
      </w:r>
    </w:p>
    <w:p>
      <w:r>
        <w:rPr>
          <w:b/>
        </w:rPr>
        <w:t>十一、反商业贿赂承诺书</w:t>
      </w:r>
    </w:p>
    <w:p>
      <w:r>
        <w:rPr>
          <w:b/>
        </w:rPr>
        <w:t>十二、其他材料（业绩合同+验收证明）</w:t>
      </w:r>
    </w:p>
    <w:p>
      <w:r>
        <w:rPr>
          <w:i/>
          <w:color w:val="D6336C"/>
          <w:sz w:val="21"/>
        </w:rPr>
        <w:t>〔编制要点〕服务方案五段式：项目背景分析→实施方案→进度安排及培训计划→质量控制措施→重点难点及解决方案。背景分析必须写本地数据（当地空气质量/水质现状），通用模板拿不到技术分。</w:t>
      </w:r>
    </w:p>
    <w:p>
      <w:pPr>
        <w:pStyle w:val="Heading1"/>
      </w:pPr>
      <w:r>
        <w:rPr>
          <w:color w:val="16284A"/>
        </w:rPr>
        <w:t>第二级 · 磋商/谈判响应文件（5件套）</w:t>
      </w:r>
    </w:p>
    <w:p>
      <w:r>
        <w:rPr>
          <w:b/>
        </w:rPr>
        <w:t>1. 实施方案（背景目标→工作流程：事前准备/现场核查/事后反馈→分类施策→验收标准与长效机制）</w:t>
      </w:r>
    </w:p>
    <w:p>
      <w:r>
        <w:rPr>
          <w:b/>
        </w:rPr>
        <w:t>2. 经费预算</w:t>
      </w:r>
    </w:p>
    <w:p>
      <w:r>
        <w:rPr>
          <w:b/>
        </w:rPr>
        <w:t>3. 参与人员表（姓名/学历/专业/任务分工）</w:t>
      </w:r>
    </w:p>
    <w:p>
      <w:r>
        <w:rPr>
          <w:b/>
        </w:rPr>
        <w:t>4. 营业执照</w:t>
      </w:r>
    </w:p>
    <w:p>
      <w:r>
        <w:rPr>
          <w:b/>
        </w:rPr>
        <w:t>5. 授权委托书</w:t>
      </w:r>
    </w:p>
    <w:p>
      <w:pPr>
        <w:pStyle w:val="Heading1"/>
      </w:pPr>
      <w:r>
        <w:rPr>
          <w:color w:val="16284A"/>
        </w:rPr>
        <w:t>第三级 · 网上竞价响应文件（6件套）</w:t>
      </w:r>
    </w:p>
    <w:p>
      <w:r>
        <w:rPr>
          <w:b/>
        </w:rPr>
        <w:t>一、响应函（含有效期承诺）</w:t>
      </w:r>
    </w:p>
    <w:p>
      <w:r>
        <w:rPr>
          <w:b/>
        </w:rPr>
        <w:t>二、报价一览表</w:t>
      </w:r>
    </w:p>
    <w:p>
      <w:r>
        <w:rPr>
          <w:b/>
        </w:rPr>
        <w:t>三、供应商报价承诺</w:t>
      </w:r>
    </w:p>
    <w:p>
      <w:r>
        <w:rPr>
          <w:b/>
        </w:rPr>
        <w:t>四、营业执照扫描件</w:t>
      </w:r>
    </w:p>
    <w:p>
      <w:r>
        <w:rPr>
          <w:b/>
        </w:rPr>
        <w:t>五、技术参数响应及偏离表</w:t>
      </w:r>
    </w:p>
    <w:p>
      <w:r>
        <w:rPr>
          <w:b/>
        </w:rPr>
        <w:t>六、商务条款响应及偏离表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采购文件要求（★为实质性条款）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响应内容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偏离程度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偏离说明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rPr>
          <w:color w:val="16284A"/>
        </w:rPr>
        <w:t>★ 无效响应红线自查清单（评审视角反查）</w:t>
      </w:r>
    </w:p>
    <w:p>
      <w:r>
        <w:rPr>
          <w:b w:val="0"/>
        </w:rPr>
        <w:t>□ 报价超预算/最高限价 → 直接无效</w:t>
      </w:r>
    </w:p>
    <w:p>
      <w:r>
        <w:rPr>
          <w:b w:val="0"/>
        </w:rPr>
        <w:t>□ 单位负责人为同一人或直接控股关系的多家同投 → 无效</w:t>
      </w:r>
    </w:p>
    <w:p>
      <w:r>
        <w:rPr>
          <w:b w:val="0"/>
        </w:rPr>
        <w:t>□ ★号实质性条款出现负偏离 → 无效</w:t>
      </w:r>
    </w:p>
    <w:p>
      <w:r>
        <w:rPr>
          <w:b w:val="0"/>
        </w:rPr>
        <w:t>□ 资格文件缺项（执照/信用查询截图/承诺函漏签）→ 无效</w:t>
      </w:r>
    </w:p>
    <w:p>
      <w:r>
        <w:rPr>
          <w:b w:val="0"/>
        </w:rPr>
        <w:t>□ 未按格式编制带页码目录 → 扣分或无效</w:t>
      </w:r>
    </w:p>
    <w:p>
      <w:r>
        <w:rPr>
          <w:b w:val="0"/>
        </w:rPr>
        <w:t>□ 投标有效期短于采购文件要求 → 无效</w:t>
      </w:r>
    </w:p>
    <w:p>
      <w:r>
        <w:rPr>
          <w:i/>
          <w:color w:val="D6336C"/>
          <w:sz w:val="21"/>
        </w:rPr>
        <w:t>〔编制要点〕投标前用采购文件『评审办法』倒查自己的响应文件——先保证不死，再谈得分。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