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41E5" w:rsidRPr="00B73349" w:rsidRDefault="00000000" w:rsidP="00B73349">
      <w:pPr>
        <w:pStyle w:val="1"/>
        <w:spacing w:before="0" w:after="0"/>
        <w:jc w:val="center"/>
        <w:rPr>
          <w:rFonts w:asciiTheme="minorEastAsia" w:eastAsiaTheme="minorEastAsia" w:hAnsiTheme="minorEastAsia" w:cs="Arial"/>
          <w:b/>
          <w:bCs/>
          <w:color w:val="000000"/>
          <w:sz w:val="24"/>
          <w:szCs w:val="24"/>
        </w:rPr>
      </w:pPr>
      <w:r w:rsidRPr="00B73349">
        <w:rPr>
          <w:rFonts w:asciiTheme="minorEastAsia" w:eastAsiaTheme="minorEastAsia" w:hAnsiTheme="minorEastAsia" w:cs="Arial Unicode MS"/>
          <w:b/>
          <w:bCs/>
          <w:color w:val="000000"/>
          <w:sz w:val="24"/>
          <w:szCs w:val="24"/>
        </w:rPr>
        <w:t>SKAI WorldWide - DeepCube 영업보호 및 라이선스 협약서(초안)</w:t>
      </w:r>
    </w:p>
    <w:p w14:paraId="00000002" w14:textId="77777777" w:rsidR="000641E5" w:rsidRPr="00B73349" w:rsidRDefault="000641E5" w:rsidP="00B73349">
      <w:pPr>
        <w:spacing w:after="0"/>
        <w:rPr>
          <w:rFonts w:asciiTheme="minorEastAsia" w:hAnsiTheme="minorEastAsia" w:cs="Arial"/>
          <w:sz w:val="20"/>
          <w:szCs w:val="20"/>
        </w:rPr>
      </w:pPr>
    </w:p>
    <w:p w14:paraId="00000003" w14:textId="77777777" w:rsidR="000641E5" w:rsidRPr="00B73349" w:rsidRDefault="00000000" w:rsidP="00B73349">
      <w:pP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color w:val="000000"/>
          <w:sz w:val="20"/>
          <w:szCs w:val="20"/>
        </w:rPr>
        <w:t xml:space="preserve">제1조(목적) </w:t>
      </w:r>
      <w:r w:rsidRPr="00B73349">
        <w:rPr>
          <w:rFonts w:asciiTheme="minorEastAsia" w:hAnsiTheme="minorEastAsia" w:cs="Arial Unicode MS"/>
          <w:sz w:val="20"/>
          <w:szCs w:val="20"/>
        </w:rPr>
        <w:t>본 협약은 SKAI WorldWide(이하 “SKAI”)와 (주)딥큐브(이하 “딥큐브”) 간 통합 솔루션 공급 및 사업 협력 과정에서 각자의 기술, 지식재산권, 라이선스 및 영업이익을 보호하고, 상호 제공 범위와 사용 조건을 명확히 하는 것을 목적으로 한다.</w:t>
      </w:r>
    </w:p>
    <w:p w14:paraId="00000004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제2조(역할 및 제공 범위)</w:t>
      </w:r>
    </w:p>
    <w:p w14:paraId="00000005" w14:textId="77777777" w:rsidR="000641E5" w:rsidRPr="00B73349" w:rsidRDefault="00000000" w:rsidP="00B733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 제공 범위</w:t>
      </w:r>
    </w:p>
    <w:p w14:paraId="00000006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가. GUI 기반 AI Workflow 저작도구</w:t>
      </w:r>
    </w:p>
    <w:p w14:paraId="00000007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나. 기업형 구동엔진</w:t>
      </w:r>
    </w:p>
    <w:p w14:paraId="00000008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다. 인프라 관리기능</w:t>
      </w:r>
    </w:p>
    <w:p w14:paraId="00000009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라. RDB 자연어 조회 Agent</w:t>
      </w:r>
    </w:p>
    <w:p w14:paraId="0000000A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마. 솔루션 핵심 기술 및 프레임워크</w:t>
      </w:r>
    </w:p>
    <w:p w14:paraId="0000000B" w14:textId="77777777" w:rsidR="000641E5" w:rsidRPr="00B73349" w:rsidRDefault="00000000" w:rsidP="00B733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 제공 범위</w:t>
      </w:r>
    </w:p>
    <w:p w14:paraId="0000000C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가. GraphDB 기반 RAG(비정형 데이터 처리) 모듈</w:t>
      </w:r>
    </w:p>
    <w:p w14:paraId="0000000D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나. </w:t>
      </w:r>
      <w:r w:rsidRPr="00B73349">
        <w:rPr>
          <w:rFonts w:asciiTheme="minorEastAsia" w:hAnsiTheme="minorEastAsia" w:cs="Arial"/>
          <w:sz w:val="20"/>
          <w:szCs w:val="20"/>
        </w:rPr>
        <w:t>ChatBot UI</w:t>
      </w:r>
    </w:p>
    <w:p w14:paraId="0000000E" w14:textId="77777777" w:rsidR="000641E5" w:rsidRPr="00B73349" w:rsidRDefault="00000000" w:rsidP="00B733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구체적 기술사양, 일정, 납품물 및 검수 기준은 별도 작업지시서(SOW) 또는 발주서에 따른다.</w:t>
      </w:r>
    </w:p>
    <w:p w14:paraId="0000000F" w14:textId="77777777" w:rsidR="000641E5" w:rsidRPr="00B73349" w:rsidRDefault="00000000" w:rsidP="00B733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통합 솔루션이 하나의 제품처럼 판매되더라도, 각 구성요소의 권리 귀속과 라이선스 구조는 본 협약에 따른다.</w:t>
      </w:r>
    </w:p>
    <w:p w14:paraId="00000010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제3조(권리 귀속 원칙)</w:t>
      </w:r>
    </w:p>
    <w:p w14:paraId="00000011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 체결 이전 각 당사자가 보유하던 기술, 소스코드, 문서, 모델, 데이터, 노하우 및 기타 지식재산권(이하 “기존기술”)은 해당 당사자에게 독점적으로 귀속된다.</w:t>
      </w:r>
    </w:p>
    <w:p w14:paraId="00000012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딥큐브의 기존기술에는 제2조 제1항 기재 항목 및 그 개량, 파생물, 업데이트, 패치, 구성요소, 운영정책, 인터페이스 설계가 포함된다.</w:t>
      </w:r>
    </w:p>
    <w:p w14:paraId="00000013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SKAI의 기존기술에는 제2조 제2항 기재 항목 및 그 개량, 파생물, 업데이트가 포함된다.</w:t>
      </w:r>
    </w:p>
    <w:p w14:paraId="00000014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협력 과정에서 발생하는 통합 산출물의 권리관계는 다음에 따른다.</w:t>
      </w:r>
    </w:p>
    <w:p w14:paraId="00000015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가. 딥큐브 기존기술 또는 핵심 프레임워크에 의존하는 부분: 딥큐브 귀속</w:t>
      </w:r>
    </w:p>
    <w:p w14:paraId="00000016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나. SKAI 기존기술에 한정된 독립 모듈 부분: SKAI 귀속</w:t>
      </w:r>
    </w:p>
    <w:p w14:paraId="00000017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다. 공동 저작 또는 공동 발명으로 명백히 인정되는 부분: 별도 서면 합의에 따름</w:t>
      </w:r>
    </w:p>
    <w:p w14:paraId="00000018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제4항의 해석상 다툼이 있는 경우, 딥큐브 기존기술과의 기능적·구조적 결합성이 확인되는 범위는 딥큐브 귀속으로 본다.</w:t>
      </w:r>
    </w:p>
    <w:p w14:paraId="00000019" w14:textId="77777777" w:rsidR="000641E5" w:rsidRPr="00B73349" w:rsidRDefault="00000000" w:rsidP="00B733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 기존기술을 기반으로 생성된 개량기술, 튜닝 결과, 운영정책, 프롬프트 체계, 성능개선 결과물은 명칭 및 구현 방식과 무관하게 딥큐브에 귀속된다.</w:t>
      </w:r>
    </w:p>
    <w:p w14:paraId="0000001A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제4조(라이선스 부여)</w:t>
      </w:r>
    </w:p>
    <w:p w14:paraId="0000001B" w14:textId="77777777" w:rsidR="000641E5" w:rsidRPr="00B73349" w:rsidRDefault="00000000" w:rsidP="00B7334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딥큐브는 SKAI에게 딥큐브 제공 항목에 대하여 비독점, 양도불가, 재허락 불가, 목적제한적 사용권을 부여한다.</w:t>
      </w:r>
    </w:p>
    <w:p w14:paraId="0000001C" w14:textId="77777777" w:rsidR="000641E5" w:rsidRPr="00B73349" w:rsidRDefault="00000000" w:rsidP="00B7334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본 협약 및 개별 SOW에서 정한 목적 범위를 초과하여 딥큐브 기술을 복제, 개작, 판매, 임대, 재배포, SaaS 재판매, 제3자 제공할 수 없다.</w:t>
      </w:r>
    </w:p>
    <w:p w14:paraId="0000001D" w14:textId="77777777" w:rsidR="000641E5" w:rsidRPr="00B73349" w:rsidRDefault="00000000" w:rsidP="00B7334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lastRenderedPageBreak/>
        <w:t>SKAI의 계열사 또는 고객에게 제공이 필요한 경우, 딥큐브의 사전 서면 동의와 별도 라이선스 조건 합의가 있어야 한다.</w:t>
      </w:r>
    </w:p>
    <w:p w14:paraId="0000001E" w14:textId="77777777" w:rsidR="000641E5" w:rsidRPr="00B73349" w:rsidRDefault="00000000" w:rsidP="00B7334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딥큐브는 라이선스 위반 또는 대금 미지급이 발생한 경우 사전 통지 후 라이선스를 정지 또는 해지할 수 있다.</w:t>
      </w:r>
    </w:p>
    <w:p w14:paraId="0000001F" w14:textId="77777777" w:rsidR="000641E5" w:rsidRPr="00B73349" w:rsidRDefault="00000000" w:rsidP="00B7334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고객에게 딥큐브 기술의 소유권 이전, 소스코드 제공, 무제한 사용권, 영구 재판매권 등 본 협약을 초과하는 권리를 약정할 수 없다.</w:t>
      </w:r>
    </w:p>
    <w:p w14:paraId="00000020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제5조(금지행위)</w:t>
      </w:r>
    </w:p>
    <w:p w14:paraId="00000021" w14:textId="77777777" w:rsidR="000641E5" w:rsidRPr="00B73349" w:rsidRDefault="00000000" w:rsidP="00B7334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딥큐브의 사전 서면 동의 없이 다음의 행위를 할 수 없다.</w:t>
      </w:r>
    </w:p>
    <w:p w14:paraId="00000022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가. 역설계, 역컴파일, 디컴파일, 구조분석</w:t>
      </w:r>
    </w:p>
    <w:p w14:paraId="00000023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나. 모델/프롬프트/정책의 추출 또는 유사 기능 재현</w:t>
      </w:r>
    </w:p>
    <w:p w14:paraId="00000024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다. 딥큐브 솔루션 핵심 기술·프레임워크를 참조한 경쟁 솔루션 개발</w:t>
      </w:r>
    </w:p>
    <w:p w14:paraId="00000025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 xml:space="preserve">    라. 성능 벤치마크 결과의 대외 공개</w:t>
      </w:r>
    </w:p>
    <w:p w14:paraId="00000026" w14:textId="77777777" w:rsidR="000641E5" w:rsidRPr="00B73349" w:rsidRDefault="00000000" w:rsidP="00B7334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조 위반 시 딥큐브는 즉시 사용중지, 자료회수, 침해금지 및 손해배상을 청구할 수 있다.</w:t>
      </w:r>
    </w:p>
    <w:p w14:paraId="00000027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제6조(영업보호)</w:t>
      </w:r>
    </w:p>
    <w:p w14:paraId="00000028" w14:textId="77777777" w:rsidR="000641E5" w:rsidRPr="00B73349" w:rsidRDefault="00000000" w:rsidP="00B733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양 당사자는 협력 과정에서 취득한 상대방의 고객정보, 가격정책, 제안전략, 사업기회 정보를 상대방 사전 동의 없이 활용할 수 없다.</w:t>
      </w:r>
    </w:p>
    <w:p w14:paraId="00000029" w14:textId="77777777" w:rsidR="000641E5" w:rsidRPr="00B73349" w:rsidRDefault="00000000" w:rsidP="00B733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딥큐브의 사전 서면 동의 없이 딥큐브가 소개하거나 공동으로 발굴한 고객에게 독자적으로 직접 제안, 계약 체결 또는 우회 영업을 할 수 없다.</w:t>
      </w:r>
    </w:p>
    <w:p w14:paraId="0000002A" w14:textId="77777777" w:rsidR="000641E5" w:rsidRPr="00B73349" w:rsidRDefault="00000000" w:rsidP="00B733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조의 의무는 본 협약 기간 중 및 종료 후 2년간 유효하다.</w:t>
      </w:r>
    </w:p>
    <w:p w14:paraId="0000002B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제7조(영업행위 및 대외 커뮤니케이션 통제)</w:t>
      </w:r>
    </w:p>
    <w:p w14:paraId="0000002C" w14:textId="77777777" w:rsidR="000641E5" w:rsidRPr="00B73349" w:rsidRDefault="00000000" w:rsidP="00B733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SKAI가 고객에게 제시하는 제안서, 계약서, 기술설명서, 데모자료 중 딥큐브 기술의 권리범위, 기능범위, 지원범위에 영향을 미치는 문구는 딥큐브의 사전 서면 승인을 받아야 한다.</w:t>
      </w:r>
    </w:p>
    <w:p w14:paraId="0000002D" w14:textId="77777777" w:rsidR="000641E5" w:rsidRPr="00B73349" w:rsidRDefault="00000000" w:rsidP="00B733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딥큐브의 사전 서면 동의 없이 서비스 수준, 무상 커스터마이징, 무상 유지보수, 소스코드 제공 등 딥큐브에 의무를 직접 발생시키는 약정을 고객과 체결할 수 없다.</w:t>
      </w:r>
    </w:p>
    <w:p w14:paraId="0000002E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제8조(성과물 사용 및 표시)</w:t>
      </w:r>
    </w:p>
    <w:p w14:paraId="0000002F" w14:textId="77777777" w:rsidR="000641E5" w:rsidRPr="00B73349" w:rsidRDefault="00000000" w:rsidP="00B733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딥큐브 제공 기술이 포함된 결과물을 사용할 때, 딥큐브의 저작권 및 권리표시를 임의로 삭제, 변경 또는 은닉할 수 없다.</w:t>
      </w:r>
    </w:p>
    <w:p w14:paraId="00000030" w14:textId="77777777" w:rsidR="000641E5" w:rsidRPr="00B73349" w:rsidRDefault="00000000" w:rsidP="00B733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통합 솔루션의 대외 홍보, 보도자료, 레퍼런스 공개는 상대방의 사전 서면 승인 후 진행한다.</w:t>
      </w:r>
    </w:p>
    <w:p w14:paraId="00000031" w14:textId="77777777" w:rsidR="000641E5" w:rsidRPr="00B73349" w:rsidRDefault="00000000" w:rsidP="00B733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통합 솔루션을 대외적으로 안내할 때 딥큐브 Core 기술이 포함된 구조임을 사실과 다르게 은폐하거나 오인 유발 방식으로 단독 제품인 것처럼 표시할 수 없다.</w:t>
      </w:r>
    </w:p>
    <w:p w14:paraId="00000032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제9조(대금 및 조건부 권리)</w:t>
      </w:r>
    </w:p>
    <w:p w14:paraId="00000033" w14:textId="77777777" w:rsidR="000641E5" w:rsidRPr="00B73349" w:rsidRDefault="00000000" w:rsidP="00B733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라이선스 대금, 기술지원비, 유지보수비 등 상업조건은 별도 SOW 또는 상업합의서에 따른다.</w:t>
      </w:r>
    </w:p>
    <w:p w14:paraId="00000034" w14:textId="77777777" w:rsidR="000641E5" w:rsidRPr="00B73349" w:rsidRDefault="00000000" w:rsidP="00B733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SKAI의 지급 지연이 30일을 초과하는 경우, 딥큐브는 기술지원 중단, 라이선스 제한, 서비스 접근 차단 조치를 할 수 있다.</w:t>
      </w:r>
    </w:p>
    <w:p w14:paraId="00000035" w14:textId="77777777" w:rsidR="000641E5" w:rsidRPr="00B73349" w:rsidRDefault="00000000" w:rsidP="00B733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대금의 완전한 지급이 완료되기 전까지 딥큐브 제공 기술에 대한 사용권은 조건부·철회가능한 권리로 본다.</w:t>
      </w:r>
    </w:p>
    <w:p w14:paraId="00000036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lastRenderedPageBreak/>
        <w:t>제10조(감사권 및 컴플라이언스)</w:t>
      </w:r>
    </w:p>
    <w:p w14:paraId="00000037" w14:textId="77777777" w:rsidR="000641E5" w:rsidRPr="00B73349" w:rsidRDefault="00000000" w:rsidP="00B733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딥큐브는 본 협약의 라이선스 조건 준수 여부를 확인하기 위해 연 1회 서면 감사 또는 합리적 범위의 현장 감사를 실시할 수 있다.</w:t>
      </w:r>
    </w:p>
    <w:p w14:paraId="00000038" w14:textId="77777777" w:rsidR="000641E5" w:rsidRPr="00B73349" w:rsidRDefault="00000000" w:rsidP="00B733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고객 제공 현황, 배포 수량, 사용 범위, 재위탁 현황 등 준수 확인에 필요한 자료를 딥큐브 요청 시 제공한다.</w:t>
      </w:r>
    </w:p>
    <w:p w14:paraId="00000039" w14:textId="77777777" w:rsidR="000641E5" w:rsidRPr="00B73349" w:rsidRDefault="00000000" w:rsidP="00B733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위반이 확인될 경우 SKAI는 지체 없이 시정하고, 시정 전까지 딥큐브는 해당 범위의 라이선스를 일시 정지할 수 있다.</w:t>
      </w:r>
    </w:p>
    <w:p w14:paraId="0000003A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제11조(보증 및 책임 제한)</w:t>
      </w:r>
    </w:p>
    <w:p w14:paraId="0000003B" w14:textId="77777777" w:rsidR="000641E5" w:rsidRPr="00B73349" w:rsidRDefault="00000000" w:rsidP="00B733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각 당사자는 자신이 제공하는 기술이 제3자의 권리를 중대하게 침해하지 않도록 합리적 주의를 다한다.</w:t>
      </w:r>
    </w:p>
    <w:p w14:paraId="0000003C" w14:textId="77777777" w:rsidR="000641E5" w:rsidRPr="00B73349" w:rsidRDefault="00000000" w:rsidP="00B733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상대방의 승인없는 무단 변경, 목적 외 사용, 결합 또는 재배포로 인해 발생한 분쟁에 대해서는 해당 행위의 당사자가 책임을 진다.</w:t>
      </w:r>
    </w:p>
    <w:p w14:paraId="0000003D" w14:textId="77777777" w:rsidR="000641E5" w:rsidRPr="00B73349" w:rsidRDefault="00000000" w:rsidP="00B733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고객과의 계약 이후 공동 개발한 제품에 대해 배상할 상황이 발생하면, 양사는 각자 그 계약에서 그때까지 받은 금액 한도 내에서 배상한다.</w:t>
      </w:r>
    </w:p>
    <w:p w14:paraId="0000003E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제12조(침해 대응 및 면책)</w:t>
      </w:r>
    </w:p>
    <w:p w14:paraId="0000003F" w14:textId="77777777" w:rsidR="000641E5" w:rsidRPr="00B73349" w:rsidRDefault="00000000" w:rsidP="00B733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제3자가 딥큐브 기술에 대하여 권리침해를 주장하는 경우, SKAI는 지체 없이 딥큐브에 통지하고 대응에 협력한다.</w:t>
      </w:r>
    </w:p>
    <w:p w14:paraId="00000040" w14:textId="77777777" w:rsidR="000641E5" w:rsidRPr="00B73349" w:rsidRDefault="00000000" w:rsidP="00B733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딥큐브는 필요 시 수정, 대체, 사용범위 조정 등 합리적 조치를 통해 분쟁을 해결할 수 있다.</w:t>
      </w:r>
    </w:p>
    <w:p w14:paraId="00000041" w14:textId="77777777" w:rsidR="000641E5" w:rsidRPr="00B73349" w:rsidRDefault="00000000" w:rsidP="00B733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SKAI의 무단 변경, 비승인 환경 적용, 계약 위반 사용으로 인한 침해 주장에 대해서는 SKAI가 딥큐브를 면책한다.</w:t>
      </w:r>
    </w:p>
    <w:p w14:paraId="00000042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제13조(기간 및 해지)</w:t>
      </w:r>
    </w:p>
    <w:p w14:paraId="00000043" w14:textId="77777777" w:rsidR="000641E5" w:rsidRPr="00B73349" w:rsidRDefault="00000000" w:rsidP="00B733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협약의 유효기간은 서명일로부터 2년으로 하며, 종료 30일 전 서면 이의가 없으면 1년 단위로 자동 연장된다.</w:t>
      </w:r>
    </w:p>
    <w:p w14:paraId="00000044" w14:textId="77777777" w:rsidR="000641E5" w:rsidRPr="00B73349" w:rsidRDefault="00000000" w:rsidP="00B733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일방 당사자가 본 협약의 중대한 의무를 위반하고 상대방의 시정요구를 받은 날로부터 15일 이내에 시정하지 아니한 경우, 상대방은 즉시 해지할 수 있다.</w:t>
      </w:r>
    </w:p>
    <w:p w14:paraId="00000045" w14:textId="77777777" w:rsidR="000641E5" w:rsidRPr="00B73349" w:rsidRDefault="00000000" w:rsidP="00B733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SKAI의 제5조 또는 제6조 위반은 중대한 위반으로 간주하며, 딥큐브는 사전 시정기간 없이 즉시 해지할 수 있다.</w:t>
      </w:r>
    </w:p>
    <w:p w14:paraId="00000046" w14:textId="77777777" w:rsidR="000641E5" w:rsidRPr="00B73349" w:rsidRDefault="00000000" w:rsidP="00B733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계약 해지 시 SKAI는 딥큐브 기술 사용을 즉시 중단하고 관련 자료를 반환 또는 파기한다.</w:t>
      </w:r>
    </w:p>
    <w:p w14:paraId="00000047" w14:textId="77777777" w:rsidR="000641E5" w:rsidRPr="00B73349" w:rsidRDefault="00000000" w:rsidP="00B73349">
      <w:pPr>
        <w:numPr>
          <w:ilvl w:val="0"/>
          <w:numId w:val="8"/>
        </w:numP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계약 해지 또는 종료 시 SKAI는 고객사 대상 신규 판매, 추가 배포, 기능확장 제공을 즉시 중단한다. 단, 기 배포분은 별도의 유지보수 계약에 따른다.</w:t>
      </w:r>
    </w:p>
    <w:p w14:paraId="00000048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제14조(데이터 및 운영산출물 권리)</w:t>
      </w:r>
    </w:p>
    <w:p w14:paraId="00000049" w14:textId="77777777" w:rsidR="000641E5" w:rsidRPr="00B73349" w:rsidRDefault="00000000" w:rsidP="00B7334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통합 솔루션 운영 중 생성되는 로그, 질의 패턴, 장애 이력, 성능지표 등 운영산출물 중 딥큐브 기술 개선에 필요한 데이터에 대한 사용권은 딥큐브에 부여된다.</w:t>
      </w:r>
    </w:p>
    <w:p w14:paraId="0000004A" w14:textId="77777777" w:rsidR="000641E5" w:rsidRPr="00B73349" w:rsidRDefault="00000000" w:rsidP="00B7334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SKAI는 관련 법령 및 계약상 비밀유지 의무를 준수하는 범위에서 딥큐브의 품질개선 목적 데이터 활용을 부당하게 제한하지 않는다.</w:t>
      </w:r>
    </w:p>
    <w:p w14:paraId="0000004B" w14:textId="77777777" w:rsidR="000641E5" w:rsidRPr="00B73349" w:rsidRDefault="00000000" w:rsidP="00B7334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개인정보 또는 고객 기밀정보가 포함된 경우, 양 당사자는 비식별화 또는 최소 처리 원칙을 따른다.</w:t>
      </w:r>
    </w:p>
    <w:p w14:paraId="0000004C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lastRenderedPageBreak/>
        <w:t>제15조(분쟁해결)</w:t>
      </w:r>
    </w:p>
    <w:p w14:paraId="0000004D" w14:textId="77777777" w:rsidR="000641E5" w:rsidRPr="00B73349" w:rsidRDefault="00000000" w:rsidP="00B7334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협약은 대한민국 법령에 따라 해석 및 적용한다.</w:t>
      </w:r>
    </w:p>
    <w:p w14:paraId="0000004E" w14:textId="77777777" w:rsidR="000641E5" w:rsidRPr="00B73349" w:rsidRDefault="00000000" w:rsidP="00B7334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협약과 관련한 분쟁은 서울중앙지방법원을 관할 법원으로 한다.</w:t>
      </w:r>
    </w:p>
    <w:p w14:paraId="0000004F" w14:textId="77777777" w:rsidR="000641E5" w:rsidRPr="00B73349" w:rsidRDefault="00000000" w:rsidP="00B73349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B73349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제16조(기타)</w:t>
      </w:r>
    </w:p>
    <w:p w14:paraId="00000050" w14:textId="77777777" w:rsidR="000641E5" w:rsidRPr="00B73349" w:rsidRDefault="00000000" w:rsidP="00B7334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협약의 변경은 양 당사자의 서면 합의로만 가능하다.</w:t>
      </w:r>
    </w:p>
    <w:p w14:paraId="00000051" w14:textId="77777777" w:rsidR="000641E5" w:rsidRPr="00B73349" w:rsidRDefault="00000000" w:rsidP="00B7334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개별 SOW가 본 협약과 상충할 경우, 딥큐브의 기술 및 지식재산권 보호에 관한 조항을 우선 적용한다.</w:t>
      </w:r>
    </w:p>
    <w:p w14:paraId="00000052" w14:textId="77777777" w:rsidR="000641E5" w:rsidRPr="00B73349" w:rsidRDefault="00000000" w:rsidP="00B7334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협약의 일부 조항이 무효가 되더라도 나머지 조항의 효력에는 영향을 미치지 않는다.</w:t>
      </w:r>
    </w:p>
    <w:p w14:paraId="00000053" w14:textId="77777777" w:rsidR="000641E5" w:rsidRPr="00B73349" w:rsidRDefault="00000000" w:rsidP="00B73349">
      <w:pP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/>
        </w:rPr>
        <w:pict w14:anchorId="41753A02">
          <v:rect id="_x0000_i1025" style="width:0;height:1.5pt" o:hralign="center" o:hrstd="t" o:hr="t" fillcolor="#a0a0a0" stroked="f"/>
        </w:pict>
      </w:r>
    </w:p>
    <w:p w14:paraId="00000054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sz w:val="20"/>
          <w:szCs w:val="20"/>
        </w:rPr>
        <w:t>본 협약의 체결을 증명하기 위하여 본 협약서 2부를 작성하여, 양 당사자가 기명날인 후 각 1부씩 보관한다.</w:t>
      </w:r>
    </w:p>
    <w:p w14:paraId="00000055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"/>
          <w:sz w:val="20"/>
          <w:szCs w:val="20"/>
        </w:rPr>
        <w:t>20_</w:t>
      </w:r>
      <w:r w:rsidRPr="00B73349">
        <w:rPr>
          <w:rFonts w:asciiTheme="minorEastAsia" w:hAnsiTheme="minorEastAsia" w:cs="Arial Unicode MS"/>
          <w:sz w:val="20"/>
          <w:szCs w:val="20"/>
        </w:rPr>
        <w:t>년 _월 ___일</w:t>
      </w:r>
    </w:p>
    <w:p w14:paraId="00000056" w14:textId="77777777" w:rsidR="000641E5" w:rsidRPr="00B73349" w:rsidRDefault="000641E5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b/>
          <w:bCs/>
          <w:sz w:val="20"/>
          <w:szCs w:val="20"/>
        </w:rPr>
      </w:pPr>
    </w:p>
    <w:p w14:paraId="00000057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"/>
          <w:b/>
          <w:bCs/>
          <w:sz w:val="20"/>
          <w:szCs w:val="20"/>
        </w:rPr>
        <w:t>SKAI</w:t>
      </w:r>
      <w:r w:rsidRPr="00B73349">
        <w:rPr>
          <w:rFonts w:asciiTheme="minorEastAsia" w:hAnsiTheme="minorEastAsia" w:cs="Arial Unicode MS"/>
          <w:sz w:val="20"/>
          <w:szCs w:val="20"/>
        </w:rPr>
        <w:br/>
        <w:t>상호: SKAI WorldWide</w:t>
      </w:r>
      <w:r w:rsidRPr="00B73349">
        <w:rPr>
          <w:rFonts w:asciiTheme="minorEastAsia" w:hAnsiTheme="minorEastAsia" w:cs="Arial Unicode MS"/>
          <w:sz w:val="20"/>
          <w:szCs w:val="20"/>
        </w:rPr>
        <w:br/>
        <w:t>주소: ______________________________</w:t>
      </w:r>
      <w:r w:rsidRPr="00B73349">
        <w:rPr>
          <w:rFonts w:asciiTheme="minorEastAsia" w:hAnsiTheme="minorEastAsia" w:cs="Arial Unicode MS"/>
          <w:sz w:val="20"/>
          <w:szCs w:val="20"/>
        </w:rPr>
        <w:br/>
        <w:t>대표자: _________________________ (인)</w:t>
      </w:r>
    </w:p>
    <w:p w14:paraId="00000058" w14:textId="77777777" w:rsidR="000641E5" w:rsidRPr="00B73349" w:rsidRDefault="000641E5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b/>
          <w:bCs/>
          <w:sz w:val="20"/>
          <w:szCs w:val="20"/>
        </w:rPr>
      </w:pPr>
    </w:p>
    <w:p w14:paraId="00000059" w14:textId="77777777" w:rsidR="000641E5" w:rsidRPr="00B73349" w:rsidRDefault="00000000" w:rsidP="00B733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B73349">
        <w:rPr>
          <w:rFonts w:asciiTheme="minorEastAsia" w:hAnsiTheme="minorEastAsia" w:cs="Arial Unicode MS"/>
          <w:b/>
          <w:bCs/>
          <w:sz w:val="20"/>
          <w:szCs w:val="20"/>
        </w:rPr>
        <w:t>딥큐브</w:t>
      </w:r>
      <w:r w:rsidRPr="00B73349">
        <w:rPr>
          <w:rFonts w:asciiTheme="minorEastAsia" w:hAnsiTheme="minorEastAsia" w:cs="Arial Unicode MS"/>
          <w:sz w:val="20"/>
          <w:szCs w:val="20"/>
        </w:rPr>
        <w:br/>
        <w:t>상호: 주식회사 딥큐브</w:t>
      </w:r>
      <w:r w:rsidRPr="00B73349">
        <w:rPr>
          <w:rFonts w:asciiTheme="minorEastAsia" w:hAnsiTheme="minorEastAsia" w:cs="Arial Unicode MS"/>
          <w:sz w:val="20"/>
          <w:szCs w:val="20"/>
        </w:rPr>
        <w:br/>
        <w:t>주소: 서울시 서초구 효령로 53길 18 석탑오피스텔 910호</w:t>
      </w:r>
      <w:r w:rsidRPr="00B73349">
        <w:rPr>
          <w:rFonts w:asciiTheme="minorEastAsia" w:hAnsiTheme="minorEastAsia" w:cs="Arial Unicode MS"/>
          <w:sz w:val="20"/>
          <w:szCs w:val="20"/>
        </w:rPr>
        <w:br/>
        <w:t>대표자: 전성욱 (인)</w:t>
      </w:r>
    </w:p>
    <w:sectPr w:rsidR="000641E5" w:rsidRPr="00B73349">
      <w:footerReference w:type="default" r:id="rId8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A36D" w14:textId="77777777" w:rsidR="001A1119" w:rsidRDefault="001A1119" w:rsidP="00B73349">
      <w:pPr>
        <w:spacing w:after="0"/>
      </w:pPr>
      <w:r>
        <w:separator/>
      </w:r>
    </w:p>
  </w:endnote>
  <w:endnote w:type="continuationSeparator" w:id="0">
    <w:p w14:paraId="01EA2F08" w14:textId="77777777" w:rsidR="001A1119" w:rsidRDefault="001A1119" w:rsidP="00B733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6CFA022-56D3-44DD-8970-5FF7CCEFCED9}"/>
    <w:embedItalic r:id="rId2" w:fontKey="{72043B4F-FC03-451A-8EDE-CC2532991B0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1743365D-8B2B-4123-85EB-CA82DDC00603}"/>
    <w:embedBold r:id="rId4" w:subsetted="1" w:fontKey="{1A004FE8-DA34-4E15-BD0C-B87477B7E564}"/>
  </w:font>
  <w:font w:name="Play">
    <w:charset w:val="00"/>
    <w:family w:val="auto"/>
    <w:pitch w:val="default"/>
    <w:embedRegular r:id="rId5" w:fontKey="{EF69AD25-EBDA-4F51-9F2D-167E03A84B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D987101-8B70-4484-B706-3550B9475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7ED9BF3-EB6C-4CAD-AA83-794C1B13C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710370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0"/>
        <w:szCs w:val="20"/>
      </w:rPr>
    </w:sdtEndPr>
    <w:sdtContent>
      <w:p w14:paraId="2F1863F9" w14:textId="4E624E81" w:rsidR="00B73349" w:rsidRPr="00B73349" w:rsidRDefault="00B73349">
        <w:pPr>
          <w:pStyle w:val="a8"/>
          <w:jc w:val="center"/>
          <w:rPr>
            <w:rFonts w:asciiTheme="minorEastAsia" w:hAnsiTheme="minorEastAsia"/>
            <w:sz w:val="20"/>
            <w:szCs w:val="20"/>
          </w:rPr>
        </w:pPr>
        <w:r w:rsidRPr="00B73349">
          <w:rPr>
            <w:rFonts w:asciiTheme="minorEastAsia" w:hAnsiTheme="minorEastAsia"/>
            <w:sz w:val="20"/>
            <w:szCs w:val="20"/>
          </w:rPr>
          <w:fldChar w:fldCharType="begin"/>
        </w:r>
        <w:r w:rsidRPr="00B73349">
          <w:rPr>
            <w:rFonts w:asciiTheme="minorEastAsia" w:hAnsiTheme="minorEastAsia"/>
            <w:sz w:val="20"/>
            <w:szCs w:val="20"/>
          </w:rPr>
          <w:instrText>PAGE   \* MERGEFORMAT</w:instrText>
        </w:r>
        <w:r w:rsidRPr="00B73349">
          <w:rPr>
            <w:rFonts w:asciiTheme="minorEastAsia" w:hAnsiTheme="minorEastAsia"/>
            <w:sz w:val="20"/>
            <w:szCs w:val="20"/>
          </w:rPr>
          <w:fldChar w:fldCharType="separate"/>
        </w:r>
        <w:r w:rsidRPr="00B73349">
          <w:rPr>
            <w:rFonts w:asciiTheme="minorEastAsia" w:hAnsiTheme="minorEastAsia"/>
            <w:sz w:val="20"/>
            <w:szCs w:val="20"/>
            <w:lang w:val="ko-KR"/>
          </w:rPr>
          <w:t>2</w:t>
        </w:r>
        <w:r w:rsidRPr="00B73349">
          <w:rPr>
            <w:rFonts w:asciiTheme="minorEastAsia" w:hAnsiTheme="minorEastAsia"/>
            <w:sz w:val="20"/>
            <w:szCs w:val="20"/>
          </w:rPr>
          <w:fldChar w:fldCharType="end"/>
        </w:r>
      </w:p>
    </w:sdtContent>
  </w:sdt>
  <w:p w14:paraId="1A17BB79" w14:textId="77777777" w:rsidR="00B73349" w:rsidRDefault="00B733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5486" w14:textId="77777777" w:rsidR="001A1119" w:rsidRDefault="001A1119" w:rsidP="00B73349">
      <w:pPr>
        <w:spacing w:after="0"/>
      </w:pPr>
      <w:r>
        <w:separator/>
      </w:r>
    </w:p>
  </w:footnote>
  <w:footnote w:type="continuationSeparator" w:id="0">
    <w:p w14:paraId="47201223" w14:textId="77777777" w:rsidR="001A1119" w:rsidRDefault="001A1119" w:rsidP="00B733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67C8"/>
    <w:multiLevelType w:val="multilevel"/>
    <w:tmpl w:val="82E4C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7900834"/>
    <w:multiLevelType w:val="multilevel"/>
    <w:tmpl w:val="D2F45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68301B4"/>
    <w:multiLevelType w:val="multilevel"/>
    <w:tmpl w:val="27880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6923C3D"/>
    <w:multiLevelType w:val="multilevel"/>
    <w:tmpl w:val="987C3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A045D83"/>
    <w:multiLevelType w:val="multilevel"/>
    <w:tmpl w:val="54022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B446F68"/>
    <w:multiLevelType w:val="multilevel"/>
    <w:tmpl w:val="80F6D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E767CF7"/>
    <w:multiLevelType w:val="multilevel"/>
    <w:tmpl w:val="B5587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EBA277E"/>
    <w:multiLevelType w:val="multilevel"/>
    <w:tmpl w:val="8DC06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2805AB4"/>
    <w:multiLevelType w:val="multilevel"/>
    <w:tmpl w:val="0F629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5636CE0"/>
    <w:multiLevelType w:val="multilevel"/>
    <w:tmpl w:val="596038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F817D34"/>
    <w:multiLevelType w:val="multilevel"/>
    <w:tmpl w:val="F13C5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21F4E79"/>
    <w:multiLevelType w:val="multilevel"/>
    <w:tmpl w:val="7E785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3444301"/>
    <w:multiLevelType w:val="multilevel"/>
    <w:tmpl w:val="5ADE5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4441B65"/>
    <w:multiLevelType w:val="multilevel"/>
    <w:tmpl w:val="5B44C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F937717"/>
    <w:multiLevelType w:val="multilevel"/>
    <w:tmpl w:val="FE583F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5549268">
    <w:abstractNumId w:val="3"/>
  </w:num>
  <w:num w:numId="2" w16cid:durableId="1387878478">
    <w:abstractNumId w:val="10"/>
  </w:num>
  <w:num w:numId="3" w16cid:durableId="1555893526">
    <w:abstractNumId w:val="11"/>
  </w:num>
  <w:num w:numId="4" w16cid:durableId="1882283882">
    <w:abstractNumId w:val="7"/>
  </w:num>
  <w:num w:numId="5" w16cid:durableId="959729979">
    <w:abstractNumId w:val="8"/>
  </w:num>
  <w:num w:numId="6" w16cid:durableId="1072191535">
    <w:abstractNumId w:val="1"/>
  </w:num>
  <w:num w:numId="7" w16cid:durableId="476968">
    <w:abstractNumId w:val="12"/>
  </w:num>
  <w:num w:numId="8" w16cid:durableId="1966153340">
    <w:abstractNumId w:val="5"/>
  </w:num>
  <w:num w:numId="9" w16cid:durableId="1386878055">
    <w:abstractNumId w:val="6"/>
  </w:num>
  <w:num w:numId="10" w16cid:durableId="237789160">
    <w:abstractNumId w:val="14"/>
  </w:num>
  <w:num w:numId="11" w16cid:durableId="1302926662">
    <w:abstractNumId w:val="13"/>
  </w:num>
  <w:num w:numId="12" w16cid:durableId="1089809710">
    <w:abstractNumId w:val="9"/>
  </w:num>
  <w:num w:numId="13" w16cid:durableId="1241211388">
    <w:abstractNumId w:val="0"/>
  </w:num>
  <w:num w:numId="14" w16cid:durableId="691034469">
    <w:abstractNumId w:val="4"/>
  </w:num>
  <w:num w:numId="15" w16cid:durableId="134192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E5"/>
    <w:rsid w:val="000641E5"/>
    <w:rsid w:val="001A1119"/>
    <w:rsid w:val="001A67A1"/>
    <w:rsid w:val="00B7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CBBF"/>
  <w15:docId w15:val="{EA1A4EC6-8C48-4F9C-B2E2-D608D934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a5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5"/>
    <w:uiPriority w:val="99"/>
    <w:semiHidden/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B733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73349"/>
  </w:style>
  <w:style w:type="paragraph" w:styleId="a8">
    <w:name w:val="footer"/>
    <w:basedOn w:val="a"/>
    <w:link w:val="Char1"/>
    <w:uiPriority w:val="99"/>
    <w:unhideWhenUsed/>
    <w:rsid w:val="00B7334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73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AFD9C-736F-4A2E-8F19-284DF6551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Songwon Chi</cp:lastModifiedBy>
  <cp:revision>2</cp:revision>
  <dcterms:created xsi:type="dcterms:W3CDTF">2026-04-27T08:11:00Z</dcterms:created>
  <dcterms:modified xsi:type="dcterms:W3CDTF">2026-04-27T08:16:00Z</dcterms:modified>
</cp:coreProperties>
</file>