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Microsoft YaHei"/>
          <w:b/>
          <w:i w:val="0"/>
          <w:color w:val="0B2545"/>
          <w:sz w:val="48"/>
        </w:rPr>
        <w:t>H2 Sentinel × 雷动</w:t>
        <w:br/>
        <w:t>企业对接与需求澄清工作稿</w:t>
      </w:r>
    </w:p>
    <w:p>
      <w:pPr>
        <w:spacing w:after="240"/>
      </w:pPr>
      <w:r>
        <w:rPr>
          <w:rFonts w:ascii="Calibri" w:hAnsi="Calibri" w:eastAsia="Microsoft YaHei"/>
          <w:b/>
          <w:i w:val="0"/>
          <w:color w:val="5A6573"/>
          <w:sz w:val="24"/>
        </w:rPr>
        <w:t>会前工作稿 / 非官方评分结论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会议日期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预计时长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目标结果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工作稿状态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2026-08-30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60-75 分钟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4 项书面闭环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会前可填写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企业参会人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项目参会人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0"/>
              </w:rPr>
              <w:t>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0"/>
              </w:rPr>
              <w:t>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会议方式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记录人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0"/>
              </w:rPr>
              <w:t>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0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本次会议必须带走的四个结果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结果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01 权威资料版本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确认 00/02/03、PDF、Excel 与校验清单的优先级，形成书面版本说明。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02 交付与验收口径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取得 D01-D13、完整评分权重、硬门槛和事件级评分规则。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03 数据与提交契约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冻结字段、设备 ID、枚举、时间边界、evidence_json 与 submission checker。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04 双方行动项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逐项写明责任方、负责人、交付物和目标日期。</w:t>
            </w:r>
          </w:p>
        </w:tc>
      </w:tr>
    </w:tbl>
    <w:p>
      <w:pPr>
        <w:spacing w:after="40"/>
      </w:pPr>
    </w:p>
    <w:p>
      <w:pPr>
        <w:shd w:fill="FFF4CC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会议结束前逐项回读：没有书面版本、责任人和日期的事项，均视为未闭环。</w:t>
      </w:r>
    </w:p>
    <w:p>
      <w:pPr>
        <w:pStyle w:val="Heading2"/>
        <w:keepNext/>
      </w:pPr>
      <w:r>
        <w:t>证据边界</w:t>
      </w:r>
    </w:p>
    <w:p>
      <w:pPr>
        <w:shd w:fill="F4F6F9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Fixture、本地 smoke、HTTP 成功、浏览器截图和公开数据指标均不是组织方评分、隐藏测试、部署或生产证明；本文是内部工程审查与需求澄清工作稿，不换算官方完成率或官方分数。</w:t>
      </w:r>
    </w:p>
    <w:p>
      <w:pPr>
        <w:pStyle w:val="Heading1"/>
        <w:keepNext/>
      </w:pPr>
      <w:r>
        <w:t>2. 当前实现：可陈述事实与保守审查</w:t>
      </w:r>
    </w:p>
    <w:p>
      <w:pPr>
        <w:pStyle w:val="Heading2"/>
        <w:keepNext/>
      </w:pPr>
      <w:r>
        <w:t>2.1 已实现的 P1 本地优先目标</w:t>
      </w:r>
    </w:p>
    <w:p>
      <w:pPr>
        <w:pStyle w:val="ListNumber"/>
        <w:keepLines/>
        <w:spacing w:after="80" w:line="300" w:lineRule="auto"/>
        <w:ind w:left="540" w:hanging="271"/>
      </w:pPr>
      <w:r>
        <w:rPr>
          <w:rFonts w:ascii="Calibri" w:hAnsi="Calibri" w:eastAsia="Microsoft YaHei"/>
          <w:i w:val="0"/>
          <w:color w:val="0B2545"/>
          <w:sz w:val="22"/>
        </w:rPr>
        <w:t>十个官方问题（Q01-Q10）的离线确定性中文回答，引用证据并明确不确定性边界。</w:t>
      </w:r>
    </w:p>
    <w:p>
      <w:pPr>
        <w:pStyle w:val="ListNumber"/>
        <w:keepLines/>
        <w:spacing w:after="80" w:line="300" w:lineRule="auto"/>
        <w:ind w:left="540" w:hanging="271"/>
      </w:pPr>
      <w:r>
        <w:rPr>
          <w:rFonts w:ascii="Calibri" w:hAnsi="Calibri" w:eastAsia="Microsoft YaHei"/>
          <w:i w:val="0"/>
          <w:color w:val="0B2545"/>
          <w:sz w:val="22"/>
        </w:rPr>
        <w:t>事件确认、驳回、备注与追加式审查记录，且不改变检测结果和 16 列提交。</w:t>
      </w:r>
    </w:p>
    <w:p>
      <w:pPr>
        <w:pStyle w:val="ListNumber"/>
        <w:keepLines/>
        <w:spacing w:after="80" w:line="300" w:lineRule="auto"/>
        <w:ind w:left="540" w:hanging="271"/>
      </w:pPr>
      <w:r>
        <w:rPr>
          <w:rFonts w:ascii="Calibri" w:hAnsi="Calibri" w:eastAsia="Microsoft YaHei"/>
          <w:i w:val="0"/>
          <w:color w:val="0B2545"/>
          <w:sz w:val="22"/>
        </w:rPr>
        <w:t>从验证数据导入、分析、证据、助手、报告到提交的可复现演示路径。</w:t>
      </w:r>
    </w:p>
    <w:p>
      <w:pPr>
        <w:pStyle w:val="ListNumber"/>
        <w:keepLines/>
        <w:spacing w:after="80" w:line="300" w:lineRule="auto"/>
        <w:ind w:left="540" w:hanging="271"/>
      </w:pPr>
      <w:r>
        <w:rPr>
          <w:rFonts w:ascii="Calibri" w:hAnsi="Calibri" w:eastAsia="Microsoft YaHei"/>
          <w:i w:val="0"/>
          <w:color w:val="0B2545"/>
          <w:sz w:val="22"/>
        </w:rPr>
        <w:t>会议与评审所需的中文报告、错误信息、来源标识和人工确认边界。</w:t>
      </w:r>
    </w:p>
    <w:p>
      <w:pPr>
        <w:pStyle w:val="Heading2"/>
        <w:keepNext/>
      </w:pPr>
      <w:r>
        <w:t>2.2 T01-T14 内部工程口径</w:t>
      </w:r>
    </w:p>
    <w:p>
      <w:pPr>
        <w:shd w:fill="F4F6F9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i w:val="0"/>
          <w:color w:val="0B2545"/>
          <w:sz w:val="22"/>
        </w:rPr>
        <w:t>完整 8、部分 6、缺失 0。部分项为 T01/T02/T05/T06/T11/T13；该口径仅用于安排工程优先级。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350"/>
        <w:gridCol w:w="1750"/>
        <w:gridCol w:w="626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任务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事实/缺口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完整（8）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T03/T04/T07/T08/T09/T10/T12/T14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事件检测聚合、分类、影响量化、安全建议、Web/可视化、报告提交和无闭环控制均有实现与本地门禁。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部分（6）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T01</w:t>
            </w:r>
          </w:p>
        </w:tc>
        <w:tc>
          <w:tcPr>
            <w:tcW w:type="dxa" w:w="6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验证集与测试集可单次导入；训练集受 96 MiB/180,000 行上限约束，采用离线分片路径。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部分（6）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T02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已有质量门禁和运行记录；枚举、单位及跨文件质量校验仍需扩展。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部分（6）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T05</w:t>
            </w:r>
          </w:p>
        </w:tc>
        <w:tc>
          <w:tcPr>
            <w:tcW w:type="dxa" w:w="6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控制对象完整；部分 affected_equipment 仍按类别宽化，未全部动态定位到单台设备。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部分（6）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T06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证据链可引用时序、约束和支持日志；根因文字仍偏确定性规则，真实因果强度有限。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部分（6）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T11</w:t>
            </w:r>
          </w:p>
        </w:tc>
        <w:tc>
          <w:tcPr>
            <w:tcW w:type="dxa" w:w="6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固定问题完整；自然语言仅做封闭词组匹配，不能视为开放问答。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部分（6）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T13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具备本地启动、锁定依赖与故障门禁；尚无同一最终 SHA 的 clean-machine 复现证据。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缺失（0）</w:t>
            </w:r>
          </w:p>
        </w:tc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无</w:t>
            </w:r>
          </w:p>
        </w:tc>
        <w:tc>
          <w:tcPr>
            <w:tcW w:type="dxa" w:w="6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没有把任何任务标为完全缺失；此结论不代表官方验收通过。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本地公开数据结果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范围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公开验证（本地）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TP=69；FP=3；FN=1；F1=0.9718309859；匹配事件分类 69/69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公开测试数据（本地）</w:t>
            </w:r>
          </w:p>
        </w:tc>
        <w:tc>
          <w:tcPr>
            <w:tcW w:type="dxa" w:w="7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172,800 行；69 字段；输出 98 个事件；16 列 submission checker 通过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官方资料差异与提交契约 P0</w:t>
      </w:r>
    </w:p>
    <w:p>
      <w:pPr>
        <w:pStyle w:val="Heading2"/>
        <w:keepNext/>
      </w:pPr>
      <w:r>
        <w:t>3.1 版本/权威性待确认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900"/>
        <w:gridCol w:w="5060"/>
        <w:gridCol w:w="24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核对项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只读观察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会议处理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校验总览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清单记录 24 项，内容实测 21 项匹配。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版本/权威性待确认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数据与材料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全部数据与材料文件内容匹配；工作簿内容也匹配。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可作为当前数据契约参考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00_需求书.docx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与清单记录的文件名、大小、SHA 不一致。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版本/权威性待确认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02_应用交付与验收要求.md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与清单记录的文件名、大小、SHA 不一致。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版本/权威性待确认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03_README.md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与清单记录的文件名、大小、SHA 不一致。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版本/权威性待确认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00_赛题包说明.pdf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不属于校验清单项；宣称需求书第 8 节列 D01-D13、第 13 节列评分框架。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需确认其发布身份与优先级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实际 DOCX 结构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正文仅有第 1-7、11、12 节；无第 8-10/13 节、D01-D13 清单或完整评分权重。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请提供权威完整版本或勘误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Excel：Web验收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仅列 4+4+4+2+4=18 分的 Web 相关条目。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不能据此推导总分或完成率</w:t>
            </w:r>
          </w:p>
        </w:tc>
      </w:tr>
    </w:tbl>
    <w:p>
      <w:pPr>
        <w:spacing w:after="40"/>
      </w:pPr>
    </w:p>
    <w:p>
      <w:pPr>
        <w:shd w:fill="F4F6F9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以上只描述当前资料之间的差异，不指控文件被篡改，也不替代雷动或组委会的权威解释。</w:t>
      </w:r>
    </w:p>
    <w:p>
      <w:pPr>
        <w:pStyle w:val="Heading2"/>
        <w:keepNext/>
      </w:pPr>
      <w:r>
        <w:t>3.2 submission 契约歧义（P0）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主题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待澄清内容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设备标识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标签 affected_equipment 使用 ELZ1/BESS/PCC，设备台账使用 ELZ01/BESS01/PCC01；映射规则未冻结。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模板示例</w:t>
            </w:r>
          </w:p>
        </w:tc>
        <w:tc>
          <w:tcPr>
            <w:tcW w:type="dxa" w:w="7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submission 模板只有表头，没有标准示例行。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evidence_json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对象结构、必填字段、值类型、引用规则和最大长度未完整说明。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confidence</w:t>
            </w:r>
          </w:p>
        </w:tc>
        <w:tc>
          <w:tcPr>
            <w:tcW w:type="dxa" w:w="7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允许范围、精度、校准含义和缺省策略未完整说明。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时间与事件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时区、闭/开区间、跨日规则、合并/拆分/重叠、首检时间定义和事件匹配容差未完整说明。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枚举</w:t>
            </w:r>
          </w:p>
        </w:tc>
        <w:tc>
          <w:tcPr>
            <w:tcW w:type="dxa" w:w="7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severity、anomaly_subtype 的权威枚举与未知值策略未完整说明。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人工确认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requires_human_confirmation 的 CSV 编码、空值和必填规则未完整说明。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影响值</w:t>
            </w:r>
          </w:p>
        </w:tc>
        <w:tc>
          <w:tcPr>
            <w:tcW w:type="dxa" w:w="7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各类影响值的基线、单位、精度、允许误差和缺失值处理未完整说明。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P0 对接问题：会议内优先闭环</w:t>
      </w:r>
    </w:p>
    <w:p>
      <w:pPr>
        <w:pStyle w:val="Heading2"/>
        <w:keepNext/>
      </w:pPr>
      <w:r>
        <w:t>4.1 权威资料、评分、事件与 submission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050"/>
        <w:gridCol w:w="2900"/>
        <w:gridCol w:w="2100"/>
        <w:gridCol w:w="1900"/>
        <w:gridCol w:w="141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ID/主题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需要雷动确认什么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为什么影响比赛/用户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希望带走的书面产物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建议责任方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P0-01 权威资料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 00/02/03、PDF、Excel、校验清单各自版本、发布日期与冲突时优先级。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决定需求、交付和验收依据，避免实现对错版本。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版本清单 + 优先级/勘误说明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雷动/组委会资料负责人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P0-02 D01-D13 与评分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提供 13 项交付物、完整评分权重、硬门槛、淘汰条件及现场验收步骤。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决定资源优先级和提交包完整性。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交付物矩阵 + 评分表 + 验收 checklist</w:t>
            </w:r>
          </w:p>
        </w:tc>
        <w:tc>
          <w:tcPr>
            <w:tcW w:type="dxa" w:w="14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雷动业务负责人 + 组委会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P0-03 事件评分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说明事件合并/拆分/重叠、开始/结束边界、首检时间、类别/子类/严重度与影响值容差。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直接影响 Precision/Recall、延迟和影响量评分。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事件匹配规范 + 3-5 个正反例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雷动算法/评分负责人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P0-04 submission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提供标准示例行、完整 schema、evidence_json 结构、confidence 范围、布尔编码和官方 checker。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避免格式正确但评分脚本拒绝。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schema + 示例 CSV + checker/错误码</w:t>
            </w:r>
          </w:p>
        </w:tc>
        <w:tc>
          <w:tcPr>
            <w:tcW w:type="dxa" w:w="14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组委会评分工具负责人</w:t>
            </w:r>
          </w:p>
        </w:tc>
      </w:tr>
    </w:tbl>
    <w:p>
      <w:pPr>
        <w:spacing w:after="40"/>
      </w:pPr>
    </w:p>
    <w:p>
      <w:pPr>
        <w:shd w:fill="FFF4CC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现场原则：优先拿到可转交、可版本化的书面产物；口头结论必须记录责任人和确认日期。</w:t>
      </w:r>
    </w:p>
    <w:p>
      <w:r>
        <w:br w:type="page"/>
      </w:r>
    </w:p>
    <w:p>
      <w:pPr>
        <w:pStyle w:val="Heading2"/>
        <w:keepNext/>
      </w:pPr>
      <w:r>
        <w:t>4.2 数据、设备、正式测试与目标环境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050"/>
        <w:gridCol w:w="2900"/>
        <w:gridCol w:w="2100"/>
        <w:gridCol w:w="1900"/>
        <w:gridCol w:w="141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ID/主题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需要雷动确认什么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为什么影响比赛/用户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希望带走的书面产物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建议责任方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P0-05 69 字段口径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确认单位、枚举、缺失值、采样/聚合、时区、日界线、派生字段与符号口径。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影响导入、质量门禁、规则阈值和日报。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机器可读数据字典 + 版本号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雷动数据负责人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P0-06 设备拓扑/ID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 ELZ1↔ELZ01、BESS↔BESS01、PCC↔PCC01 映射及动态设备定位期望。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影响 T05、证据、报告和 submission 一致性。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设备拓扑 + ID 映射表 + 示例事件</w:t>
            </w:r>
          </w:p>
        </w:tc>
        <w:tc>
          <w:tcPr>
            <w:tcW w:type="dxa" w:w="14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 EMS/设备专家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P0-07 公开验证与正式测试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确认公开验证可否调参、禁止行为、正式测试上传方式、次数/时限、错误反馈和重提规则。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决定模型冻结、审计和现场流程。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测试流程说明 + 调参/重提政策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组委会竞赛运营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P0-08 clean-machine 环境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 OS、CPU/RAM、Node/Python/浏览器版本、网络、端口、安装权限、安装/运行时限和文件上限。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决定能否在目标机器一次启动并处理测试集。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目标环境 BOM + 复现验收脚本</w:t>
            </w:r>
          </w:p>
        </w:tc>
        <w:tc>
          <w:tcPr>
            <w:tcW w:type="dxa" w:w="14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 IT/现场技术支持</w:t>
            </w:r>
          </w:p>
        </w:tc>
      </w:tr>
    </w:tbl>
    <w:p>
      <w:pPr>
        <w:spacing w:after="40"/>
      </w:pPr>
    </w:p>
    <w:p>
      <w:pPr>
        <w:shd w:fill="F4F6F9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P0 完成标准：资料、评分、数据、提交和运行环境五类契约都有明确版本、责任方和生效日期。</w:t>
      </w:r>
    </w:p>
    <w:p>
      <w:r>
        <w:br w:type="page"/>
      </w:r>
    </w:p>
    <w:p>
      <w:pPr>
        <w:pStyle w:val="Heading1"/>
        <w:keepNext/>
      </w:pPr>
      <w:r>
        <w:t>5. P1 对接问题：在 P0 口径后推进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050"/>
        <w:gridCol w:w="2900"/>
        <w:gridCol w:w="2100"/>
        <w:gridCol w:w="1900"/>
        <w:gridCol w:w="141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ID/主题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需要雷动确认什么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为什么影响比赛/用户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希望带走的书面产物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建议责任方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P1-01 日志关联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确认报警/操作/维修日志的 join key、时钟偏差、迟到数据、保留期和可信等级。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影响跨日志证据与因果解释。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日志契约 + 时间同步说明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 EMS/运维数据负责人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P1-02 C06 基线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确认效率曲线插值、边界外处理、启停成本、最小稳定功率和额外耗电基线。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影响 C06 定位和影响量可复现性。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C06 计算口径 + 示例算例</w:t>
            </w:r>
          </w:p>
        </w:tc>
        <w:tc>
          <w:tcPr>
            <w:tcW w:type="dxa" w:w="14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雷动工艺/算法专家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P1-03 LLM 与治理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 LLM 是否必需、允许的模型/外部 API、离线降级、数据出域和日志留存要求。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影响架构、隐私、安全和现场可用性。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AI 使用与数据治理政策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 IT/安全 + 业务负责人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P1-04 资料/IP/展示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确认赛题资料、截图、指标、代码和演示视频的公开展示及知识产权边界。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避免泄露或错误对外背书。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可公开清单 + 署名/授权要求</w:t>
            </w:r>
          </w:p>
        </w:tc>
        <w:tc>
          <w:tcPr>
            <w:tcW w:type="dxa" w:w="14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雷动法务/IP + 组委会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P1-05 业务成本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给出实际业务中误报、漏报、告警量、响应时延和人工复核的相对成本。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决定阈值、严重度和运营界面优化方向。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成本优先级 + 可接受告警量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雷动运维/调度负责人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P1-06 真实 EMS 接入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确认真实场景的数据交换方式、刷新频率、只读边界、身份权限与审计留存。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决定赛后是否值得做适配，且不能扩大控制权限。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只读接口草案 + 安全边界</w:t>
            </w:r>
          </w:p>
        </w:tc>
        <w:tc>
          <w:tcPr>
            <w:tcW w:type="dxa" w:w="14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雷动 EMS/安全负责人</w:t>
            </w:r>
          </w:p>
        </w:tc>
      </w:tr>
    </w:tbl>
    <w:p>
      <w:pPr>
        <w:spacing w:after="40"/>
      </w:pPr>
    </w:p>
    <w:p>
      <w:pPr>
        <w:shd w:fill="F4F6F9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P1 不阻塞会议达成 P0 决策；涉及真实 EMS、身份权限或外部模型时，先冻结只读、安全和数据治理边界。</w:t>
      </w:r>
    </w:p>
    <w:p>
      <w:r>
        <w:br w:type="page"/>
      </w:r>
    </w:p>
    <w:p>
      <w:pPr>
        <w:pStyle w:val="Heading1"/>
        <w:keepNext/>
      </w:pPr>
      <w:r>
        <w:t>6. 会议运行：60-75 分钟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350"/>
        <w:gridCol w:w="2300"/>
        <w:gridCol w:w="571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时间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议题</w:t>
            </w:r>
          </w:p>
        </w:tc>
        <w:tc>
          <w:tcPr>
            <w:tcW w:type="dxa" w:w="5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预期输出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0-5 min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开场与角色确认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确认会议目标、决策人、记录人和四项必须结果。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5-15 min</w:t>
            </w:r>
          </w:p>
        </w:tc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权威资料与版本</w:t>
            </w:r>
          </w:p>
        </w:tc>
        <w:tc>
          <w:tcPr>
            <w:tcW w:type="dxa" w:w="57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处理 00/02/03、PDF、Excel、清单的版本优先级。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15-30 min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D01-D13 与评分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确认交付物、权重、硬门槛及事件评分。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30-45 min</w:t>
            </w:r>
          </w:p>
        </w:tc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数据与 submission</w:t>
            </w:r>
          </w:p>
        </w:tc>
        <w:tc>
          <w:tcPr>
            <w:tcW w:type="dxa" w:w="57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冻结 69 字段、设备 ID、枚举、时间、证据 JSON 与 checker。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45-55 min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部署与治理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确认 clean-machine、正式测试、LLM、数据治理和 IP 边界。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55-65 min</w:t>
            </w:r>
          </w:p>
        </w:tc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差距与路线</w:t>
            </w:r>
          </w:p>
        </w:tc>
        <w:tc>
          <w:tcPr>
            <w:tcW w:type="dxa" w:w="57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核对 T01-T14 保守审查和 P0/P1/P2 提升顺序。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65-70 min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决策回读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逐项确认书面产物、责任人和日期；未决项登记升级路径。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会中决策记录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950"/>
        <w:gridCol w:w="3300"/>
        <w:gridCol w:w="2200"/>
        <w:gridCol w:w="1910"/>
      </w:tblGrid>
      <w:tr>
        <w:trPr>
          <w:tblHeader w:val="true"/>
          <w:cantSplit/>
        </w:trPr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决策主题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已确认结论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依据/附件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决策人/日期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权威资料版本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1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D01-D13/评分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19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事件评分口径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1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submission 契约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19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目标环境/正式测试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1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未决项与升级路径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  <w:tc>
          <w:tcPr>
            <w:tcW w:type="dxa" w:w="19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待填写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会后行动与项目提升路线</w:t>
      </w:r>
    </w:p>
    <w:p>
      <w:pPr>
        <w:pStyle w:val="Heading2"/>
        <w:keepNext/>
      </w:pPr>
      <w:r>
        <w:t>7.1 会后行动表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300"/>
        <w:gridCol w:w="4300"/>
        <w:gridCol w:w="1300"/>
        <w:gridCol w:w="1400"/>
        <w:gridCol w:w="10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责任方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行动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负责人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目标日期</w:t>
            </w:r>
          </w:p>
        </w:tc>
        <w:tc>
          <w:tcPr>
            <w:tcW w:type="dxa" w:w="1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雷动/组委会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发布权威版本清单、D01-D13、评分与 submission 契约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未开始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雷动</w:t>
            </w:r>
          </w:p>
        </w:tc>
        <w:tc>
          <w:tcPr>
            <w:tcW w:type="dxa" w:w="4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提供设备 ID 映射、日志契约、C06 算例与目标环境 BOM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未开始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项目团队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按书面契约更新需求矩阵，不推导官方完成分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未开始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项目团队</w:t>
            </w:r>
          </w:p>
        </w:tc>
        <w:tc>
          <w:tcPr>
            <w:tcW w:type="dxa" w:w="4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在一个最终 clean SHA 重生全部本地证据并留存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未开始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双方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完成 clean-machine 演练并记录安装/运行/导出时长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未开始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双方</w:t>
            </w:r>
          </w:p>
        </w:tc>
        <w:tc>
          <w:tcPr>
            <w:tcW w:type="dxa" w:w="4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确认大训练文件分片是否可接受及正式测试导入方式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待填写</w:t>
            </w:r>
          </w:p>
        </w:tc>
        <w:tc>
          <w:tcPr>
            <w:tcW w:type="dxa" w:w="1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未开始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简洁提升路线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000"/>
        <w:gridCol w:w="5860"/>
        <w:gridCol w:w="250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行动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启动条件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冻结需求/评分/submission；最终 clean SHA 证据重生；clean-machine 演练；确认训练文件分片。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会议后立即</w:t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P1</w:t>
            </w:r>
          </w:p>
        </w:tc>
        <w:tc>
          <w:tcPr>
            <w:tcW w:type="dxa" w:w="5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提升本地最低的 C01/C04；动态设备定位；枚举/单位质量检查；跨日志因果证据。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P0 书面口径冻结后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P2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仅在企业确认价值后做上下文追问、真实 EMS 只读适配、角色权限和审计产品化。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7"/>
              </w:rPr>
              <w:t>业务价值与边界确认后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暂不做</w:t>
      </w:r>
    </w:p>
    <w:p>
      <w:pPr>
        <w:shd w:fill="FFF4CC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闭环控制真实设备；虚构电解槽健康度；重型 RAG 或微服务拆分；没有评分或用户价值依据的功能。</w:t>
      </w:r>
    </w:p>
    <w:p>
      <w:r>
        <w:br w:type="page"/>
      </w:r>
    </w:p>
    <w:p>
      <w:pPr>
        <w:pStyle w:val="Heading1"/>
        <w:keepNext/>
      </w:pPr>
      <w:r>
        <w:t>8. 雷动建议会前准备的材料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建议材料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权威文件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00/02/03 的权威原件或勘误、版本号、发布日期、优先级说明。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评分验收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D01-D13、完整权重、硬门槛、事件匹配和影响值容差。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提交工具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submission schema、标准示例、checker、典型错误及修复说明。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数据语义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69 字段机器可读字典、设备 ID 映射、枚举、时区、缺失与时间边界。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现场环境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clean-machine BOM、网络/端口/安装权限、测试文件传递和反馈流程。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业务输入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误报/漏报/告警量成本、C06 算例、日志关联和 AI/IP 治理边界。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来源清单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5E3"/>
          <w:left w:val="single" w:sz="4" w:color="C9D5E3"/>
          <w:bottom w:val="single" w:sz="4" w:color="C9D5E3"/>
          <w:right w:val="single" w:sz="4" w:color="C9D5E3"/>
          <w:insideH w:val="single" w:sz="4" w:color="C9D5E3"/>
          <w:insideV w:val="single" w:sz="4" w:color="C9D5E3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来源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使用位置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00_赛题包说明.pdf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1-7 节；重点为第 3 节交付声明、第 4 节资料清单、第 5 节数据边界。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00_需求书.docx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实际正文第 1-7、11、12 节及 6 张表；核对缺失章节和任务 T01-T14。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01_数据材料与字段说明_.xlsx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赛题总览、文件用途、异常类别、变量字典样例、Web验收、提交格式 sheets。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02_应用交付与验收要求.md / 03_README.md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最低页面、本地离线、导入/导出和 V4.0 快速说明。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20_包文件校验清单_SHA256.txt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24 项清单记录；仅用于只读内容一致性核对。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数据与材料/00、08-12、14、16-19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字典、设备、约束、效率、报警/操作/维修、问题、提交模板、质量说明和公开 manifest。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数据与材料/04-07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训练/验证事件标签及逐行标签；用于核对设备 token、枚举和公开验证边界。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项目 MEMORY.md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Latest Local Evidence Baseline（2026-08-29）。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scripts/h2-sentinel/SPEC.md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Verification 与 remaining gaps。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submission/h2-sentinel/RUNTIME_EVIDENCE_CHECKLIST.md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R01-R16 证据层级与未证事实。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packages/h2-contracts / services/h2-analytics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权威契约、导入上限、检测/证据/影响/安全/报告实现。</w:t>
            </w:r>
          </w:p>
        </w:tc>
      </w:tr>
    </w:tbl>
    <w:p>
      <w:pPr>
        <w:spacing w:after="40"/>
      </w:pPr>
    </w:p>
    <w:p>
      <w:pPr>
        <w:shd w:fill="F4F6F9"/>
        <w:keepLines/>
        <w:pBdr>
          <w:top w:val="single" w:sz="4" w:space="4" w:color="C9D5E3"/>
          <w:left w:val="single" w:sz="4" w:space="4" w:color="C9D5E3"/>
          <w:bottom w:val="single" w:sz="4" w:space="4" w:color="C9D5E3"/>
          <w:right w:val="single" w:sz="4" w:space="4" w:color="C9D5E3"/>
        </w:pBdr>
        <w:spacing w:before="80" w:after="160"/>
        <w:ind w:left="115" w:right="115"/>
      </w:pPr>
      <w:r>
        <w:rPr>
          <w:rFonts w:ascii="Calibri" w:hAnsi="Calibri" w:eastAsia="Microsoft YaHei"/>
          <w:i w:val="0"/>
          <w:color w:val="0B2545"/>
          <w:sz w:val="22"/>
        </w:rPr>
        <w:t>会前工作稿 / 非官方评分结论 · 2026-08-30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Calibri" w:hAnsi="Calibri" w:eastAsia="Microsoft YaHei"/>
        <w:i w:val="0"/>
        <w:color w:val="5A6573"/>
        <w:sz w:val="17"/>
      </w:rPr>
      <w:t>会前工作稿 / 非官方评分结论</w:t>
    </w:r>
    <w:r>
      <w:rPr>
        <w:rFonts w:ascii="Calibri" w:hAnsi="Calibri" w:eastAsia="Microsoft YaHei"/>
        <w:i w:val="0"/>
        <w:color w:val="5A6573"/>
        <w:sz w:val="17"/>
      </w:rPr>
      <w:tab/>
      <w:t xml:space="preserve">第 </w:t>
    </w:r>
    <w:r>
      <w:rPr>
        <w:rFonts w:ascii="Calibri" w:hAnsi="Calibri" w:eastAsia="Microsoft YaHei"/>
        <w:i w:val="0"/>
        <w:color w:val="5A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i w:val="0"/>
        <w:color w:val="5A6573"/>
        <w:sz w:val="17"/>
      </w:rPr>
      <w:t xml:space="preserve"> 页 / 共 </w:t>
    </w:r>
    <w:r>
      <w:rPr>
        <w:rFonts w:ascii="Calibri" w:hAnsi="Calibri" w:eastAsia="Microsoft YaHei"/>
        <w:i w:val="0"/>
        <w:color w:val="5A6573"/>
        <w:sz w:val="17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i w:val="0"/>
        <w:color w:val="5A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A6573"/>
        <w:sz w:val="17"/>
      </w:rPr>
      <w:t>H2 SENTINEL × 雷动  |  企业对接工作稿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 Sentinel × 雷动企业对接与需求澄清工作稿</dc:title>
  <dc:subject>LeiDong enterprise alignment, requirements clarification, decision log, and improvement roadmap</dc:subject>
  <dc:creator>H2 Sentinel Project Team</dc:creator>
  <cp:keywords>H2 Sentinel, LeiDong, enterprise alignment, requirements clarification</cp:keywords>
  <dc:description>会前工作稿 / 非官方评分结论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