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Microsoft YaHei"/>
          <w:b/>
          <w:i w:val="0"/>
          <w:color w:val="2E74B5"/>
          <w:sz w:val="18"/>
        </w:rPr>
        <w:t>ENTERPRISE DISCOVERY / WECHAT PLAYBOOK</w:t>
      </w:r>
    </w:p>
    <w:p>
      <w:pPr>
        <w:spacing w:after="100"/>
      </w:pPr>
      <w:r>
        <w:rPr>
          <w:rFonts w:ascii="Calibri" w:hAnsi="Calibri" w:eastAsia="Microsoft YaHei"/>
          <w:b/>
          <w:i w:val="0"/>
          <w:color w:val="0B2545"/>
          <w:sz w:val="48"/>
        </w:rPr>
        <w:t>雷动企业微信对接提问手册（精简版）</w:t>
      </w:r>
    </w:p>
    <w:p>
      <w:pPr>
        <w:spacing w:after="280"/>
      </w:pPr>
      <w:r>
        <w:rPr>
          <w:rFonts w:ascii="Calibri" w:hAnsi="Calibri" w:eastAsia="Microsoft YaHei"/>
          <w:b/>
          <w:i w:val="0"/>
          <w:color w:val="5F6B7A"/>
          <w:sz w:val="23"/>
        </w:rPr>
        <w:t>内部工作稿</w:t>
      </w:r>
    </w:p>
    <w:p>
      <w:pPr>
        <w:spacing w:after="140" w:line="300" w:lineRule="auto" w:before="100"/>
        <w:shd w:fill="FFF4CC"/>
        <w:pBdr>
          <w:left w:val="single" w:sz="18" w:space="10" w:color="C59B22"/>
        </w:pBdr>
        <w:ind w:left="173" w:right="115"/>
      </w:pPr>
      <w:r>
        <w:rPr>
          <w:rFonts w:ascii="Calibri" w:hAnsi="Calibri" w:eastAsia="Microsoft YaHei"/>
          <w:b/>
          <w:i w:val="0"/>
          <w:color w:val="0B2545"/>
          <w:sz w:val="22"/>
        </w:rPr>
        <w:t>结论先行：</w:t>
      </w:r>
      <w:r>
        <w:rPr>
          <w:rFonts w:ascii="Calibri" w:hAnsi="Calibri" w:eastAsia="Microsoft YaHei"/>
          <w:b w:val="0"/>
          <w:i w:val="0"/>
          <w:color w:val="0B2545"/>
          <w:sz w:val="22"/>
        </w:rPr>
        <w:t>第一次微信不一次发送全部问题；采用两阶段沟通。第一阶段只验证真实业务场景，第二阶段仅在对方愿意深入或进入线上会议时确认权威口径。</w:t>
      </w:r>
    </w:p>
    <w:p>
      <w:pPr>
        <w:pStyle w:val="Heading1"/>
        <w:keepNext/>
      </w:pPr>
      <w:r>
        <w:t>1. 两阶段沟通怎么用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第一阶段：业务发现。首次消息只发开场白并约时间；若对方愿意文字回复，把 4 个业务问题分两组，每组 2 题，答完再发下一组。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演示后：补 1 个反馈问题。只问信息是否有帮助、是否可信、还缺什么。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第二阶段：权威口径。对方愿意深入或线上会议时，再问 4 个项目无法自行解决的问题。</w:t>
      </w:r>
    </w:p>
    <w:p>
      <w:pPr>
        <w:pStyle w:val="Heading1"/>
        <w:keepNext/>
      </w:pPr>
      <w:r>
        <w:t>2. 可直接复制的首次微信开场白</w:t>
      </w:r>
    </w:p>
    <w:p>
      <w:pPr>
        <w:spacing w:after="140" w:line="300" w:lineRule="auto" w:before="100"/>
        <w:shd w:fill="F4F6F9"/>
        <w:pBdr>
          <w:left w:val="single" w:sz="18" w:space="10" w:color="2E74B5"/>
        </w:pBdr>
        <w:ind w:left="173" w:right="115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您好，我们正在完善“氢哨”。目前它用固定样例演示一条只读诊断辅助流程：发现异常 → 查看证据 → 人工复核 → 生成报告。它不连接生产 EMS，也不下发任何控制指令。固定样例仅用于说明交互和诊断思路，不代表真实现场效果、企业背书、官方评分或生产部署。</w:t>
      </w:r>
    </w:p>
    <w:p>
      <w:pPr>
        <w:spacing w:after="140" w:line="300" w:lineRule="auto" w:before="100"/>
        <w:shd w:fill="F4F6F9"/>
        <w:pBdr>
          <w:left w:val="single" w:sz="18" w:space="10" w:color="2E74B5"/>
        </w:pBdr>
        <w:ind w:left="173" w:right="115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想占用您 20–30 分钟做一次线上交流，先听您讲真实场景，再用几分钟展示样例；如果时间不方便，也可以直接按文字简答。首次消息只做介绍并约时间；如果您更方便文字回复，我再把 4 个业务问题分两组，每组 2 题，答完一组再发下一组。</w:t>
      </w:r>
    </w:p>
    <w:p>
      <w:r>
        <w:br w:type="page"/>
      </w:r>
    </w:p>
    <w:p>
      <w:pPr>
        <w:pStyle w:val="Heading1"/>
        <w:keepNext/>
      </w:pPr>
      <w:r>
        <w:t>3. 第一阶段：只问 4 个业务问题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在您熟悉的制氢或综合能源现场，哪一类异常最值得优先被提前发现或更快解释？方便的话请举一个典型例子。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这类异常现在通常如何被发现、判断并形成处置决策？其中最卡的一步是什么？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漏报、误报、发现太晚、解释太晚，这四类影响在实际工作中通常怎么排序？为什么？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如果只读工具不接管控制，您更希望它落在发现、研判、复核还是汇报环节？看到什么结果，才值得进入下一次试用？</w:t>
      </w:r>
    </w:p>
    <w:p>
      <w:pPr>
        <w:spacing w:after="140" w:line="300" w:lineRule="auto" w:before="100"/>
        <w:shd w:fill="F4F6F9"/>
        <w:pBdr>
          <w:left w:val="single" w:sz="18" w:space="10" w:color="2E74B5"/>
        </w:pBdr>
        <w:ind w:left="173" w:right="115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不要先索要精确金额或 SLA；先理解场景、流程和相对影响。</w:t>
      </w:r>
    </w:p>
    <w:p>
      <w:pPr>
        <w:pStyle w:val="Heading2"/>
        <w:keepNext/>
      </w:pPr>
      <w:r>
        <w:t>演示后可追加 1 个问题</w:t>
      </w:r>
    </w:p>
    <w:p>
      <w:pPr>
        <w:spacing w:after="140" w:line="300" w:lineRule="auto" w:before="100"/>
        <w:shd w:fill="FFF4CC"/>
        <w:pBdr>
          <w:left w:val="single" w:sz="18" w:space="10" w:color="C59B22"/>
        </w:pBdr>
        <w:ind w:left="173" w:right="115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看完演示后，哪些信息有帮助，哪些多余或不可信，还缺哪一项关键信息？</w:t>
      </w:r>
    </w:p>
    <w:p>
      <w:r>
        <w:br w:type="page"/>
      </w:r>
    </w:p>
    <w:p>
      <w:pPr>
        <w:pStyle w:val="Heading1"/>
        <w:keepNext/>
      </w:pPr>
      <w:r>
        <w:t>4. 已由资料包自行解决，不再问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V4.0 数据规模、69 字段、1 分钟采样，以及 PCC/BESS 正负号口径。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C01–C07 定义、设备台账、控制约束和电解槽效率曲线。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T01–T14、至少六个 Web 页面、本地离线与一键启动要求。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验证集可用于调参回归，测试集仅用于最终预测。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报警/操作/维护日志的字段与基础关联方式。</w:t>
      </w:r>
    </w:p>
    <w:p>
      <w:pPr>
        <w:pStyle w:val="Heading1"/>
        <w:keepNext/>
      </w:pPr>
      <w:r>
        <w:t>5. 现在不问，进入试点再问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LLM、模型、API 和技术架构。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EMS 协议、账号、权限与审计。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生产凭据、真实接口和原始生产数据。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精确损失金额与 SLA。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笼统的 Logo、IP 或公开展示授权。</w:t>
      </w:r>
    </w:p>
    <w:p>
      <w:pPr>
        <w:spacing w:after="140" w:line="300" w:lineRule="auto" w:before="100"/>
        <w:shd w:fill="F4F6F9"/>
        <w:pBdr>
          <w:left w:val="single" w:sz="18" w:space="10" w:color="2E74B5"/>
        </w:pBdr>
        <w:ind w:left="173" w:right="115"/>
      </w:pPr>
      <w:r>
        <w:rPr>
          <w:rFonts w:ascii="Calibri" w:hAnsi="Calibri" w:eastAsia="Microsoft YaHei"/>
          <w:b/>
          <w:i w:val="0"/>
          <w:color w:val="0B2545"/>
          <w:sz w:val="22"/>
        </w:rPr>
        <w:t>原因：</w:t>
      </w:r>
      <w:r>
        <w:rPr>
          <w:rFonts w:ascii="Calibri" w:hAnsi="Calibri" w:eastAsia="Microsoft YaHei"/>
          <w:b w:val="0"/>
          <w:i w:val="0"/>
          <w:color w:val="0B2545"/>
          <w:sz w:val="22"/>
        </w:rPr>
        <w:t>现阶段先验证真实高价值场景和评测口径，避免在价值与边界未确认前把讨论拖进架构或生产接入。</w:t>
      </w:r>
    </w:p>
    <w:p>
      <w:pPr>
        <w:pStyle w:val="Heading1"/>
        <w:keepNext/>
      </w:pPr>
      <w:r>
        <w:t>6. 第二阶段：4 个权威口径问题</w:t>
      </w:r>
    </w:p>
    <w:p>
      <w:pPr>
        <w:spacing w:after="12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仅在对方愿意深入或线上会议时使用。每题遵循“已知事实 → 剩余缺口 → 最小请求”。</w:t>
      </w:r>
    </w:p>
    <w:p>
      <w:pPr>
        <w:pStyle w:val="Heading2"/>
        <w:keepNext/>
      </w:pPr>
      <w:r>
        <w:t>1. 资料权威版本与缺失章节</w:t>
      </w:r>
    </w:p>
    <w:p>
      <w:pPr>
        <w:spacing w:after="140" w:line="300" w:lineRule="auto" w:before="100"/>
        <w:shd w:fill="F4F6F9"/>
        <w:pBdr>
          <w:left w:val="single" w:sz="18" w:space="10" w:color="2E74B5"/>
        </w:pBdr>
        <w:ind w:left="173" w:right="115"/>
      </w:pPr>
      <w:r>
        <w:rPr>
          <w:rFonts w:ascii="Calibri" w:hAnsi="Calibri" w:eastAsia="Microsoft YaHei"/>
          <w:b/>
          <w:i w:val="0"/>
          <w:color w:val="0B2545"/>
          <w:sz w:val="22"/>
        </w:rPr>
        <w:t>已知事实：</w:t>
      </w:r>
      <w:r>
        <w:rPr>
          <w:rFonts w:ascii="Calibri" w:hAnsi="Calibri" w:eastAsia="Microsoft YaHei"/>
          <w:b w:val="0"/>
          <w:i w:val="0"/>
          <w:color w:val="0B2545"/>
          <w:sz w:val="22"/>
        </w:rPr>
        <w:t>资料包说明称 D01–D13 位于需求书第 8 节、评分框架位于第 13 节；现有需求书从第 7 节跳到第 11 节。现有 00/02/03 与 SHA 清单不一致；Excel 内容 SHA 一致，但文件名有漂移。</w:t>
      </w:r>
    </w:p>
    <w:p>
      <w:pPr>
        <w:spacing w:after="140" w:line="300" w:lineRule="auto" w:before="100"/>
        <w:shd w:fill="F4F6F9"/>
        <w:pBdr>
          <w:left w:val="single" w:sz="18" w:space="10" w:color="2E74B5"/>
        </w:pBdr>
        <w:ind w:left="173" w:right="115"/>
      </w:pPr>
      <w:r>
        <w:rPr>
          <w:rFonts w:ascii="Calibri" w:hAnsi="Calibri" w:eastAsia="Microsoft YaHei"/>
          <w:b/>
          <w:i w:val="0"/>
          <w:color w:val="0B2545"/>
          <w:sz w:val="22"/>
        </w:rPr>
        <w:t>剩余缺口：</w:t>
      </w:r>
      <w:r>
        <w:rPr>
          <w:rFonts w:ascii="Calibri" w:hAnsi="Calibri" w:eastAsia="Microsoft YaHei"/>
          <w:b w:val="0"/>
          <w:i w:val="0"/>
          <w:color w:val="0B2545"/>
          <w:sz w:val="22"/>
        </w:rPr>
        <w:t>无法确认哪一版文件优先，也无法从现有材料取得 D01–D13 和完整评分章节。</w:t>
      </w:r>
    </w:p>
    <w:p>
      <w:pPr>
        <w:spacing w:after="140" w:line="300" w:lineRule="auto" w:before="100"/>
        <w:shd w:fill="FFF4CC"/>
        <w:pBdr>
          <w:left w:val="single" w:sz="18" w:space="10" w:color="C59B22"/>
        </w:pBdr>
        <w:ind w:left="173" w:right="115"/>
      </w:pPr>
      <w:r>
        <w:rPr>
          <w:rFonts w:ascii="Calibri" w:hAnsi="Calibri" w:eastAsia="Microsoft YaHei"/>
          <w:b/>
          <w:i w:val="0"/>
          <w:color w:val="0B2545"/>
          <w:sz w:val="22"/>
        </w:rPr>
        <w:t>最小请求：</w:t>
      </w:r>
      <w:r>
        <w:rPr>
          <w:rFonts w:ascii="Calibri" w:hAnsi="Calibri" w:eastAsia="Microsoft YaHei"/>
          <w:b w:val="0"/>
          <w:i w:val="0"/>
          <w:color w:val="0B2545"/>
          <w:sz w:val="22"/>
        </w:rPr>
        <w:t>请提供正式文件或勘误，并标明版本号、SHA 和冲突时的优先级；如雷动不负责该口径，请转给组委会正式渠道。</w:t>
      </w:r>
    </w:p>
    <w:p>
      <w:pPr>
        <w:pStyle w:val="Heading2"/>
        <w:keepNext/>
      </w:pPr>
      <w:r>
        <w:t>2. 官方事件级评分</w:t>
      </w:r>
    </w:p>
    <w:p>
      <w:pPr>
        <w:spacing w:after="140" w:line="300" w:lineRule="auto" w:before="100"/>
        <w:shd w:fill="F4F6F9"/>
        <w:pBdr>
          <w:left w:val="single" w:sz="18" w:space="10" w:color="2E74B5"/>
        </w:pBdr>
        <w:ind w:left="173" w:right="115"/>
      </w:pPr>
      <w:r>
        <w:rPr>
          <w:rFonts w:ascii="Calibri" w:hAnsi="Calibri" w:eastAsia="Microsoft YaHei"/>
          <w:b/>
          <w:i w:val="0"/>
          <w:color w:val="0B2545"/>
          <w:sz w:val="22"/>
        </w:rPr>
        <w:t>已知事实：</w:t>
      </w:r>
      <w:r>
        <w:rPr>
          <w:rFonts w:ascii="Calibri" w:hAnsi="Calibri" w:eastAsia="Microsoft YaHei"/>
          <w:b w:val="0"/>
          <w:i w:val="0"/>
          <w:color w:val="0B2545"/>
          <w:sz w:val="22"/>
        </w:rPr>
        <w:t>公开标签给出 C05/C07 需提前预警，其他类别在事件开始后 10 分钟内发现等检测期望。</w:t>
      </w:r>
    </w:p>
    <w:p>
      <w:pPr>
        <w:spacing w:after="140" w:line="300" w:lineRule="auto" w:before="100"/>
        <w:shd w:fill="F4F6F9"/>
        <w:pBdr>
          <w:left w:val="single" w:sz="18" w:space="10" w:color="2E74B5"/>
        </w:pBdr>
        <w:ind w:left="173" w:right="115"/>
      </w:pPr>
      <w:r>
        <w:rPr>
          <w:rFonts w:ascii="Calibri" w:hAnsi="Calibri" w:eastAsia="Microsoft YaHei"/>
          <w:b/>
          <w:i w:val="0"/>
          <w:color w:val="0B2545"/>
          <w:sz w:val="22"/>
        </w:rPr>
        <w:t>剩余缺口：</w:t>
      </w:r>
      <w:r>
        <w:rPr>
          <w:rFonts w:ascii="Calibri" w:hAnsi="Calibri" w:eastAsia="Microsoft YaHei"/>
          <w:b w:val="0"/>
          <w:i w:val="0"/>
          <w:color w:val="0B2545"/>
          <w:sz w:val="22"/>
        </w:rPr>
        <w:t>尚未给出预测与真值的匹配方式、IoU 或时间容差、拆分/合并、一对多、首检延迟、影响值容差与舍入规则。项目当前采用的 10 分钟重叠仅是内部验证规则，不能代表官方评分。</w:t>
      </w:r>
    </w:p>
    <w:p>
      <w:pPr>
        <w:spacing w:after="140" w:line="300" w:lineRule="auto" w:before="100"/>
        <w:shd w:fill="FFF4CC"/>
        <w:pBdr>
          <w:left w:val="single" w:sz="18" w:space="10" w:color="C59B22"/>
        </w:pBdr>
        <w:ind w:left="173" w:right="115"/>
      </w:pPr>
      <w:r>
        <w:rPr>
          <w:rFonts w:ascii="Calibri" w:hAnsi="Calibri" w:eastAsia="Microsoft YaHei"/>
          <w:b/>
          <w:i w:val="0"/>
          <w:color w:val="0B2545"/>
          <w:sz w:val="22"/>
        </w:rPr>
        <w:t>最小请求：</w:t>
      </w:r>
      <w:r>
        <w:rPr>
          <w:rFonts w:ascii="Calibri" w:hAnsi="Calibri" w:eastAsia="Microsoft YaHei"/>
          <w:b w:val="0"/>
          <w:i w:val="0"/>
          <w:color w:val="0B2545"/>
          <w:sz w:val="22"/>
        </w:rPr>
        <w:t>请提供版本化事件匹配与计分规则，并给 3–5 个正反例。</w:t>
      </w:r>
    </w:p>
    <w:p>
      <w:pPr>
        <w:pStyle w:val="Heading2"/>
        <w:keepNext/>
      </w:pPr>
      <w:r>
        <w:t>3. submission.csv 契约</w:t>
      </w:r>
    </w:p>
    <w:p>
      <w:pPr>
        <w:spacing w:after="140" w:line="300" w:lineRule="auto" w:before="100"/>
        <w:shd w:fill="F4F6F9"/>
        <w:pBdr>
          <w:left w:val="single" w:sz="18" w:space="10" w:color="2E74B5"/>
        </w:pBdr>
        <w:ind w:left="173" w:right="115"/>
      </w:pPr>
      <w:r>
        <w:rPr>
          <w:rFonts w:ascii="Calibri" w:hAnsi="Calibri" w:eastAsia="Microsoft YaHei"/>
          <w:b/>
          <w:i w:val="0"/>
          <w:color w:val="0B2545"/>
          <w:sz w:val="22"/>
        </w:rPr>
        <w:t>已知事实：</w:t>
      </w:r>
      <w:r>
        <w:rPr>
          <w:rFonts w:ascii="Calibri" w:hAnsi="Calibri" w:eastAsia="Microsoft YaHei"/>
          <w:b w:val="0"/>
          <w:i w:val="0"/>
          <w:color w:val="0B2545"/>
          <w:sz w:val="22"/>
        </w:rPr>
        <w:t>官方 submission 模板只有 16 列表头，没有完整示例、schema 或 checker。</w:t>
      </w:r>
    </w:p>
    <w:p>
      <w:pPr>
        <w:spacing w:after="140" w:line="300" w:lineRule="auto" w:before="100"/>
        <w:shd w:fill="F4F6F9"/>
        <w:pBdr>
          <w:left w:val="single" w:sz="18" w:space="10" w:color="2E74B5"/>
        </w:pBdr>
        <w:ind w:left="173" w:right="115"/>
      </w:pPr>
      <w:r>
        <w:rPr>
          <w:rFonts w:ascii="Calibri" w:hAnsi="Calibri" w:eastAsia="Microsoft YaHei"/>
          <w:b/>
          <w:i w:val="0"/>
          <w:color w:val="0B2545"/>
          <w:sz w:val="22"/>
        </w:rPr>
        <w:t>剩余缺口：</w:t>
      </w:r>
      <w:r>
        <w:rPr>
          <w:rFonts w:ascii="Calibri" w:hAnsi="Calibri" w:eastAsia="Microsoft YaHei"/>
          <w:b w:val="0"/>
          <w:i w:val="0"/>
          <w:color w:val="0B2545"/>
          <w:sz w:val="22"/>
        </w:rPr>
        <w:t>时间格式/时区、affected_equipment 的 ELZ1/ELZ01 等 token、confidence、evidence_json、布尔/空值和 CSV 编码仍可能产生歧义。</w:t>
      </w:r>
    </w:p>
    <w:p>
      <w:pPr>
        <w:spacing w:after="140" w:line="300" w:lineRule="auto" w:before="100"/>
        <w:shd w:fill="FFF4CC"/>
        <w:pBdr>
          <w:left w:val="single" w:sz="18" w:space="10" w:color="C59B22"/>
        </w:pBdr>
        <w:ind w:left="173" w:right="115"/>
      </w:pPr>
      <w:r>
        <w:rPr>
          <w:rFonts w:ascii="Calibri" w:hAnsi="Calibri" w:eastAsia="Microsoft YaHei"/>
          <w:b/>
          <w:i w:val="0"/>
          <w:color w:val="0B2545"/>
          <w:sz w:val="22"/>
        </w:rPr>
        <w:t>最小请求：</w:t>
      </w:r>
      <w:r>
        <w:rPr>
          <w:rFonts w:ascii="Calibri" w:hAnsi="Calibri" w:eastAsia="Microsoft YaHei"/>
          <w:b w:val="0"/>
          <w:i w:val="0"/>
          <w:color w:val="0B2545"/>
          <w:sz w:val="22"/>
        </w:rPr>
        <w:t>请提供官方 schema、完整示例行、checker 及其版本，并确认上述字段口径。</w:t>
      </w:r>
    </w:p>
    <w:p>
      <w:pPr>
        <w:pStyle w:val="Heading2"/>
        <w:keepNext/>
      </w:pPr>
      <w:r>
        <w:t>4. 正式测试与目标机器</w:t>
      </w:r>
    </w:p>
    <w:p>
      <w:pPr>
        <w:spacing w:after="140" w:line="300" w:lineRule="auto" w:before="100"/>
        <w:shd w:fill="F4F6F9"/>
        <w:pBdr>
          <w:left w:val="single" w:sz="18" w:space="10" w:color="2E74B5"/>
        </w:pBdr>
        <w:ind w:left="173" w:right="115"/>
      </w:pPr>
      <w:r>
        <w:rPr>
          <w:rFonts w:ascii="Calibri" w:hAnsi="Calibri" w:eastAsia="Microsoft YaHei"/>
          <w:b/>
          <w:i w:val="0"/>
          <w:color w:val="0B2545"/>
          <w:sz w:val="22"/>
        </w:rPr>
        <w:t>已知事实：</w:t>
      </w:r>
      <w:r>
        <w:rPr>
          <w:rFonts w:ascii="Calibri" w:hAnsi="Calibri" w:eastAsia="Microsoft YaHei"/>
          <w:b w:val="0"/>
          <w:i w:val="0"/>
          <w:color w:val="0B2545"/>
          <w:sz w:val="22"/>
        </w:rPr>
        <w:t>现有材料已明确本地离线、浏览器、一键启动，以及测试集导入、运行和导出流程。</w:t>
      </w:r>
    </w:p>
    <w:p>
      <w:pPr>
        <w:spacing w:after="140" w:line="300" w:lineRule="auto" w:before="100"/>
        <w:shd w:fill="F4F6F9"/>
        <w:pBdr>
          <w:left w:val="single" w:sz="18" w:space="10" w:color="2E74B5"/>
        </w:pBdr>
        <w:ind w:left="173" w:right="115"/>
      </w:pPr>
      <w:r>
        <w:rPr>
          <w:rFonts w:ascii="Calibri" w:hAnsi="Calibri" w:eastAsia="Microsoft YaHei"/>
          <w:b/>
          <w:i w:val="0"/>
          <w:color w:val="0B2545"/>
          <w:sz w:val="22"/>
        </w:rPr>
        <w:t>剩余缺口：</w:t>
      </w:r>
      <w:r>
        <w:rPr>
          <w:rFonts w:ascii="Calibri" w:hAnsi="Calibri" w:eastAsia="Microsoft YaHei"/>
          <w:b w:val="0"/>
          <w:i w:val="0"/>
          <w:color w:val="0B2545"/>
          <w:sz w:val="22"/>
        </w:rPr>
        <w:t>尚缺正式提交入口/截止/次数/失败反馈，以及验收机 OS、CPU/RAM、Node/Python/浏览器、安装权限、网络/端口和全量运行时限。</w:t>
      </w:r>
    </w:p>
    <w:p>
      <w:pPr>
        <w:spacing w:after="140" w:line="300" w:lineRule="auto" w:before="100"/>
        <w:shd w:fill="FFF4CC"/>
        <w:pBdr>
          <w:left w:val="single" w:sz="18" w:space="10" w:color="C59B22"/>
        </w:pBdr>
        <w:ind w:left="173" w:right="115"/>
      </w:pPr>
      <w:r>
        <w:rPr>
          <w:rFonts w:ascii="Calibri" w:hAnsi="Calibri" w:eastAsia="Microsoft YaHei"/>
          <w:b/>
          <w:i w:val="0"/>
          <w:color w:val="0B2545"/>
          <w:sz w:val="22"/>
        </w:rPr>
        <w:t>最小请求：</w:t>
      </w:r>
      <w:r>
        <w:rPr>
          <w:rFonts w:ascii="Calibri" w:hAnsi="Calibri" w:eastAsia="Microsoft YaHei"/>
          <w:b w:val="0"/>
          <w:i w:val="0"/>
          <w:color w:val="0B2545"/>
          <w:sz w:val="22"/>
        </w:rPr>
        <w:t>请提供正式测试流程与目标机环境清单；如由组委会或现场 IT 负责，请给正式联系人或渠道。</w:t>
      </w:r>
    </w:p>
    <w:p>
      <w:r>
        <w:br w:type="page"/>
      </w:r>
    </w:p>
    <w:p>
      <w:pPr>
        <w:pStyle w:val="Heading1"/>
        <w:keepNext/>
      </w:pPr>
      <w:r>
        <w:t>7. 25 分钟线上沟通议程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2200"/>
        <w:gridCol w:w="5860"/>
      </w:tblGrid>
      <w:tr>
        <w:trPr>
          <w:tblHeader w:val="true"/>
          <w:cantSplit/>
        </w:trPr>
        <w:tc>
          <w:tcPr>
            <w:tcW w:type="dxa" w:w="13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时间</w:t>
            </w:r>
          </w:p>
        </w:tc>
        <w:tc>
          <w:tcPr>
            <w:tcW w:type="dxa" w:w="220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环节</w:t>
            </w:r>
          </w:p>
        </w:tc>
        <w:tc>
          <w:tcPr>
            <w:tcW w:type="dxa" w:w="58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18"/>
              </w:rPr>
              <w:t>目标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8"/>
              </w:rPr>
              <w:t>3 分钟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8"/>
              </w:rPr>
              <w:t>边界与目标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8"/>
              </w:rPr>
              <w:t>确认只读、固定样例、无控制和本次只问关键事项。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8"/>
              </w:rPr>
              <w:t>12 分钟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8"/>
              </w:rPr>
              <w:t>真实业务场景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8"/>
              </w:rPr>
              <w:t>围绕四个业务问题听企业经验与原话。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8"/>
              </w:rPr>
              <w:t>8 分钟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8"/>
              </w:rPr>
              <w:t>演示与权威口径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8"/>
              </w:rPr>
              <w:t>展示样例；只补充最相关的权威口径问题。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8"/>
              </w:rPr>
              <w:t>2 分钟</w:t>
            </w:r>
          </w:p>
        </w:tc>
        <w:tc>
          <w:tcPr>
            <w:tcW w:type="dxa" w:w="2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8"/>
              </w:rPr>
              <w:t>回读与下一步</w:t>
            </w:r>
          </w:p>
        </w:tc>
        <w:tc>
          <w:tcPr>
            <w:tcW w:type="dxa" w:w="5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b w:val="0"/>
                <w:i w:val="0"/>
                <w:color w:val="0B2545"/>
                <w:sz w:val="18"/>
              </w:rPr>
              <w:t>确认事实、待补材料、负责人和下一项可验证改动。</w:t>
            </w:r>
          </w:p>
        </w:tc>
      </w:tr>
    </w:tbl>
    <w:p>
      <w:pPr>
        <w:spacing w:after="0" w:before="0"/>
      </w:pPr>
    </w:p>
    <w:p>
      <w:pPr>
        <w:spacing w:after="140" w:line="300" w:lineRule="auto" w:before="100"/>
        <w:shd w:fill="F4F6F9"/>
        <w:pBdr>
          <w:left w:val="single" w:sz="18" w:space="10" w:color="2E74B5"/>
        </w:pBdr>
        <w:ind w:left="173" w:right="115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不要求雷动提前准备繁重书面材料；能确认正式渠道、负责人和可补文件即可。</w:t>
      </w:r>
    </w:p>
    <w:p>
      <w:pPr>
        <w:pStyle w:val="Heading1"/>
        <w:keepNext/>
      </w:pPr>
      <w:r>
        <w:t>8. 发送原则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首次消息只发开场白并约时间，不附 4 个业务问题。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对方愿意文字回复时，把 4 题分成两组，每组 2 题；答完一组再发下一组。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后续任何一轮最多发送 2–3 个问题。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收到回答后先用自己的话复述，请对方确认是否准确。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把资料事实、企业原话与项目推断分开记录。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不问“有价值吗”“方向对吗”等诱导问题，改问实际场景、流程与结果。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不暗示企业背书、真实接入、官方成绩或生产部署。</w:t>
      </w:r>
    </w:p>
    <w:p>
      <w:pPr>
        <w:pStyle w:val="Heading1"/>
        <w:keepNext/>
      </w:pPr>
      <w:r>
        <w:t>9. 会后记录模板</w:t>
      </w:r>
    </w:p>
    <w:p>
      <w:pPr>
        <w:spacing w:after="100" w:line="252" w:lineRule="auto"/>
      </w:pPr>
      <w:r>
        <w:rPr>
          <w:rFonts w:ascii="Calibri" w:hAnsi="Calibri" w:eastAsia="Microsoft YaHei"/>
          <w:b/>
          <w:i w:val="0"/>
          <w:color w:val="2E74B5"/>
          <w:sz w:val="19"/>
        </w:rPr>
        <w:t>确认事实：</w:t>
      </w:r>
      <w:r>
        <w:rPr>
          <w:rFonts w:ascii="Calibri" w:hAnsi="Calibri" w:eastAsia="Microsoft YaHei"/>
          <w:b w:val="0"/>
          <w:i w:val="0"/>
          <w:color w:val="0B2545"/>
          <w:sz w:val="19"/>
        </w:rPr>
        <w:t>____________________________________________________________</w:t>
      </w:r>
    </w:p>
    <w:p>
      <w:pPr>
        <w:spacing w:after="100" w:line="252" w:lineRule="auto"/>
      </w:pPr>
      <w:r>
        <w:rPr>
          <w:rFonts w:ascii="Calibri" w:hAnsi="Calibri" w:eastAsia="Microsoft YaHei"/>
          <w:b/>
          <w:i w:val="0"/>
          <w:color w:val="2E74B5"/>
          <w:sz w:val="19"/>
        </w:rPr>
        <w:t>待补文件 / 负责人 / 日期：</w:t>
      </w:r>
      <w:r>
        <w:rPr>
          <w:rFonts w:ascii="Calibri" w:hAnsi="Calibri" w:eastAsia="Microsoft YaHei"/>
          <w:b w:val="0"/>
          <w:i w:val="0"/>
          <w:color w:val="0B2545"/>
          <w:sz w:val="19"/>
        </w:rPr>
        <w:t>____________________________________________________________</w:t>
      </w:r>
    </w:p>
    <w:p>
      <w:pPr>
        <w:spacing w:after="100" w:line="252" w:lineRule="auto"/>
      </w:pPr>
      <w:r>
        <w:rPr>
          <w:rFonts w:ascii="Calibri" w:hAnsi="Calibri" w:eastAsia="Microsoft YaHei"/>
          <w:b/>
          <w:i w:val="0"/>
          <w:color w:val="2E74B5"/>
          <w:sz w:val="19"/>
        </w:rPr>
        <w:t>企业原话：</w:t>
      </w:r>
      <w:r>
        <w:rPr>
          <w:rFonts w:ascii="Calibri" w:hAnsi="Calibri" w:eastAsia="Microsoft YaHei"/>
          <w:b w:val="0"/>
          <w:i w:val="0"/>
          <w:color w:val="0B2545"/>
          <w:sz w:val="19"/>
        </w:rPr>
        <w:t>____________________________________________________________</w:t>
      </w:r>
    </w:p>
    <w:p>
      <w:pPr>
        <w:spacing w:after="100" w:line="252" w:lineRule="auto"/>
      </w:pPr>
      <w:r>
        <w:rPr>
          <w:rFonts w:ascii="Calibri" w:hAnsi="Calibri" w:eastAsia="Microsoft YaHei"/>
          <w:b/>
          <w:i w:val="0"/>
          <w:color w:val="2E74B5"/>
          <w:sz w:val="19"/>
        </w:rPr>
        <w:t>我们的下一项可验证改动：</w:t>
      </w:r>
      <w:r>
        <w:rPr>
          <w:rFonts w:ascii="Calibri" w:hAnsi="Calibri" w:eastAsia="Microsoft YaHei"/>
          <w:b w:val="0"/>
          <w:i w:val="0"/>
          <w:color w:val="0B2545"/>
          <w:sz w:val="19"/>
        </w:rPr>
        <w:t>____________________________________________________________</w:t>
      </w:r>
    </w:p>
    <w:p>
      <w:pPr>
        <w:pStyle w:val="Heading1"/>
        <w:keepNext/>
      </w:pPr>
      <w:r>
        <w:t>10. 精简证据来源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需求与验收：00_赛题包说明.pdf；00_需求书.docx；01_数据材料与字段说明_.xlsx；02_应用交付与验收要求.md。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设备与工艺：08_equipment_master.csv；09_control_constraints.csv；10_electrolyzer_efficiency_curves.csv。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问题与提交：16_assistant_questions.csv；17_submission_template.csv；18_data_quality_notes.csv。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公开清单：19_dataset_manifest_public.json；20_包文件校验清单_SHA256.txt。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submission/h2-sentinel/LEIDONG_ENTERPRISE_ALIGNMENT_BRIEF.md（深度备查）</w:t>
      </w:r>
    </w:p>
    <w:p>
      <w:pPr>
        <w:spacing w:after="140" w:line="300" w:lineRule="auto" w:before="100"/>
        <w:shd w:fill="F4F6F9"/>
        <w:pBdr>
          <w:left w:val="single" w:sz="18" w:space="10" w:color="2E74B5"/>
        </w:pBdr>
        <w:ind w:left="173" w:right="115"/>
      </w:pPr>
      <w:r>
        <w:rPr>
          <w:rFonts w:ascii="Calibri" w:hAnsi="Calibri" w:eastAsia="Microsoft YaHei"/>
          <w:b w:val="0"/>
          <w:i w:val="0"/>
          <w:color w:val="0B2545"/>
          <w:sz w:val="22"/>
        </w:rPr>
        <w:t>来源用于确认当前资料事实与提问边界，不据此推导企业背书、官方分数或生产效果。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spacing w:after="0"/>
    </w:pPr>
    <w:r>
      <w:rPr>
        <w:rFonts w:ascii="Calibri" w:hAnsi="Calibri" w:eastAsia="Microsoft YaHei"/>
        <w:b w:val="0"/>
        <w:i w:val="0"/>
        <w:color w:val="5F6B7A"/>
        <w:sz w:val="17"/>
      </w:rPr>
      <w:t>内部工作稿</w:t>
    </w:r>
    <w:r>
      <w:rPr>
        <w:rFonts w:ascii="Calibri" w:hAnsi="Calibri" w:eastAsia="Microsoft YaHei"/>
        <w:b w:val="0"/>
        <w:i w:val="0"/>
        <w:color w:val="5F6B7A"/>
        <w:sz w:val="17"/>
      </w:rPr>
      <w:tab/>
      <w:t xml:space="preserve">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F6B7A"/>
        <w:sz w:val="17"/>
      </w:rPr>
      <w:t xml:space="preserve"> / </w:t>
    </w:r>
    <w:r>
      <w:fldChar w:fldCharType="begin"/>
      <w:instrText xml:space="preserve"> NUMPAGES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5F6B7A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Calibri" w:hAnsi="Calibri" w:eastAsia="Microsoft YaHei"/>
        <w:b/>
        <w:i w:val="0"/>
        <w:color w:val="5F6B7A"/>
        <w:sz w:val="17"/>
      </w:rPr>
      <w:t>H2 Sentinel × 雷动 | 微信对接精简手册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20" w:line="300" w:lineRule="auto"/>
    </w:pPr>
    <w:rPr>
      <w:rFonts w:ascii="Calibri" w:hAnsi="Calibri" w:eastAsia="Microsoft YaHei"/>
      <w:b w:val="0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雷动企业微信对接提问手册（精简版）</dc:title>
  <dc:subject>Concise LeiDong WeChat alignment playbook</dc:subject>
  <dc:creator>H2 Sentinel Project Team</dc:creator>
  <cp:keywords>LeiDong, WeChat, discovery, evaluation contract, H2 Sentinel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