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07. Backend Development Log</w:t>
      </w:r>
    </w:p>
    <w:p>
      <w:pPr>
        <w:spacing w:after="120"/>
      </w:pPr>
      <w:r>
        <w:rPr>
          <w:i/>
          <w:iCs/>
        </w:rPr>
        <w:t xml:space="preserve">DAK (Discover Adelaide Korea) — Backend implementation progress log</w:t>
      </w:r>
    </w:p>
    <w:p>
      <w:pPr>
        <w:pStyle w:val="Heading1"/>
      </w:pPr>
      <w:r>
        <w:t xml:space="preserve">1. Purpose</w:t>
      </w:r>
    </w:p>
    <w:p>
      <w:pPr>
        <w:spacing w:after="120"/>
      </w:pPr>
      <w:r>
        <w:t xml:space="preserve">This document tracks backend development step by step, so progress can be reviewed later without re-reading full chat history. Each entry records what was done, which files were created/changed, and what the next step is. It complements 01–06 (which define product/design intent) rather than replacing them.</w:t>
      </w:r>
    </w:p>
    <w:p>
      <w:pPr>
        <w:pStyle w:val="Heading1"/>
      </w:pPr>
      <w:r>
        <w:t xml:space="preserve">2. Roadmap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01 Brand Identity —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02 Product Vision &amp; Roadmap —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03 MVP Feature Specification — done (reconciliation with 06 scope changes deferred)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04 Database Design —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05 API Specification —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06 UI/UX Design —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(Spring Boot) — in progress (this log)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(React) — not started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Testing — not started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MVP Release — not started</w:t>
      </w:r>
    </w:p>
    <w:p>
      <w:pPr>
        <w:pStyle w:val="Heading1"/>
      </w:pPr>
      <w:r>
        <w:t xml:space="preserve">3. Log Entries</w:t>
      </w:r>
    </w:p>
    <w:p>
      <w:pPr>
        <w:pStyle w:val="Heading2"/>
      </w:pPr>
      <w:r>
        <w:t xml:space="preserve">Entry 1 — Initial project setup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700"/>
      </w:tblGrid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2026-07-21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Backend Step 1: Project initial setup (Spring Boot, DB connection config, package structure)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Summary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Created the dak-backend Maven project skeleton. Package structure follows a standard layered architecture (config / controller / service / repository / domain / dto / exception / common). Implemented the standard API response envelope (ApiResponse/ApiError) and a GlobalExceptionHandler, both matching the success/data and success/error formats defined in 05_API_Specification_DAK.docx §2.4/§2.6/§11.2–11.3. Added dev/prod application.yml profiles with PostgreSQL + Flyway config (schema is migration-owned, not Hibernate-auto-generated, so it stays in sync with 04 Database Design). Added a GET /api/v1/health endpoint to sanity-check the response envelope once the project is built.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Files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pom.xml; BackendApplication.java; common/ApiResponse.java; common/ApiError.java; exception/ApiException.java; exception/GlobalExceptionHandler.java; controller/HealthController.java; application.yml; application-dev.yml; application-prod.yml; db/migration/ (empty, reserved for Flyway scripts); README.md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Next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Flyway migration scripts (V1__init.sql) generated from 04 Database Design, then JPA entities matching those tables.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C0392B"/>
        </w:rPr>
        <w:t xml:space="preserve">Note: this environment could not reach Maven Central, so the project was not compiled or run here — it needs a local `mvn`/`./mvnw` build with normal internet access to verify it compiles. See README.md "Running locally".</w:t>
      </w:r>
    </w:p>
    <w:p>
      <w:pPr>
        <w:pStyle w:val="Heading2"/>
      </w:pPr>
      <w:r>
        <w:t xml:space="preserve">Entry 2 — Local Windows development environment setup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700"/>
      </w:tblGrid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2026-07-21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Backend Step 1 (continued): set up local machine so the Step 1 skeleton can actually be compiled and run.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Summary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Walked through installing Java 21 (Temurin), Apache Maven 3.9.16, and PostgreSQL 17 on Windows, then creating the dak_dev database and dak user to match application-dev.yml. This was necessary because the sandbox used to build the Step 1 skeleton has no access to Maven Central, so the project was never actually compiled — this was the first real local build/run attempt. Full step-by-step instructions (including the Windows PATH/environment-variable troubleshooting that came up) were written up as a standalone reference guide rather than kept only in chat.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Files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No project files changed except config/SecurityConfig.java (see below). See 09_Local_Development_Environment_Setup_Guide.docx for the full walkthrough.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Next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Flyway migrations from 04 Database Design, then JPA entities matching those tables.</w:t>
            </w:r>
          </w:p>
        </w:tc>
      </w:tr>
    </w:tbl>
    <w:p>
      <w:pPr>
        <w:pStyle w:val="Heading2"/>
      </w:pPr>
      <w:r>
        <w:t xml:space="preserve">Entry 3 — First successful local run; interim SecurityConfig added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700"/>
      </w:tblGrid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2026-07-21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Backend Step 1: verify the skeleton actually builds and runs (first real compile, outside the sandbox).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Summary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First `mvn spring-boot:run` hit Spring Security's default auto-configuration: since spring-boot-starter-security was on the classpath with no SecurityConfig, Spring Boot generated a login form and blocked every endpoint, including /api/v1/health. Added an interim SecurityConfig (CSRF disabled, stateless sessions, form login disabled, /api/v1/health permitted, everything else requires auth) so the project runs without a login screen while JWT auth is still unimplemented. After this fix, GET /api/v1/health returned the expected {success:true,...} envelope on localhost:8080. Backend Step 1 is now confirmed working end-to-end on a real machine, not just written.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Files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config/SecurityConfig.java (new)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Next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Flyway migrations (V1__init.sql) generated from 04 Database Design, then JPA entities matching those tables.</w:t>
            </w:r>
          </w:p>
        </w:tc>
      </w:tr>
    </w:tbl>
    <w:p>
      <w:pPr>
        <w:pStyle w:val="Heading2"/>
      </w:pPr>
      <w:r>
        <w:t xml:space="preserve">Entry 4 — V1 migration + User/Role entities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700"/>
      </w:tblGrid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2026-07-21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Backend Step 2: first Flyway migration and matching JPA entities, scoped to authentication only.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Summary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Per 04_Database_Design_DAK.docx §15.11 migration sequence, created V1__init.sql covering just the extensions + user/role portion (steps 1 and 3 of that sequence) rather than the full schema at once: pgcrypto extension, roles table, users table (with account_status check constraint and case-insensitive unique email index per §12.2/§11.4), and the user_roles junction table, plus seed data for the four MVP roles (USER, BUSINESS_OWNER, MODERATOR, ADMINISTRATOR) per §15.12. Added matching JPA entities (Role, User with a @ManyToMany to Role) and basic repositories (UserRepository, RoleRepository). Geographic tables and Business Directory tables are deferred to V2+, once auth is working end-to-end.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Files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db/migration/V1__init.sql (new); domain/Role.java (new); domain/User.java (new); repository/UserRepository.java (new); repository/RoleRepository.java (new)</w:t>
            </w:r>
          </w:p>
        </w:tc>
      </w:tr>
      <w:tr>
        <w:tc>
          <w:tcPr>
            <w:tcW w:type="dxa" w:w="1800"/>
            <w:shd w:fill="F2F2F2" w:color="auto" w:val="clear"/>
          </w:tcPr>
          <w:p>
            <w:r>
              <w:rPr>
                <w:b/>
                <w:bCs/>
              </w:rPr>
              <w:t xml:space="preserve">Next</w:t>
            </w:r>
          </w:p>
        </w:tc>
        <w:tc>
          <w:tcPr>
            <w:tcW w:type="dxa" w:w="7700"/>
          </w:tcPr>
          <w:p>
            <w:r>
              <w:rPr>
                <w:b w:val="false"/>
                <w:bCs w:val="false"/>
              </w:rPr>
              <w:t xml:space="preserve">Run this against the local dak_dev database (Flyway applies it automatically on next `mvn spring-boot:run`) and confirm the tables + seed roles exist, then start the Auth API (register/login) using these entities.</w:t>
            </w:r>
          </w:p>
        </w:tc>
      </w:tr>
    </w:tbl>
    <w:p>
      <w:pPr>
        <w:pStyle w:val="Heading1"/>
      </w:pPr>
      <w:r>
        <w:t xml:space="preserve">4. How this log will be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new Entry N is appended after each completed backend step, in the same table format.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entry names exact files touched, so changes are traceable without re-reading chat.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Known gaps/risks are called out inline (e.g. the Maven Central network limitation above) rather than hidden.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document, not chat memory, is the source of truth for "where did we leave off".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2026-07-21T14:33:17.415Z</dcterms:created>
  <dcterms:modified xsi:type="dcterms:W3CDTF">2026-07-21T14:33:17.427Z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