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08. Go-to-Market Strategy</w:t>
      </w:r>
    </w:p>
    <w:p>
      <w:pPr>
        <w:spacing w:after="120"/>
      </w:pPr>
      <w:r>
        <w:rPr>
          <w:i/>
          <w:iCs/>
        </w:rPr>
        <w:t xml:space="preserve">DAK (Discover Adelaide Korea) — competitive assessment and launch traffic strategy</w:t>
      </w:r>
    </w:p>
    <w:p>
      <w:pPr>
        <w:pStyle w:val="Heading1"/>
      </w:pPr>
      <w:r>
        <w:t xml:space="preserve">1. Purpose</w:t>
      </w:r>
    </w:p>
    <w:p>
      <w:pPr>
        <w:spacing w:after="120"/>
      </w:pPr>
      <w:r>
        <w:t xml:space="preserve">This document records the competitive assessment against the incumbent community site (Adelaide Focus) and the go-to-market plan for acquiring initial traffic and users. It expands on the "User Adoption Risk" and "Search Engine Visibility Risk" already noted in 02 Product Vision &amp; Roadmap §11, with concrete tactics and a phased rollout order.</w:t>
      </w:r>
    </w:p>
    <w:p>
      <w:pPr>
        <w:pStyle w:val="Heading1"/>
      </w:pPr>
      <w:r>
        <w:t xml:space="preserve">2. Competitive Landscape: Adelaide Focus</w:t>
      </w:r>
    </w:p>
    <w:p>
      <w:pPr>
        <w:spacing w:after="120"/>
      </w:pPr>
      <w:r>
        <w:t xml:space="preserve">Adelaide Focus (adelaidefocus.com) is currently the only active Korean community site in Adelaide. It is a traditional bulletin-board (Gnuboard-style) site. As of this review, the boards with real ongoing activity are:</w:t>
      </w:r>
    </w:p>
    <w:p>
      <w:pPr>
        <w:pStyle w:val="ListParagraph"/>
        <w:numPr>
          <w:ilvl w:val="0"/>
          <w:numId w:val="1"/>
        </w:numPr>
        <w:spacing w:after="60"/>
      </w:pPr>
      <w:r>
        <w:t xml:space="preserve">벼룩시장 (Flea market — household items, cars)</w:t>
      </w:r>
    </w:p>
    <w:p>
      <w:pPr>
        <w:pStyle w:val="ListParagraph"/>
        <w:numPr>
          <w:ilvl w:val="0"/>
          <w:numId w:val="1"/>
        </w:numPr>
        <w:spacing w:after="60"/>
      </w:pPr>
      <w:r>
        <w:t xml:space="preserve">렌트&amp;쉐어 (Rent &amp; share housing)</w:t>
      </w:r>
    </w:p>
    <w:p>
      <w:pPr>
        <w:pStyle w:val="ListParagraph"/>
        <w:numPr>
          <w:ilvl w:val="0"/>
          <w:numId w:val="1"/>
        </w:numPr>
        <w:spacing w:after="60"/>
      </w:pPr>
      <w:r>
        <w:t xml:space="preserve">구인&amp;구직 (Jobs)</w:t>
      </w:r>
    </w:p>
    <w:p>
      <w:pPr>
        <w:pStyle w:val="ListParagraph"/>
        <w:numPr>
          <w:ilvl w:val="0"/>
          <w:numId w:val="1"/>
        </w:numPr>
        <w:spacing w:after="60"/>
      </w:pPr>
      <w:r>
        <w:t xml:space="preserve">업체홍보 (Business promotion posts)</w:t>
      </w:r>
    </w:p>
    <w:p>
      <w:pPr>
        <w:pStyle w:val="ListParagraph"/>
        <w:numPr>
          <w:ilvl w:val="0"/>
          <w:numId w:val="1"/>
        </w:numPr>
        <w:spacing w:after="60"/>
      </w:pPr>
      <w:r>
        <w:t xml:space="preserve">업소록 (Business directory — a flat carousel of paid banner images, no categories, filters, verification, or search)</w:t>
      </w:r>
    </w:p>
    <w:p>
      <w:pPr>
        <w:spacing w:after="120"/>
      </w:pPr>
      <w:r>
        <w:t xml:space="preserve">Structural weaknesses observed: no site search, no structured business data (name/category/hours/verification are not separate fields, just banner images and links), no map integration, and community boards are flat chronological lists with no categorisation beyond board type.</w:t>
      </w:r>
    </w:p>
    <w:p>
      <w:pPr>
        <w:pStyle w:val="Heading1"/>
      </w:pPr>
      <w:r>
        <w:t xml:space="preserve">3. Competitive Assessment</w:t>
      </w:r>
    </w:p>
    <w:p>
      <w:pPr>
        <w:pStyle w:val="Heading2"/>
      </w:pPr>
      <w:r>
        <w:t xml:space="preserve">3.1 Where DAK has a structural advantage</w:t>
      </w:r>
    </w:p>
    <w:p>
      <w:pPr>
        <w:pStyle w:val="ListParagraph"/>
        <w:numPr>
          <w:ilvl w:val="0"/>
          <w:numId w:val="1"/>
        </w:numPr>
        <w:spacing w:after="60"/>
      </w:pPr>
      <w:r>
        <w:t xml:space="preserve">Business Directory + Search — Focus has no search at all and no structured business data. This is a clear structural win, not just a visual one.</w:t>
      </w:r>
    </w:p>
    <w:p>
      <w:pPr>
        <w:pStyle w:val="ListParagraph"/>
        <w:numPr>
          <w:ilvl w:val="0"/>
          <w:numId w:val="1"/>
        </w:numPr>
        <w:spacing w:after="60"/>
      </w:pPr>
      <w:r>
        <w:t xml:space="preserve">Australia Updates (AI-summarised, source-cited) — Focus's 교민동정/공지사항 boards are unstructured links/announcements. AI-assisted Korean summaries with mandatory source disclosure are a real usability improvement.</w:t>
      </w:r>
    </w:p>
    <w:p>
      <w:pPr>
        <w:pStyle w:val="ListParagraph"/>
        <w:numPr>
          <w:ilvl w:val="0"/>
          <w:numId w:val="1"/>
        </w:numPr>
        <w:spacing w:after="60"/>
      </w:pPr>
      <w:r>
        <w:t xml:space="preserve">Verification badge — Focus's "업소록" is pay-to-list banner placement; there is no concept of independent verification.</w:t>
      </w:r>
    </w:p>
    <w:p>
      <w:pPr>
        <w:pStyle w:val="Heading2"/>
      </w:pPr>
      <w:r>
        <w:t xml:space="preserve">3.2 Where DAK should not compete head-on at launch</w:t>
      </w:r>
    </w:p>
    <w:p>
      <w:pPr>
        <w:spacing w:after="120"/>
      </w:pPr>
      <w:r>
        <w:t xml:space="preserve">벼룩시장 / 렌트&amp;쉐어 / 구인&amp;구직 (flea market, share housing, jobs) derive their value almost entirely from posting volume and freshness, not from UI quality. A new site launches with zero listings in these boards regardless of design quality, and an empty board reads as "dead site" — which drives users back to the incumbent rather than building trust. This is a classic two-sided marketplace cold-start problem: users need active posts to visit, and posters need visitors to bother posting.</w:t>
      </w:r>
    </w:p>
    <w:p>
      <w:pPr>
        <w:pStyle w:val="Heading2"/>
      </w:pPr>
      <w:r>
        <w:t xml:space="preserve">3.3 Overall assessment</w:t>
      </w:r>
    </w:p>
    <w:p>
      <w:pPr>
        <w:spacing w:after="120"/>
      </w:pPr>
      <w:r>
        <w:t xml:space="preserve">DAK is structurally better designed, but a better product does not automatically win traffic away from an incumbent with existing network effects, SEO authority, and posting habits. The realistic path is to win decisively in the areas where DAK does not depend on user-generated liquidity (Business Directory, Australia Updates), build trust and traffic there first, and treat community boards as a later-phase feature once there is an existing user base to seed them.</w:t>
      </w:r>
    </w:p>
    <w:p>
      <w:pPr>
        <w:pStyle w:val="Heading1"/>
      </w:pPr>
      <w:r>
        <w:t xml:space="preserve">4. Cold-Start Strategy</w:t>
      </w:r>
    </w:p>
    <w:p>
      <w:pPr>
        <w:pStyle w:val="Heading2"/>
      </w:pPr>
      <w:r>
        <w:t xml:space="preserve">4.1 Sequence content by liquidity dependency</w:t>
      </w:r>
    </w:p>
    <w:p>
      <w:pPr>
        <w:spacing w:after="120"/>
      </w:pPr>
      <w:r>
        <w:t xml:space="preserve">Content that admins/AI can populate directly (no user participation required) should launch first and carry the early traffic. Content that depends on user posting volume should launch only after there is a base of returning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50"/>
        <w:gridCol w:w="3250"/>
      </w:tblGrid>
      <w:tr>
        <w:tc>
          <w:tcPr>
            <w:tcW w:type="dxa" w:w="3000"/>
            <w:shd w:fill="F2F2F2" w:color="auto" w:val="clear"/>
          </w:tcPr>
          <w:p>
            <w:r>
              <w:rPr>
                <w:b/>
                <w:bCs/>
              </w:rPr>
              <w:t xml:space="preserve">Feature</w:t>
            </w:r>
          </w:p>
        </w:tc>
        <w:tc>
          <w:tcPr>
            <w:tcW w:type="dxa" w:w="3250"/>
            <w:shd w:fill="F2F2F2" w:color="auto" w:val="clear"/>
          </w:tcPr>
          <w:p>
            <w:r>
              <w:rPr>
                <w:b/>
                <w:bCs/>
              </w:rPr>
              <w:t xml:space="preserve">Liquidity dependency</w:t>
            </w:r>
          </w:p>
        </w:tc>
        <w:tc>
          <w:tcPr>
            <w:tcW w:type="dxa" w:w="3250"/>
            <w:shd w:fill="F2F2F2" w:color="auto" w:val="clear"/>
          </w:tcPr>
          <w:p>
            <w:r>
              <w:rPr>
                <w:b/>
                <w:bCs/>
              </w:rPr>
              <w:t xml:space="preserve">Launch timing</w:t>
            </w:r>
          </w:p>
        </w:tc>
      </w:tr>
      <w:tr>
        <w:tc>
          <w:tcPr>
            <w:tcW w:type="dxa" w:w="3000"/>
          </w:tcPr>
          <w:p>
            <w:r>
              <w:rPr>
                <w:b w:val="false"/>
                <w:bCs w:val="false"/>
              </w:rPr>
              <w:t xml:space="preserve">Business Directory</w:t>
            </w:r>
          </w:p>
        </w:tc>
        <w:tc>
          <w:tcPr>
            <w:tcW w:type="dxa" w:w="3250"/>
          </w:tcPr>
          <w:p>
            <w:r>
              <w:rPr>
                <w:b w:val="false"/>
                <w:bCs w:val="false"/>
              </w:rPr>
              <w:t xml:space="preserve">None — admin-curated</w:t>
            </w:r>
          </w:p>
        </w:tc>
        <w:tc>
          <w:tcPr>
            <w:tcW w:type="dxa" w:w="3250"/>
          </w:tcPr>
          <w:p>
            <w:r>
              <w:rPr>
                <w:b w:val="false"/>
                <w:bCs w:val="false"/>
              </w:rPr>
              <w:t xml:space="preserve">Launch day 1, pre-seeded</w:t>
            </w:r>
          </w:p>
        </w:tc>
      </w:tr>
      <w:tr>
        <w:tc>
          <w:tcPr>
            <w:tcW w:type="dxa" w:w="3000"/>
          </w:tcPr>
          <w:p>
            <w:r>
              <w:rPr>
                <w:b w:val="false"/>
                <w:bCs w:val="false"/>
              </w:rPr>
              <w:t xml:space="preserve">Australia Updates</w:t>
            </w:r>
          </w:p>
        </w:tc>
        <w:tc>
          <w:tcPr>
            <w:tcW w:type="dxa" w:w="3250"/>
          </w:tcPr>
          <w:p>
            <w:r>
              <w:rPr>
                <w:b w:val="false"/>
                <w:bCs w:val="false"/>
              </w:rPr>
              <w:t xml:space="preserve">None — AI import + admin approval</w:t>
            </w:r>
          </w:p>
        </w:tc>
        <w:tc>
          <w:tcPr>
            <w:tcW w:type="dxa" w:w="3250"/>
          </w:tcPr>
          <w:p>
            <w:r>
              <w:rPr>
                <w:b w:val="false"/>
                <w:bCs w:val="false"/>
              </w:rPr>
              <w:t xml:space="preserve">Launch day 1</w:t>
            </w:r>
          </w:p>
        </w:tc>
      </w:tr>
      <w:tr>
        <w:tc>
          <w:tcPr>
            <w:tcW w:type="dxa" w:w="3000"/>
          </w:tcPr>
          <w:p>
            <w:r>
              <w:rPr>
                <w:b w:val="false"/>
                <w:bCs w:val="false"/>
              </w:rPr>
              <w:t xml:space="preserve">Search</w:t>
            </w:r>
          </w:p>
        </w:tc>
        <w:tc>
          <w:tcPr>
            <w:tcW w:type="dxa" w:w="3250"/>
          </w:tcPr>
          <w:p>
            <w:r>
              <w:rPr>
                <w:b w:val="false"/>
                <w:bCs w:val="false"/>
              </w:rPr>
              <w:t xml:space="preserve">Depends on above content existing</w:t>
            </w:r>
          </w:p>
        </w:tc>
        <w:tc>
          <w:tcPr>
            <w:tcW w:type="dxa" w:w="3250"/>
          </w:tcPr>
          <w:p>
            <w:r>
              <w:rPr>
                <w:b w:val="false"/>
                <w:bCs w:val="false"/>
              </w:rPr>
              <w:t xml:space="preserve">Launch day 1 (once directory is seeded)</w:t>
            </w:r>
          </w:p>
        </w:tc>
      </w:tr>
      <w:tr>
        <w:tc>
          <w:tcPr>
            <w:tcW w:type="dxa" w:w="3000"/>
          </w:tcPr>
          <w:p>
            <w:r>
              <w:rPr>
                <w:b w:val="false"/>
                <w:bCs w:val="false"/>
              </w:rPr>
              <w:t xml:space="preserve">Community boards</w:t>
            </w:r>
          </w:p>
        </w:tc>
        <w:tc>
          <w:tcPr>
            <w:tcW w:type="dxa" w:w="3250"/>
          </w:tcPr>
          <w:p>
            <w:r>
              <w:rPr>
                <w:b w:val="false"/>
                <w:bCs w:val="false"/>
              </w:rPr>
              <w:t xml:space="preserve">High — needs active posters</w:t>
            </w:r>
          </w:p>
        </w:tc>
        <w:tc>
          <w:tcPr>
            <w:tcW w:type="dxa" w:w="3250"/>
          </w:tcPr>
          <w:p>
            <w:r>
              <w:rPr>
                <w:b w:val="false"/>
                <w:bCs w:val="false"/>
              </w:rPr>
              <w:t xml:space="preserve">Defer marketing push until an existing user base exists; consider a later phased opening</w:t>
            </w:r>
          </w:p>
        </w:tc>
      </w:tr>
    </w:tbl>
    <w:p>
      <w:pPr>
        <w:spacing w:after="120"/>
      </w:pPr>
      <w:r>
        <w:t xml:space="preserve"/>
      </w:r>
    </w:p>
    <w:p>
      <w:pPr>
        <w:spacing w:after="120"/>
      </w:pPr>
      <w:r>
        <w:rPr>
          <w:i/>
          <w:iCs/>
        </w:rPr>
        <w:t xml:space="preserve">Note: 06 UI/UX Design and 03 MVP Feature Specification currently include Community boards in the MVP build scope. This recommendation is about marketing/launch sequencing, not build scope — the boards can be built for MVP but should not be the headline feature promoted at launch.</w:t>
      </w:r>
    </w:p>
    <w:p>
      <w:pPr>
        <w:pStyle w:val="Heading2"/>
      </w:pPr>
      <w:r>
        <w:t xml:space="preserve">4.2 Pre-launch business directory seeding</w:t>
      </w:r>
    </w:p>
    <w:p>
      <w:pPr>
        <w:pStyle w:val="ListParagraph"/>
        <w:numPr>
          <w:ilvl w:val="0"/>
          <w:numId w:val="1"/>
        </w:numPr>
        <w:spacing w:after="60"/>
      </w:pPr>
      <w:r>
        <w:t xml:space="preserve">Manually curate and enter ~100–200 Korean-relevant Adelaide businesses before public launch, so the directory looks complete from day 1 rather than empty.</w:t>
      </w:r>
    </w:p>
    <w:p>
      <w:pPr>
        <w:pStyle w:val="ListParagraph"/>
        <w:numPr>
          <w:ilvl w:val="0"/>
          <w:numId w:val="1"/>
        </w:numPr>
        <w:spacing w:after="60"/>
      </w:pPr>
      <w:r>
        <w:t xml:space="preserve">Offer early-adopter businesses free verification (no paid placement, unlike Focus's pay-to-list banners) to lower the barrier to participation and build directory depth quickly.</w:t>
      </w:r>
    </w:p>
    <w:p>
      <w:pPr>
        <w:pStyle w:val="Heading1"/>
      </w:pPr>
      <w:r>
        <w:t xml:space="preserve">5. Acquisition Channels</w:t>
      </w:r>
    </w:p>
    <w:p>
      <w:pPr>
        <w:pStyle w:val="Heading2"/>
      </w:pPr>
      <w:r>
        <w:t xml:space="preserve">5.1 SEO — structured content, not banners</w:t>
      </w:r>
    </w:p>
    <w:p>
      <w:pPr>
        <w:pStyle w:val="ListParagraph"/>
        <w:numPr>
          <w:ilvl w:val="0"/>
          <w:numId w:val="1"/>
        </w:numPr>
        <w:spacing w:after="60"/>
      </w:pPr>
      <w:r>
        <w:t xml:space="preserve">Business directory pages should use structured LocalBusiness schema markup (schema.org), which Focus's banner-based listings do not have.</w:t>
      </w:r>
    </w:p>
    <w:p>
      <w:pPr>
        <w:pStyle w:val="ListParagraph"/>
        <w:numPr>
          <w:ilvl w:val="0"/>
          <w:numId w:val="1"/>
        </w:numPr>
        <w:spacing w:after="60"/>
      </w:pPr>
      <w:r>
        <w:t xml:space="preserve">Target long-tail Korean-language local search queries (e.g. "애들레이드 한국 치과", "애들레이드 한인 미용실") where structured, indexable pages can outrank flat banner pages over time.</w:t>
      </w:r>
    </w:p>
    <w:p>
      <w:pPr>
        <w:pStyle w:val="ListParagraph"/>
        <w:numPr>
          <w:ilvl w:val="0"/>
          <w:numId w:val="1"/>
        </w:numPr>
        <w:spacing w:after="60"/>
      </w:pPr>
      <w:r>
        <w:t xml:space="preserve">SEO is a medium-term channel — a new domain starts with no authority, so it should not be relied on for launch-week traffic.</w:t>
      </w:r>
    </w:p>
    <w:p>
      <w:pPr>
        <w:pStyle w:val="Heading2"/>
      </w:pPr>
      <w:r>
        <w:t xml:space="preserve">5.2 Existing offline/community channels for initial traffic</w:t>
      </w:r>
    </w:p>
    <w:p>
      <w:pPr>
        <w:pStyle w:val="ListParagraph"/>
        <w:numPr>
          <w:ilvl w:val="0"/>
          <w:numId w:val="1"/>
        </w:numPr>
        <w:spacing w:after="60"/>
      </w:pPr>
      <w:r>
        <w:t xml:space="preserve">KakaoTalk 교민 단톡방 (community chat groups)</w:t>
      </w:r>
    </w:p>
    <w:p>
      <w:pPr>
        <w:pStyle w:val="ListParagraph"/>
        <w:numPr>
          <w:ilvl w:val="0"/>
          <w:numId w:val="1"/>
        </w:numPr>
        <w:spacing w:after="60"/>
      </w:pPr>
      <w:r>
        <w:t xml:space="preserve">Facebook Adelaide Korean community groups</w:t>
      </w:r>
    </w:p>
    <w:p>
      <w:pPr>
        <w:pStyle w:val="ListParagraph"/>
        <w:numPr>
          <w:ilvl w:val="0"/>
          <w:numId w:val="1"/>
        </w:numPr>
        <w:spacing w:after="60"/>
      </w:pPr>
      <w:r>
        <w:t xml:space="preserve">Churches, 한인회, and other existing community organisations</w:t>
      </w:r>
    </w:p>
    <w:p>
      <w:pPr>
        <w:spacing w:after="120"/>
      </w:pPr>
      <w:r>
        <w:t xml:space="preserve">These channels move faster than organic search in the first few months and should carry early distribution.</w:t>
      </w:r>
    </w:p>
    <w:p>
      <w:pPr>
        <w:pStyle w:val="Heading2"/>
      </w:pPr>
      <w:r>
        <w:t xml:space="preserve">5.3 Positioning at launch</w:t>
      </w:r>
    </w:p>
    <w:p>
      <w:pPr>
        <w:spacing w:after="120"/>
      </w:pPr>
      <w:r>
        <w:t xml:space="preserve">Position DAK as a complement to Adelaide Focus (filling gaps — search, verified business info, structured Australia updates) rather than a direct replacement, especially in the early phase. A head-on "replace Focus" framing risks alienating an existing community that already has trust and habits built around the incumbent.</w:t>
      </w:r>
    </w:p>
    <w:p>
      <w:pPr>
        <w:pStyle w:val="Heading1"/>
      </w:pPr>
      <w:r>
        <w:t xml:space="preserve">6. Summary — Recommended Launch Order</w:t>
      </w:r>
    </w:p>
    <w:p>
      <w:pPr>
        <w:pStyle w:val="ListParagraph"/>
        <w:numPr>
          <w:ilvl w:val="0"/>
          <w:numId w:val="1"/>
        </w:numPr>
        <w:spacing w:after="60"/>
      </w:pPr>
      <w:r>
        <w:t xml:space="preserve">1. Pre-seed Business Directory (100–200 verified listings) before public launch.</w:t>
      </w:r>
    </w:p>
    <w:p>
      <w:pPr>
        <w:pStyle w:val="ListParagraph"/>
        <w:numPr>
          <w:ilvl w:val="0"/>
          <w:numId w:val="1"/>
        </w:numPr>
        <w:spacing w:after="60"/>
      </w:pPr>
      <w:r>
        <w:t xml:space="preserve">2. Launch with Business Directory + Search + Australia Updates as the headline value proposition.</w:t>
      </w:r>
    </w:p>
    <w:p>
      <w:pPr>
        <w:pStyle w:val="ListParagraph"/>
        <w:numPr>
          <w:ilvl w:val="0"/>
          <w:numId w:val="1"/>
        </w:numPr>
        <w:spacing w:after="60"/>
      </w:pPr>
      <w:r>
        <w:t xml:space="preserve">3. Distribute through existing offline community channels (KakaoTalk, Facebook groups, community orgs), not paid ads or SEO, in the first weeks.</w:t>
      </w:r>
    </w:p>
    <w:p>
      <w:pPr>
        <w:pStyle w:val="ListParagraph"/>
        <w:numPr>
          <w:ilvl w:val="0"/>
          <w:numId w:val="1"/>
        </w:numPr>
        <w:spacing w:after="60"/>
      </w:pPr>
      <w:r>
        <w:t xml:space="preserve">4. Build SEO authority in parallel through structured business pages — this becomes the dominant channel over months, not weeks.</w:t>
      </w:r>
    </w:p>
    <w:p>
      <w:pPr>
        <w:pStyle w:val="ListParagraph"/>
        <w:numPr>
          <w:ilvl w:val="0"/>
          <w:numId w:val="1"/>
        </w:numPr>
        <w:spacing w:after="60"/>
      </w:pPr>
      <w:r>
        <w:t xml:space="preserve">5. Open Community boards (flea market / share housing / jobs) only once there is a returning user base large enough to avoid an empty-board first impression.</w:t>
      </w:r>
    </w:p>
    <w:p>
      <w:pPr>
        <w:pStyle w:val="Heading1"/>
      </w:pPr>
      <w:r>
        <w:t xml:space="preserve">7. Open Questions</w:t>
      </w:r>
    </w:p>
    <w:p>
      <w:pPr>
        <w:pStyle w:val="ListParagraph"/>
        <w:numPr>
          <w:ilvl w:val="0"/>
          <w:numId w:val="1"/>
        </w:numPr>
        <w:spacing w:after="60"/>
      </w:pPr>
      <w:r>
        <w:t xml:space="preserve">Exact threshold (user count / directory size) for when Community boards should be marketed publicly — needs a decision before Phase 2 planning.</w:t>
      </w:r>
    </w:p>
    <w:p>
      <w:pPr>
        <w:pStyle w:val="ListParagraph"/>
        <w:numPr>
          <w:ilvl w:val="0"/>
          <w:numId w:val="1"/>
        </w:numPr>
        <w:spacing w:after="60"/>
      </w:pPr>
      <w:r>
        <w:t xml:space="preserve">Whether to reconcile this phased approach with 03 MVP Feature Specification, which currently lists Community boards without a launch-sequencing caveat.</w:t>
      </w:r>
    </w:p>
    <w:p>
      <w:pPr>
        <w:pStyle w:val="ListParagraph"/>
        <w:numPr>
          <w:ilvl w:val="0"/>
          <w:numId w:val="1"/>
        </w:numPr>
        <w:spacing w:after="60"/>
      </w:pPr>
      <w:r>
        <w:t xml:space="preserve">Legal/ethical boundaries if any interim strategy considers linking to or referencing Adelaide Focus listings — not recommended without further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2026-07-21T11:47:29.896Z</dcterms:created>
  <dcterms:modified xsi:type="dcterms:W3CDTF">2026-07-21T11:47:29.909Z</dcterms:modified>
</cp:coreProperties>
</file>

<file path=docProps/custom.xml><?xml version="1.0" encoding="utf-8"?>
<Properties xmlns="http://schemas.openxmlformats.org/officeDocument/2006/custom-properties" xmlns:vt="http://schemas.openxmlformats.org/officeDocument/2006/docPropsVTypes"/>
</file>