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CONFIDENTIALITY AGREEMENT</w:t>
      </w:r>
    </w:p>
    <w:p>
      <w:pPr>
        <w:pStyle w:val="BodyText"/>
      </w:pPr>
      <w:r>
        <w:t xml:space="preserve">This Confidentiality Agreement (the "Agreement") is entered into as of January 15, 2026, by and between Northwind Analytics, Inc., a Delaware corporation ("Disclosing Party"), and Beacon Strategy LLC, a New York limited liability company ("Receiving Party").</w:t>
      </w:r>
    </w:p>
    <w:p>
      <w:pPr>
        <w:numPr>
          <w:ilvl w:val="0"/>
          <w:numId w:val="1001"/>
        </w:numPr>
      </w:pPr>
      <w:r>
        <w:t xml:space="preserve">Purpose. The parties wish to explore a possible commercial relationship involving Beacon Strategy LLC's evaluation of Northwind Analytics, Inc.'s compliance automation platform.</w:t>
      </w:r>
    </w:p>
    <w:p>
      <w:pPr>
        <w:numPr>
          <w:ilvl w:val="0"/>
          <w:numId w:val="1001"/>
        </w:numPr>
      </w:pPr>
      <w:r>
        <w:t xml:space="preserve">Confidential Information. "Confidential Information" means non-public business, technical, financial, product, customer, and legal information disclosed by the Disclosing Party, whether in written, oral, electronic, visual, or other form, including product roadmaps, pricing, software architecture, security materials, customer lists, and deal terms.</w:t>
      </w:r>
    </w:p>
    <w:p>
      <w:pPr>
        <w:numPr>
          <w:ilvl w:val="0"/>
          <w:numId w:val="1001"/>
        </w:numPr>
      </w:pPr>
      <w:r>
        <w:t xml:space="preserve">Exclusions. Confidential Information does not include information that the Receiving Party can demonstrate: (a) is or becomes public without breach of this Agreement; (b) was already lawfully known to the Receiving Party without confidentiality restrictions; (c) is lawfully received from a third party without breach of duty; or (d) is independently developed without use of the Confidential Information.</w:t>
      </w:r>
    </w:p>
    <w:p>
      <w:pPr>
        <w:numPr>
          <w:ilvl w:val="0"/>
          <w:numId w:val="1001"/>
        </w:numPr>
      </w:pPr>
      <w:r>
        <w:t xml:space="preserve">Use and Protection. The Receiving Party shall use the Confidential Information solely for the Purpose, shall not disclose it except to employees, contractors, and legal advisers with a need to know and who are bound by confidentiality obligations no less protective than those in this Agreement, and shall protect the Confidential Information using at least reasonable care.</w:t>
      </w:r>
    </w:p>
    <w:p>
      <w:pPr>
        <w:numPr>
          <w:ilvl w:val="0"/>
          <w:numId w:val="1001"/>
        </w:numPr>
      </w:pPr>
      <w:r>
        <w:t xml:space="preserve">Compelled Disclosure. If the Receiving Party is required by law, regulation, or court order to disclose Confidential Information, it shall, to the extent legally permitted, give prompt written notice to the Disclosing Party and reasonably cooperate in seeking confidential treatment.</w:t>
      </w:r>
    </w:p>
    <w:p>
      <w:pPr>
        <w:numPr>
          <w:ilvl w:val="0"/>
          <w:numId w:val="1001"/>
        </w:numPr>
      </w:pPr>
      <w:r>
        <w:t xml:space="preserve">Return or Destruction. Upon written request, the Receiving Party shall promptly return or destroy the Confidential Information, except that it may retain archival copies required by law or routine backup systems, subject to this Agreement.</w:t>
      </w:r>
    </w:p>
    <w:p>
      <w:pPr>
        <w:numPr>
          <w:ilvl w:val="0"/>
          <w:numId w:val="1001"/>
        </w:numPr>
      </w:pPr>
      <w:r>
        <w:t xml:space="preserve">No License. No license or other rights are granted by disclosure of Confidential Information except the limited right to review the information for the Purpose.</w:t>
      </w:r>
    </w:p>
    <w:p>
      <w:pPr>
        <w:numPr>
          <w:ilvl w:val="0"/>
          <w:numId w:val="1001"/>
        </w:numPr>
      </w:pPr>
      <w:r>
        <w:t xml:space="preserve">Term. This Agreement begins on the effective date above. The duty to protect Confidential Information continues for three (3) years after the last disclosure of Confidential Information.</w:t>
      </w:r>
    </w:p>
    <w:p>
      <w:pPr>
        <w:numPr>
          <w:ilvl w:val="0"/>
          <w:numId w:val="1001"/>
        </w:numPr>
      </w:pPr>
      <w:r>
        <w:t xml:space="preserve">Remedies. Unauthorized use or disclosure may cause irreparable harm for which monetary damages are inadequate. The Disclosing Party may seek injunctive relief in addition to any other available remedies.</w:t>
      </w:r>
    </w:p>
    <w:p>
      <w:pPr>
        <w:numPr>
          <w:ilvl w:val="0"/>
          <w:numId w:val="1001"/>
        </w:numPr>
      </w:pPr>
      <w:r>
        <w:t xml:space="preserve">Governing Law. This Agreement is governed by the laws of the State of New York, without regard to conflict-of-law principles.</w:t>
      </w:r>
    </w:p>
    <w:p>
      <w:pPr>
        <w:numPr>
          <w:ilvl w:val="0"/>
          <w:numId w:val="1001"/>
        </w:numPr>
      </w:pPr>
      <w:r>
        <w:t xml:space="preserve">Entire Agreement. This Agreement is the entire agreement between the parties on this subject and may be amended only in a writing signed by both parties.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2026-03-26T22:58:32Z</dcterms:created>
  <dcterms:modified xsi:type="dcterms:W3CDTF">2026-03-26T22:58:32Z</dcterms:modified>
</cp:coreProperties>
</file>

<file path=docProps/custom.xml><?xml version="1.0" encoding="utf-8"?>
<Properties xmlns="http://schemas.openxmlformats.org/officeDocument/2006/custom-properties" xmlns:vt="http://schemas.openxmlformats.org/officeDocument/2006/docPropsVTypes"/>
</file>