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F498B">
      <w:pPr>
        <w:pStyle w:val="a3"/>
        <w:spacing w:before="0" w:beforeAutospacing="0" w:after="0" w:afterAutospacing="0"/>
        <w:rPr>
          <w:rFonts w:ascii="Microsoft YaHei Light" w:hAnsi="Microsoft YaHei Light" w:cs="Calibri"/>
          <w:sz w:val="40"/>
          <w:szCs w:val="40"/>
        </w:rPr>
      </w:pPr>
      <w:bookmarkStart w:id="0" w:name="_GoBack"/>
      <w:bookmarkEnd w:id="0"/>
      <w:r>
        <w:rPr>
          <w:rFonts w:ascii="Microsoft YaHei Light" w:hAnsi="Microsoft YaHei Light" w:cs="Calibri"/>
          <w:sz w:val="40"/>
          <w:szCs w:val="40"/>
        </w:rPr>
        <w:t>【投资基础知识】投资品种</w:t>
      </w:r>
      <w:r>
        <w:rPr>
          <w:rFonts w:ascii="Microsoft YaHei Light" w:hAnsi="Microsoft YaHei Light" w:cs="Calibri"/>
          <w:sz w:val="40"/>
          <w:szCs w:val="40"/>
        </w:rPr>
        <w:t>-</w:t>
      </w:r>
      <w:r>
        <w:rPr>
          <w:rFonts w:ascii="Microsoft YaHei Light" w:hAnsi="Microsoft YaHei Light" w:cs="Calibri"/>
          <w:sz w:val="40"/>
          <w:szCs w:val="40"/>
        </w:rPr>
        <w:t>投资者之家</w:t>
      </w:r>
    </w:p>
    <w:p w:rsidR="00000000" w:rsidRDefault="005F498B">
      <w:pPr>
        <w:pStyle w:val="a3"/>
        <w:spacing w:before="0" w:beforeAutospacing="0" w:after="0" w:afterAutospacing="0"/>
        <w:rPr>
          <w:rFonts w:ascii="微软雅黑" w:eastAsia="微软雅黑" w:hAnsi="微软雅黑" w:cs="Calibri"/>
          <w:color w:val="808080"/>
          <w:sz w:val="20"/>
          <w:szCs w:val="20"/>
        </w:rPr>
      </w:pPr>
      <w:r>
        <w:rPr>
          <w:rFonts w:ascii="微软雅黑" w:eastAsia="微软雅黑" w:hAnsi="微软雅黑" w:cs="Calibri" w:hint="eastAsia"/>
          <w:color w:val="808080"/>
          <w:sz w:val="20"/>
          <w:szCs w:val="20"/>
        </w:rPr>
        <w:t>星期日</w:t>
      </w:r>
      <w:r>
        <w:rPr>
          <w:rFonts w:ascii="微软雅黑" w:eastAsia="微软雅黑" w:hAnsi="微软雅黑" w:cs="Calibri" w:hint="eastAsia"/>
          <w:color w:val="808080"/>
          <w:sz w:val="20"/>
          <w:szCs w:val="20"/>
        </w:rPr>
        <w:t xml:space="preserve">, </w:t>
      </w:r>
      <w:r>
        <w:rPr>
          <w:rFonts w:ascii="微软雅黑" w:eastAsia="微软雅黑" w:hAnsi="微软雅黑" w:cs="Calibri" w:hint="eastAsia"/>
          <w:color w:val="808080"/>
          <w:sz w:val="20"/>
          <w:szCs w:val="20"/>
        </w:rPr>
        <w:t>十月</w:t>
      </w:r>
      <w:r>
        <w:rPr>
          <w:rFonts w:ascii="微软雅黑" w:eastAsia="微软雅黑" w:hAnsi="微软雅黑" w:cs="Calibri" w:hint="eastAsia"/>
          <w:color w:val="808080"/>
          <w:sz w:val="20"/>
          <w:szCs w:val="20"/>
        </w:rPr>
        <w:t xml:space="preserve"> 11, 2020</w:t>
      </w:r>
    </w:p>
    <w:p w:rsidR="00000000" w:rsidRDefault="005F498B">
      <w:pPr>
        <w:pStyle w:val="a3"/>
        <w:spacing w:before="0" w:beforeAutospacing="0" w:after="0" w:afterAutospacing="0"/>
        <w:rPr>
          <w:rFonts w:ascii="Calibri" w:hAnsi="Calibri" w:cs="Calibri" w:hint="eastAsia"/>
          <w:color w:val="808080"/>
          <w:sz w:val="20"/>
          <w:szCs w:val="20"/>
        </w:rPr>
      </w:pPr>
      <w:r>
        <w:rPr>
          <w:rFonts w:ascii="Calibri" w:hAnsi="Calibri" w:cs="Calibri"/>
          <w:color w:val="808080"/>
          <w:sz w:val="20"/>
          <w:szCs w:val="20"/>
        </w:rPr>
        <w:t xml:space="preserve">2:23 </w:t>
      </w:r>
      <w:r>
        <w:rPr>
          <w:rFonts w:ascii="Calibri" w:hAnsi="Calibri" w:cs="Calibri"/>
          <w:color w:val="808080"/>
          <w:sz w:val="20"/>
          <w:szCs w:val="20"/>
        </w:rPr>
        <w:t>下午</w:t>
      </w:r>
    </w:p>
    <w:p w:rsidR="00000000" w:rsidRDefault="005F498B">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F498B">
      <w:pPr>
        <w:pStyle w:val="a3"/>
        <w:spacing w:beforeAutospacing="0" w:afterAutospacing="0"/>
        <w:rPr>
          <w:rFonts w:ascii="Calibri" w:hAnsi="Calibri" w:cs="Calibri"/>
          <w:sz w:val="22"/>
          <w:szCs w:val="22"/>
        </w:rPr>
      </w:pPr>
      <w:r>
        <w:rPr>
          <w:rFonts w:ascii="微软雅黑" w:eastAsia="微软雅黑" w:hAnsi="微软雅黑" w:cs="Calibri" w:hint="eastAsia"/>
        </w:rPr>
        <w:t>已剪辑自</w:t>
      </w:r>
      <w:r>
        <w:rPr>
          <w:rFonts w:ascii="Verdana" w:hAnsi="Verdana" w:cs="Calibri"/>
        </w:rPr>
        <w:t xml:space="preserve">: </w:t>
      </w:r>
      <w:hyperlink r:id="rId7" w:history="1">
        <w:r>
          <w:rPr>
            <w:rStyle w:val="a4"/>
            <w:rFonts w:ascii="Verdana" w:hAnsi="Verdana" w:cs="Calibri"/>
          </w:rPr>
          <w:t>https://tzz.sac.net.cn/rsbd/tzxz/201512/t20151209_126716.html</w:t>
        </w:r>
      </w:hyperlink>
    </w:p>
    <w:p w:rsidR="00000000" w:rsidRDefault="005F498B">
      <w:pPr>
        <w:pStyle w:val="a3"/>
        <w:spacing w:beforeAutospacing="0" w:after="240" w:afterAutospacing="0"/>
        <w:rPr>
          <w:rFonts w:ascii="微软雅黑" w:eastAsia="微软雅黑" w:hAnsi="微软雅黑" w:cs="Calibri"/>
        </w:rPr>
      </w:pPr>
      <w:r>
        <w:rPr>
          <w:rFonts w:ascii="微软雅黑" w:eastAsia="微软雅黑" w:hAnsi="微软雅黑" w:cs="Calibri" w:hint="eastAsia"/>
        </w:rPr>
        <w:t xml:space="preserve">　　一、</w:t>
      </w:r>
      <w:r>
        <w:rPr>
          <w:rFonts w:ascii="微软雅黑" w:eastAsia="微软雅黑" w:hAnsi="微软雅黑" w:cs="Calibri" w:hint="eastAsia"/>
        </w:rPr>
        <w:t>A</w:t>
      </w:r>
      <w:r>
        <w:rPr>
          <w:rFonts w:ascii="微软雅黑" w:eastAsia="微软雅黑" w:hAnsi="微软雅黑" w:cs="Calibri" w:hint="eastAsia"/>
        </w:rPr>
        <w:t>股</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A</w:t>
      </w:r>
      <w:r>
        <w:rPr>
          <w:rFonts w:ascii="微软雅黑" w:eastAsia="微软雅黑" w:hAnsi="微软雅黑" w:cs="Calibri" w:hint="eastAsia"/>
        </w:rPr>
        <w:t>股的正式名称是人民币普通股票。它是由我国境内的公司发行，供境内机构、组织、或个人（不含台、港、澳投资者）以人民币认购和交易的普通股票。</w:t>
      </w:r>
      <w:r>
        <w:rPr>
          <w:rFonts w:ascii="微软雅黑" w:eastAsia="微软雅黑" w:hAnsi="微软雅黑" w:cs="Calibri" w:hint="eastAsia"/>
        </w:rPr>
        <w:t>A</w:t>
      </w:r>
      <w:r>
        <w:rPr>
          <w:rFonts w:ascii="微软雅黑" w:eastAsia="微软雅黑" w:hAnsi="微软雅黑" w:cs="Calibri" w:hint="eastAsia"/>
        </w:rPr>
        <w:t>股不是实物股票，以无纸化电子记账，实行“</w:t>
      </w:r>
      <w:r>
        <w:rPr>
          <w:rFonts w:ascii="微软雅黑" w:eastAsia="微软雅黑" w:hAnsi="微软雅黑" w:cs="Calibri" w:hint="eastAsia"/>
        </w:rPr>
        <w:t>T+1</w:t>
      </w:r>
      <w:r>
        <w:rPr>
          <w:rFonts w:ascii="微软雅黑" w:eastAsia="微软雅黑" w:hAnsi="微软雅黑" w:cs="Calibri" w:hint="eastAsia"/>
        </w:rPr>
        <w:t>”交割制度，有涨跌幅（</w:t>
      </w:r>
      <w:r>
        <w:rPr>
          <w:rFonts w:ascii="微软雅黑" w:eastAsia="微软雅黑" w:hAnsi="微软雅黑" w:cs="Calibri" w:hint="eastAsia"/>
        </w:rPr>
        <w:t>10%</w:t>
      </w:r>
      <w:r>
        <w:rPr>
          <w:rFonts w:ascii="微软雅黑" w:eastAsia="微软雅黑" w:hAnsi="微软雅黑" w:cs="Calibri" w:hint="eastAsia"/>
        </w:rPr>
        <w:t>）限制，参与投资者为中国大陆机构或个人。中国上市公司的股票有</w:t>
      </w:r>
      <w:r>
        <w:rPr>
          <w:rFonts w:ascii="微软雅黑" w:eastAsia="微软雅黑" w:hAnsi="微软雅黑" w:cs="Calibri" w:hint="eastAsia"/>
        </w:rPr>
        <w:t>A</w:t>
      </w:r>
      <w:r>
        <w:rPr>
          <w:rFonts w:ascii="微软雅黑" w:eastAsia="微软雅黑" w:hAnsi="微软雅黑" w:cs="Calibri" w:hint="eastAsia"/>
        </w:rPr>
        <w:t>股、</w:t>
      </w:r>
      <w:r>
        <w:rPr>
          <w:rFonts w:ascii="微软雅黑" w:eastAsia="微软雅黑" w:hAnsi="微软雅黑" w:cs="Calibri" w:hint="eastAsia"/>
        </w:rPr>
        <w:t>B</w:t>
      </w:r>
      <w:r>
        <w:rPr>
          <w:rFonts w:ascii="微软雅黑" w:eastAsia="微软雅黑" w:hAnsi="微软雅黑" w:cs="Calibri" w:hint="eastAsia"/>
        </w:rPr>
        <w:t>股、</w:t>
      </w:r>
      <w:r>
        <w:rPr>
          <w:rFonts w:ascii="微软雅黑" w:eastAsia="微软雅黑" w:hAnsi="微软雅黑" w:cs="Calibri" w:hint="eastAsia"/>
        </w:rPr>
        <w:t>H</w:t>
      </w:r>
      <w:r>
        <w:rPr>
          <w:rFonts w:ascii="微软雅黑" w:eastAsia="微软雅黑" w:hAnsi="微软雅黑" w:cs="Calibri" w:hint="eastAsia"/>
        </w:rPr>
        <w:t>股、</w:t>
      </w:r>
      <w:r>
        <w:rPr>
          <w:rFonts w:ascii="微软雅黑" w:eastAsia="微软雅黑" w:hAnsi="微软雅黑" w:cs="Calibri" w:hint="eastAsia"/>
        </w:rPr>
        <w:t>N</w:t>
      </w:r>
      <w:r>
        <w:rPr>
          <w:rFonts w:ascii="微软雅黑" w:eastAsia="微软雅黑" w:hAnsi="微软雅黑" w:cs="Calibri" w:hint="eastAsia"/>
        </w:rPr>
        <w:t>股和</w:t>
      </w:r>
      <w:r>
        <w:rPr>
          <w:rFonts w:ascii="微软雅黑" w:eastAsia="微软雅黑" w:hAnsi="微软雅黑" w:cs="Calibri" w:hint="eastAsia"/>
        </w:rPr>
        <w:t>S</w:t>
      </w:r>
      <w:r>
        <w:rPr>
          <w:rFonts w:ascii="微软雅黑" w:eastAsia="微软雅黑" w:hAnsi="微软雅黑" w:cs="Calibri" w:hint="eastAsia"/>
        </w:rPr>
        <w:t>股等的区分。这一区分主要依据股票的上市地点和所面对的投资者而定。</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【开户】个人开户：开户时股东本人带上第二代有效身份证原件即可。</w:t>
      </w:r>
      <w:r>
        <w:rPr>
          <w:rFonts w:ascii="微软雅黑" w:eastAsia="微软雅黑" w:hAnsi="微软雅黑" w:cs="Calibri" w:hint="eastAsia"/>
        </w:rPr>
        <w:t xml:space="preserve"> </w:t>
      </w:r>
      <w:r>
        <w:rPr>
          <w:rFonts w:ascii="微软雅黑" w:eastAsia="微软雅黑" w:hAnsi="微软雅黑" w:cs="Calibri" w:hint="eastAsia"/>
        </w:rPr>
        <w:t>机构开户：开户时需要准备的材料有</w:t>
      </w:r>
      <w:r>
        <w:rPr>
          <w:rFonts w:ascii="微软雅黑" w:eastAsia="微软雅黑" w:hAnsi="微软雅黑" w:cs="Calibri" w:hint="eastAsia"/>
        </w:rPr>
        <w:t xml:space="preserve"> </w:t>
      </w:r>
      <w:r>
        <w:rPr>
          <w:rFonts w:ascii="微软雅黑" w:eastAsia="微软雅黑" w:hAnsi="微软雅黑" w:cs="Calibri" w:hint="eastAsia"/>
        </w:rPr>
        <w:t>①营业执照副本原件（必须经过上一年度年检</w:t>
      </w:r>
      <w:r>
        <w:rPr>
          <w:rFonts w:ascii="微软雅黑" w:eastAsia="微软雅黑" w:hAnsi="微软雅黑" w:cs="Calibri" w:hint="eastAsia"/>
        </w:rPr>
        <w:t>，如营业执照的任何内容有变更，须出示工商局出具的变更证明）②组织结构代码证原件</w:t>
      </w:r>
      <w:r>
        <w:rPr>
          <w:rFonts w:ascii="微软雅黑" w:eastAsia="微软雅黑" w:hAnsi="微软雅黑" w:cs="Calibri" w:hint="eastAsia"/>
        </w:rPr>
        <w:t xml:space="preserve"> </w:t>
      </w:r>
      <w:r>
        <w:rPr>
          <w:rFonts w:ascii="微软雅黑" w:eastAsia="微软雅黑" w:hAnsi="微软雅黑" w:cs="Calibri" w:hint="eastAsia"/>
        </w:rPr>
        <w:t>③法人身份证原件或复印件</w:t>
      </w:r>
      <w:r>
        <w:rPr>
          <w:rFonts w:ascii="微软雅黑" w:eastAsia="微软雅黑" w:hAnsi="微软雅黑" w:cs="Calibri" w:hint="eastAsia"/>
        </w:rPr>
        <w:t xml:space="preserve"> </w:t>
      </w:r>
      <w:r>
        <w:rPr>
          <w:rFonts w:ascii="微软雅黑" w:eastAsia="微软雅黑" w:hAnsi="微软雅黑" w:cs="Calibri" w:hint="eastAsia"/>
        </w:rPr>
        <w:t>④税务登记证原件</w:t>
      </w:r>
      <w:r>
        <w:rPr>
          <w:rFonts w:ascii="微软雅黑" w:eastAsia="微软雅黑" w:hAnsi="微软雅黑" w:cs="Calibri" w:hint="eastAsia"/>
        </w:rPr>
        <w:t xml:space="preserve"> </w:t>
      </w:r>
      <w:r>
        <w:rPr>
          <w:rFonts w:ascii="微软雅黑" w:eastAsia="微软雅黑" w:hAnsi="微软雅黑" w:cs="Calibri" w:hint="eastAsia"/>
        </w:rPr>
        <w:t>⑤被授权人身份证原件</w:t>
      </w:r>
      <w:r>
        <w:rPr>
          <w:rFonts w:ascii="微软雅黑" w:eastAsia="微软雅黑" w:hAnsi="微软雅黑" w:cs="Calibri" w:hint="eastAsia"/>
        </w:rPr>
        <w:t xml:space="preserve"> </w:t>
      </w:r>
      <w:r>
        <w:rPr>
          <w:rFonts w:ascii="微软雅黑" w:eastAsia="微软雅黑" w:hAnsi="微软雅黑" w:cs="Calibri" w:hint="eastAsia"/>
        </w:rPr>
        <w:t>⑥公章</w:t>
      </w:r>
      <w:r>
        <w:rPr>
          <w:rFonts w:ascii="微软雅黑" w:eastAsia="微软雅黑" w:hAnsi="微软雅黑" w:cs="Calibri" w:hint="eastAsia"/>
        </w:rPr>
        <w:t xml:space="preserve"> </w:t>
      </w:r>
      <w:r>
        <w:rPr>
          <w:rFonts w:ascii="微软雅黑" w:eastAsia="微软雅黑" w:hAnsi="微软雅黑" w:cs="Calibri" w:hint="eastAsia"/>
        </w:rPr>
        <w:t>⑦法人名章。</w:t>
      </w:r>
      <w:r>
        <w:rPr>
          <w:rFonts w:ascii="微软雅黑" w:eastAsia="微软雅黑" w:hAnsi="微软雅黑" w:cs="Calibri" w:hint="eastAsia"/>
        </w:rPr>
        <w:t xml:space="preserve">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三方存管】证监会规定，客户的交易结算资金不由证券公司存管，统一交由第三方存管机构存管。这里的第三方存管机构，目前是指具备第三方存管资格的商业银行。您在开户后，请携带股东卡、身份证、资金第三方独立存管的相关单据于交易时间到银行柜台办理确认手续。</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【交易规则】沪市的委托时间为每个交易日</w:t>
      </w:r>
      <w:r>
        <w:rPr>
          <w:rFonts w:ascii="微软雅黑" w:eastAsia="微软雅黑" w:hAnsi="微软雅黑" w:cs="Calibri" w:hint="eastAsia"/>
        </w:rPr>
        <w:t>9:15</w:t>
      </w:r>
      <w:r>
        <w:rPr>
          <w:rFonts w:ascii="微软雅黑" w:eastAsia="微软雅黑" w:hAnsi="微软雅黑" w:cs="Calibri" w:hint="eastAsia"/>
        </w:rPr>
        <w:t>至</w:t>
      </w:r>
      <w:r>
        <w:rPr>
          <w:rFonts w:ascii="微软雅黑" w:eastAsia="微软雅黑" w:hAnsi="微软雅黑" w:cs="Calibri" w:hint="eastAsia"/>
        </w:rPr>
        <w:t>9:25</w:t>
      </w:r>
      <w:r>
        <w:rPr>
          <w:rFonts w:ascii="微软雅黑" w:eastAsia="微软雅黑" w:hAnsi="微软雅黑" w:cs="Calibri" w:hint="eastAsia"/>
        </w:rPr>
        <w:t>、</w:t>
      </w:r>
      <w:r>
        <w:rPr>
          <w:rFonts w:ascii="微软雅黑" w:eastAsia="微软雅黑" w:hAnsi="微软雅黑" w:cs="Calibri" w:hint="eastAsia"/>
        </w:rPr>
        <w:t>9</w:t>
      </w:r>
      <w:r>
        <w:rPr>
          <w:rFonts w:ascii="微软雅黑" w:eastAsia="微软雅黑" w:hAnsi="微软雅黑" w:cs="Calibri" w:hint="eastAsia"/>
        </w:rPr>
        <w:t>：</w:t>
      </w:r>
      <w:r>
        <w:rPr>
          <w:rFonts w:ascii="微软雅黑" w:eastAsia="微软雅黑" w:hAnsi="微软雅黑" w:cs="Calibri" w:hint="eastAsia"/>
        </w:rPr>
        <w:t>30</w:t>
      </w:r>
      <w:r>
        <w:rPr>
          <w:rFonts w:ascii="微软雅黑" w:eastAsia="微软雅黑" w:hAnsi="微软雅黑" w:cs="Calibri" w:hint="eastAsia"/>
        </w:rPr>
        <w:t>至</w:t>
      </w:r>
      <w:r>
        <w:rPr>
          <w:rFonts w:ascii="微软雅黑" w:eastAsia="微软雅黑" w:hAnsi="微软雅黑" w:cs="Calibri" w:hint="eastAsia"/>
        </w:rPr>
        <w:t>11:30</w:t>
      </w:r>
      <w:r>
        <w:rPr>
          <w:rFonts w:ascii="微软雅黑" w:eastAsia="微软雅黑" w:hAnsi="微软雅黑" w:cs="Calibri" w:hint="eastAsia"/>
        </w:rPr>
        <w:t>、</w:t>
      </w:r>
      <w:r>
        <w:rPr>
          <w:rFonts w:ascii="微软雅黑" w:eastAsia="微软雅黑" w:hAnsi="微软雅黑" w:cs="Calibri" w:hint="eastAsia"/>
        </w:rPr>
        <w:t>13</w:t>
      </w:r>
      <w:r>
        <w:rPr>
          <w:rFonts w:ascii="微软雅黑" w:eastAsia="微软雅黑" w:hAnsi="微软雅黑" w:cs="Calibri" w:hint="eastAsia"/>
        </w:rPr>
        <w:t>:00</w:t>
      </w:r>
      <w:r>
        <w:rPr>
          <w:rFonts w:ascii="微软雅黑" w:eastAsia="微软雅黑" w:hAnsi="微软雅黑" w:cs="Calibri" w:hint="eastAsia"/>
        </w:rPr>
        <w:t>至</w:t>
      </w:r>
      <w:r>
        <w:rPr>
          <w:rFonts w:ascii="微软雅黑" w:eastAsia="微软雅黑" w:hAnsi="微软雅黑" w:cs="Calibri" w:hint="eastAsia"/>
        </w:rPr>
        <w:t>15:00</w:t>
      </w:r>
      <w:r>
        <w:rPr>
          <w:rFonts w:ascii="微软雅黑" w:eastAsia="微软雅黑" w:hAnsi="微软雅黑" w:cs="Calibri" w:hint="eastAsia"/>
        </w:rPr>
        <w:t>。为深市：每个交易日</w:t>
      </w:r>
      <w:r>
        <w:rPr>
          <w:rFonts w:ascii="微软雅黑" w:eastAsia="微软雅黑" w:hAnsi="微软雅黑" w:cs="Calibri" w:hint="eastAsia"/>
        </w:rPr>
        <w:t>9</w:t>
      </w:r>
      <w:r>
        <w:rPr>
          <w:rFonts w:ascii="微软雅黑" w:eastAsia="微软雅黑" w:hAnsi="微软雅黑" w:cs="Calibri" w:hint="eastAsia"/>
        </w:rPr>
        <w:t>：</w:t>
      </w:r>
      <w:r>
        <w:rPr>
          <w:rFonts w:ascii="微软雅黑" w:eastAsia="微软雅黑" w:hAnsi="微软雅黑" w:cs="Calibri" w:hint="eastAsia"/>
        </w:rPr>
        <w:t>15</w:t>
      </w:r>
      <w:r>
        <w:rPr>
          <w:rFonts w:ascii="微软雅黑" w:eastAsia="微软雅黑" w:hAnsi="微软雅黑" w:cs="Calibri" w:hint="eastAsia"/>
        </w:rPr>
        <w:t>至</w:t>
      </w:r>
      <w:r>
        <w:rPr>
          <w:rFonts w:ascii="微软雅黑" w:eastAsia="微软雅黑" w:hAnsi="微软雅黑" w:cs="Calibri" w:hint="eastAsia"/>
        </w:rPr>
        <w:t>11:30</w:t>
      </w:r>
      <w:r>
        <w:rPr>
          <w:rFonts w:ascii="微软雅黑" w:eastAsia="微软雅黑" w:hAnsi="微软雅黑" w:cs="Calibri" w:hint="eastAsia"/>
        </w:rPr>
        <w:t>、</w:t>
      </w:r>
      <w:r>
        <w:rPr>
          <w:rFonts w:ascii="微软雅黑" w:eastAsia="微软雅黑" w:hAnsi="微软雅黑" w:cs="Calibri" w:hint="eastAsia"/>
        </w:rPr>
        <w:t>13:00</w:t>
      </w:r>
      <w:r>
        <w:rPr>
          <w:rFonts w:ascii="微软雅黑" w:eastAsia="微软雅黑" w:hAnsi="微软雅黑" w:cs="Calibri" w:hint="eastAsia"/>
        </w:rPr>
        <w:t>至</w:t>
      </w:r>
      <w:r>
        <w:rPr>
          <w:rFonts w:ascii="微软雅黑" w:eastAsia="微软雅黑" w:hAnsi="微软雅黑" w:cs="Calibri" w:hint="eastAsia"/>
        </w:rPr>
        <w:t>15:00</w:t>
      </w:r>
      <w:r>
        <w:rPr>
          <w:rFonts w:ascii="微软雅黑" w:eastAsia="微软雅黑" w:hAnsi="微软雅黑" w:cs="Calibri" w:hint="eastAsia"/>
        </w:rPr>
        <w:t>。股票的买入数量应为</w:t>
      </w:r>
      <w:r>
        <w:rPr>
          <w:rFonts w:ascii="微软雅黑" w:eastAsia="微软雅黑" w:hAnsi="微软雅黑" w:cs="Calibri" w:hint="eastAsia"/>
        </w:rPr>
        <w:t>100</w:t>
      </w:r>
      <w:r>
        <w:rPr>
          <w:rFonts w:ascii="微软雅黑" w:eastAsia="微软雅黑" w:hAnsi="微软雅黑" w:cs="Calibri" w:hint="eastAsia"/>
        </w:rPr>
        <w:t>股（一手）或其整数倍，卖出股票时，余额不足</w:t>
      </w:r>
      <w:r>
        <w:rPr>
          <w:rFonts w:ascii="微软雅黑" w:eastAsia="微软雅黑" w:hAnsi="微软雅黑" w:cs="Calibri" w:hint="eastAsia"/>
        </w:rPr>
        <w:t>100</w:t>
      </w:r>
      <w:r>
        <w:rPr>
          <w:rFonts w:ascii="微软雅黑" w:eastAsia="微软雅黑" w:hAnsi="微软雅黑" w:cs="Calibri" w:hint="eastAsia"/>
        </w:rPr>
        <w:t>股的部分，应当一次性申报卖出。</w:t>
      </w:r>
      <w:r>
        <w:rPr>
          <w:rFonts w:ascii="微软雅黑" w:eastAsia="微软雅黑" w:hAnsi="微软雅黑" w:cs="Calibri" w:hint="eastAsia"/>
        </w:rPr>
        <w:t>A</w:t>
      </w:r>
      <w:r>
        <w:rPr>
          <w:rFonts w:ascii="微软雅黑" w:eastAsia="微软雅黑" w:hAnsi="微软雅黑" w:cs="Calibri" w:hint="eastAsia"/>
        </w:rPr>
        <w:t>股的申报价格最小变动单位为</w:t>
      </w:r>
      <w:r>
        <w:rPr>
          <w:rFonts w:ascii="微软雅黑" w:eastAsia="微软雅黑" w:hAnsi="微软雅黑" w:cs="Calibri" w:hint="eastAsia"/>
        </w:rPr>
        <w:t>0.01</w:t>
      </w:r>
      <w:r>
        <w:rPr>
          <w:rFonts w:ascii="微软雅黑" w:eastAsia="微软雅黑" w:hAnsi="微软雅黑" w:cs="Calibri" w:hint="eastAsia"/>
        </w:rPr>
        <w:t>元人民币。沪市股票交易实行价格涨跌幅限制，涨跌幅比例为</w:t>
      </w:r>
      <w:r>
        <w:rPr>
          <w:rFonts w:ascii="微软雅黑" w:eastAsia="微软雅黑" w:hAnsi="微软雅黑" w:cs="Calibri" w:hint="eastAsia"/>
        </w:rPr>
        <w:t>10%</w:t>
      </w:r>
      <w:r>
        <w:rPr>
          <w:rFonts w:ascii="微软雅黑" w:eastAsia="微软雅黑" w:hAnsi="微软雅黑" w:cs="Calibri" w:hint="eastAsia"/>
        </w:rPr>
        <w:t>，其中</w:t>
      </w:r>
      <w:r>
        <w:rPr>
          <w:rFonts w:ascii="微软雅黑" w:eastAsia="微软雅黑" w:hAnsi="微软雅黑" w:cs="Calibri" w:hint="eastAsia"/>
        </w:rPr>
        <w:t>ST</w:t>
      </w:r>
      <w:r>
        <w:rPr>
          <w:rFonts w:ascii="微软雅黑" w:eastAsia="微软雅黑" w:hAnsi="微软雅黑" w:cs="Calibri" w:hint="eastAsia"/>
        </w:rPr>
        <w:t>股票和</w:t>
      </w:r>
      <w:r>
        <w:rPr>
          <w:rFonts w:ascii="微软雅黑" w:eastAsia="微软雅黑" w:hAnsi="微软雅黑" w:cs="Calibri" w:hint="eastAsia"/>
        </w:rPr>
        <w:t>*ST</w:t>
      </w:r>
      <w:r>
        <w:rPr>
          <w:rFonts w:ascii="微软雅黑" w:eastAsia="微软雅黑" w:hAnsi="微软雅黑" w:cs="Calibri" w:hint="eastAsia"/>
        </w:rPr>
        <w:t>股票价格涨跌幅比例为</w:t>
      </w:r>
      <w:r>
        <w:rPr>
          <w:rFonts w:ascii="微软雅黑" w:eastAsia="微软雅黑" w:hAnsi="微软雅黑" w:cs="Calibri" w:hint="eastAsia"/>
        </w:rPr>
        <w:t>5%</w:t>
      </w:r>
      <w:r>
        <w:rPr>
          <w:rFonts w:ascii="微软雅黑" w:eastAsia="微软雅黑" w:hAnsi="微软雅黑" w:cs="Calibri" w:hint="eastAsia"/>
        </w:rPr>
        <w:t>。深市股票交易实行价格涨跌幅限制，涨跌幅比例为</w:t>
      </w:r>
      <w:r>
        <w:rPr>
          <w:rFonts w:ascii="微软雅黑" w:eastAsia="微软雅黑" w:hAnsi="微软雅黑" w:cs="Calibri" w:hint="eastAsia"/>
        </w:rPr>
        <w:t>10%</w:t>
      </w:r>
      <w:r>
        <w:rPr>
          <w:rFonts w:ascii="微软雅黑" w:eastAsia="微软雅黑" w:hAnsi="微软雅黑" w:cs="Calibri" w:hint="eastAsia"/>
        </w:rPr>
        <w:t>，其中</w:t>
      </w:r>
      <w:r>
        <w:rPr>
          <w:rFonts w:ascii="微软雅黑" w:eastAsia="微软雅黑" w:hAnsi="微软雅黑" w:cs="Calibri" w:hint="eastAsia"/>
        </w:rPr>
        <w:t>ST</w:t>
      </w:r>
      <w:r>
        <w:rPr>
          <w:rFonts w:ascii="微软雅黑" w:eastAsia="微软雅黑" w:hAnsi="微软雅黑" w:cs="Calibri" w:hint="eastAsia"/>
        </w:rPr>
        <w:t>股票和</w:t>
      </w:r>
      <w:r>
        <w:rPr>
          <w:rFonts w:ascii="微软雅黑" w:eastAsia="微软雅黑" w:hAnsi="微软雅黑" w:cs="Calibri" w:hint="eastAsia"/>
        </w:rPr>
        <w:t>*ST</w:t>
      </w:r>
      <w:r>
        <w:rPr>
          <w:rFonts w:ascii="微软雅黑" w:eastAsia="微软雅黑" w:hAnsi="微软雅黑" w:cs="Calibri" w:hint="eastAsia"/>
        </w:rPr>
        <w:t>股票价格涨跌幅比例为</w:t>
      </w:r>
      <w:r>
        <w:rPr>
          <w:rFonts w:ascii="微软雅黑" w:eastAsia="微软雅黑" w:hAnsi="微软雅黑" w:cs="Calibri" w:hint="eastAsia"/>
        </w:rPr>
        <w:t>5%</w:t>
      </w:r>
      <w:r>
        <w:rPr>
          <w:rFonts w:ascii="微软雅黑" w:eastAsia="微软雅黑" w:hAnsi="微软雅黑" w:cs="Calibri" w:hint="eastAsia"/>
        </w:rPr>
        <w:t>。有涨跌幅限制股票集合竞价期间有效竞价范围与涨跌幅限制范围一致。</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二、</w:t>
      </w:r>
      <w:r>
        <w:rPr>
          <w:rFonts w:ascii="微软雅黑" w:eastAsia="微软雅黑" w:hAnsi="微软雅黑" w:cs="Calibri" w:hint="eastAsia"/>
        </w:rPr>
        <w:t>B</w:t>
      </w:r>
      <w:r>
        <w:rPr>
          <w:rFonts w:ascii="微软雅黑" w:eastAsia="微软雅黑" w:hAnsi="微软雅黑" w:cs="Calibri" w:hint="eastAsia"/>
        </w:rPr>
        <w:t>股</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lastRenderedPageBreak/>
        <w:t xml:space="preserve">　</w:t>
      </w:r>
      <w:r>
        <w:rPr>
          <w:rFonts w:ascii="微软雅黑" w:eastAsia="微软雅黑" w:hAnsi="微软雅黑" w:cs="Calibri" w:hint="eastAsia"/>
        </w:rPr>
        <w:t xml:space="preserve">　</w:t>
      </w:r>
      <w:r>
        <w:rPr>
          <w:rFonts w:ascii="微软雅黑" w:eastAsia="微软雅黑" w:hAnsi="微软雅黑" w:cs="Calibri" w:hint="eastAsia"/>
        </w:rPr>
        <w:t>B</w:t>
      </w:r>
      <w:r>
        <w:rPr>
          <w:rFonts w:ascii="微软雅黑" w:eastAsia="微软雅黑" w:hAnsi="微软雅黑" w:cs="Calibri" w:hint="eastAsia"/>
        </w:rPr>
        <w:t>股的正式名称是人民币特种股票。它是以人民币标明面值，以外币认购和买卖，在境内</w:t>
      </w:r>
      <w:r>
        <w:rPr>
          <w:rFonts w:ascii="微软雅黑" w:eastAsia="微软雅黑" w:hAnsi="微软雅黑" w:cs="Calibri" w:hint="eastAsia"/>
        </w:rPr>
        <w:t>(</w:t>
      </w:r>
      <w:r>
        <w:rPr>
          <w:rFonts w:ascii="微软雅黑" w:eastAsia="微软雅黑" w:hAnsi="微软雅黑" w:cs="Calibri" w:hint="eastAsia"/>
        </w:rPr>
        <w:t>上海、深圳</w:t>
      </w:r>
      <w:r>
        <w:rPr>
          <w:rFonts w:ascii="微软雅黑" w:eastAsia="微软雅黑" w:hAnsi="微软雅黑" w:cs="Calibri" w:hint="eastAsia"/>
        </w:rPr>
        <w:t>)</w:t>
      </w:r>
      <w:r>
        <w:rPr>
          <w:rFonts w:ascii="微软雅黑" w:eastAsia="微软雅黑" w:hAnsi="微软雅黑" w:cs="Calibri" w:hint="eastAsia"/>
        </w:rPr>
        <w:t>证券交易所上市交易的外资股。</w:t>
      </w:r>
      <w:r>
        <w:rPr>
          <w:rFonts w:ascii="微软雅黑" w:eastAsia="微软雅黑" w:hAnsi="微软雅黑" w:cs="Calibri" w:hint="eastAsia"/>
        </w:rPr>
        <w:t>B</w:t>
      </w:r>
      <w:r>
        <w:rPr>
          <w:rFonts w:ascii="微软雅黑" w:eastAsia="微软雅黑" w:hAnsi="微软雅黑" w:cs="Calibri" w:hint="eastAsia"/>
        </w:rPr>
        <w:t>股公司的注册地和上市地都在境内</w:t>
      </w:r>
      <w:r>
        <w:rPr>
          <w:rFonts w:ascii="微软雅黑" w:eastAsia="微软雅黑" w:hAnsi="微软雅黑" w:cs="Calibri" w:hint="eastAsia"/>
        </w:rPr>
        <w:t>(</w:t>
      </w:r>
      <w:r>
        <w:rPr>
          <w:rFonts w:ascii="微软雅黑" w:eastAsia="微软雅黑" w:hAnsi="微软雅黑" w:cs="Calibri" w:hint="eastAsia"/>
        </w:rPr>
        <w:t>深、沪证券交易所</w:t>
      </w:r>
      <w:r>
        <w:rPr>
          <w:rFonts w:ascii="微软雅黑" w:eastAsia="微软雅黑" w:hAnsi="微软雅黑" w:cs="Calibri" w:hint="eastAsia"/>
        </w:rPr>
        <w:t>)</w:t>
      </w:r>
      <w:r>
        <w:rPr>
          <w:rFonts w:ascii="微软雅黑" w:eastAsia="微软雅黑" w:hAnsi="微软雅黑" w:cs="Calibri" w:hint="eastAsia"/>
        </w:rPr>
        <w:t>，只不过投资者在境外或在中国香港、澳门及台湾。</w:t>
      </w:r>
      <w:r>
        <w:rPr>
          <w:rFonts w:ascii="微软雅黑" w:eastAsia="微软雅黑" w:hAnsi="微软雅黑" w:cs="Calibri" w:hint="eastAsia"/>
        </w:rPr>
        <w:t>2001</w:t>
      </w:r>
      <w:r>
        <w:rPr>
          <w:rFonts w:ascii="微软雅黑" w:eastAsia="微软雅黑" w:hAnsi="微软雅黑" w:cs="Calibri" w:hint="eastAsia"/>
        </w:rPr>
        <w:t>年我国开放境内个人居民可以投资</w:t>
      </w:r>
      <w:r>
        <w:rPr>
          <w:rFonts w:ascii="微软雅黑" w:eastAsia="微软雅黑" w:hAnsi="微软雅黑" w:cs="Calibri" w:hint="eastAsia"/>
        </w:rPr>
        <w:t>B</w:t>
      </w:r>
      <w:r>
        <w:rPr>
          <w:rFonts w:ascii="微软雅黑" w:eastAsia="微软雅黑" w:hAnsi="微软雅黑" w:cs="Calibri" w:hint="eastAsia"/>
        </w:rPr>
        <w:t>股。</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【开户】境内投资者本人须凭有效身份证明文件到其原外汇存款银行将其现汇存款和外币现钞存款划入券商在同城的</w:t>
      </w:r>
      <w:r>
        <w:rPr>
          <w:rFonts w:ascii="微软雅黑" w:eastAsia="微软雅黑" w:hAnsi="微软雅黑" w:cs="Calibri" w:hint="eastAsia"/>
        </w:rPr>
        <w:t xml:space="preserve">B </w:t>
      </w:r>
      <w:r>
        <w:rPr>
          <w:rFonts w:ascii="微软雅黑" w:eastAsia="微软雅黑" w:hAnsi="微软雅黑" w:cs="Calibri" w:hint="eastAsia"/>
        </w:rPr>
        <w:t>股保证金账户。境内商业银行向境内个人投资者出具进账凭证单，并向证券经营机构出具对账单。然后，投资者凭本人有效身份证明和本人进账凭证单到</w:t>
      </w:r>
      <w:r>
        <w:rPr>
          <w:rFonts w:ascii="微软雅黑" w:eastAsia="微软雅黑" w:hAnsi="微软雅黑" w:cs="Calibri" w:hint="eastAsia"/>
        </w:rPr>
        <w:t>证券经营机构开立</w:t>
      </w:r>
      <w:r>
        <w:rPr>
          <w:rFonts w:ascii="微软雅黑" w:eastAsia="微软雅黑" w:hAnsi="微软雅黑" w:cs="Calibri" w:hint="eastAsia"/>
        </w:rPr>
        <w:t xml:space="preserve">B </w:t>
      </w:r>
      <w:r>
        <w:rPr>
          <w:rFonts w:ascii="微软雅黑" w:eastAsia="微软雅黑" w:hAnsi="微软雅黑" w:cs="Calibri" w:hint="eastAsia"/>
        </w:rPr>
        <w:t>股资金账户和</w:t>
      </w:r>
      <w:r>
        <w:rPr>
          <w:rFonts w:ascii="微软雅黑" w:eastAsia="微软雅黑" w:hAnsi="微软雅黑" w:cs="Calibri" w:hint="eastAsia"/>
        </w:rPr>
        <w:t>B</w:t>
      </w:r>
      <w:r>
        <w:rPr>
          <w:rFonts w:ascii="微软雅黑" w:eastAsia="微软雅黑" w:hAnsi="微软雅黑" w:cs="Calibri" w:hint="eastAsia"/>
        </w:rPr>
        <w:t>股股票账户，境外</w:t>
      </w:r>
      <w:r>
        <w:rPr>
          <w:rFonts w:ascii="微软雅黑" w:eastAsia="微软雅黑" w:hAnsi="微软雅黑" w:cs="Calibri" w:hint="eastAsia"/>
        </w:rPr>
        <w:t>(</w:t>
      </w:r>
      <w:r>
        <w:rPr>
          <w:rFonts w:ascii="微软雅黑" w:eastAsia="微软雅黑" w:hAnsi="微软雅黑" w:cs="Calibri" w:hint="eastAsia"/>
        </w:rPr>
        <w:t>非居民</w:t>
      </w:r>
      <w:r>
        <w:rPr>
          <w:rFonts w:ascii="微软雅黑" w:eastAsia="微软雅黑" w:hAnsi="微软雅黑" w:cs="Calibri" w:hint="eastAsia"/>
        </w:rPr>
        <w:t>)</w:t>
      </w:r>
      <w:r>
        <w:rPr>
          <w:rFonts w:ascii="微软雅黑" w:eastAsia="微软雅黑" w:hAnsi="微软雅黑" w:cs="Calibri" w:hint="eastAsia"/>
        </w:rPr>
        <w:t>投资者则须将从境外汇入的外币现汇或境内商业银行的合法现汇存款，存入</w:t>
      </w:r>
      <w:r>
        <w:rPr>
          <w:rFonts w:ascii="微软雅黑" w:eastAsia="微软雅黑" w:hAnsi="微软雅黑" w:cs="Calibri" w:hint="eastAsia"/>
        </w:rPr>
        <w:t>B</w:t>
      </w:r>
      <w:r>
        <w:rPr>
          <w:rFonts w:ascii="微软雅黑" w:eastAsia="微软雅黑" w:hAnsi="微软雅黑" w:cs="Calibri" w:hint="eastAsia"/>
        </w:rPr>
        <w:t>股资金账户内，然后本人持有效身份证明文件到营业部柜台办理。</w:t>
      </w:r>
      <w:r>
        <w:rPr>
          <w:rFonts w:ascii="微软雅黑" w:eastAsia="微软雅黑" w:hAnsi="微软雅黑" w:cs="Calibri" w:hint="eastAsia"/>
        </w:rPr>
        <w:t xml:space="preserve">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【资金存取】</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1</w:t>
      </w:r>
      <w:r>
        <w:rPr>
          <w:rFonts w:ascii="微软雅黑" w:eastAsia="微软雅黑" w:hAnsi="微软雅黑" w:cs="Calibri" w:hint="eastAsia"/>
        </w:rPr>
        <w:t>）入资：境内投资者追加</w:t>
      </w:r>
      <w:r>
        <w:rPr>
          <w:rFonts w:ascii="微软雅黑" w:eastAsia="微软雅黑" w:hAnsi="微软雅黑" w:cs="Calibri" w:hint="eastAsia"/>
        </w:rPr>
        <w:t>B</w:t>
      </w:r>
      <w:r>
        <w:rPr>
          <w:rFonts w:ascii="微软雅黑" w:eastAsia="微软雅黑" w:hAnsi="微软雅黑" w:cs="Calibri" w:hint="eastAsia"/>
        </w:rPr>
        <w:t>股资金目前主要是通过银行转账进行，客户到银行柜台办理转账后，携带进账单到营业部柜台办理进账手续。境外投资者追加资金必须从境外或者中国境内汇至上海总部账户，在总部通知营业部款项到账后，营业部为客户办理进账手续。</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2</w:t>
      </w:r>
      <w:r>
        <w:rPr>
          <w:rFonts w:ascii="微软雅黑" w:eastAsia="微软雅黑" w:hAnsi="微软雅黑" w:cs="Calibri" w:hint="eastAsia"/>
        </w:rPr>
        <w:t>）退资：投资者本人持股东卡、身份证、银行存折到营</w:t>
      </w:r>
      <w:r>
        <w:rPr>
          <w:rFonts w:ascii="微软雅黑" w:eastAsia="微软雅黑" w:hAnsi="微软雅黑" w:cs="Calibri" w:hint="eastAsia"/>
        </w:rPr>
        <w:t>业部柜台办理，投资者退资款项在</w:t>
      </w:r>
      <w:r>
        <w:rPr>
          <w:rFonts w:ascii="微软雅黑" w:eastAsia="微软雅黑" w:hAnsi="微软雅黑" w:cs="Calibri" w:hint="eastAsia"/>
        </w:rPr>
        <w:t>T+2</w:t>
      </w:r>
      <w:r>
        <w:rPr>
          <w:rFonts w:ascii="微软雅黑" w:eastAsia="微软雅黑" w:hAnsi="微软雅黑" w:cs="Calibri" w:hint="eastAsia"/>
        </w:rPr>
        <w:t>个交易日到达投资者提供的银行账户。</w:t>
      </w:r>
      <w:r>
        <w:rPr>
          <w:rFonts w:ascii="微软雅黑" w:eastAsia="微软雅黑" w:hAnsi="微软雅黑" w:cs="Calibri" w:hint="eastAsia"/>
        </w:rPr>
        <w:t xml:space="preserve">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【交易规则】</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1</w:t>
      </w:r>
      <w:r>
        <w:rPr>
          <w:rFonts w:ascii="微软雅黑" w:eastAsia="微软雅黑" w:hAnsi="微软雅黑" w:cs="Calibri" w:hint="eastAsia"/>
        </w:rPr>
        <w:t>）交易时间：</w:t>
      </w:r>
      <w:r>
        <w:rPr>
          <w:rFonts w:ascii="微软雅黑" w:eastAsia="微软雅黑" w:hAnsi="微软雅黑" w:cs="Calibri" w:hint="eastAsia"/>
        </w:rPr>
        <w:t>B</w:t>
      </w:r>
      <w:r>
        <w:rPr>
          <w:rFonts w:ascii="微软雅黑" w:eastAsia="微软雅黑" w:hAnsi="微软雅黑" w:cs="Calibri" w:hint="eastAsia"/>
        </w:rPr>
        <w:t>股交易采用集合竞价方式产生开盘价，每个交易日</w:t>
      </w:r>
      <w:r>
        <w:rPr>
          <w:rFonts w:ascii="微软雅黑" w:eastAsia="微软雅黑" w:hAnsi="微软雅黑" w:cs="Calibri" w:hint="eastAsia"/>
        </w:rPr>
        <w:t>9</w:t>
      </w:r>
      <w:r>
        <w:rPr>
          <w:rFonts w:ascii="微软雅黑" w:eastAsia="微软雅黑" w:hAnsi="微软雅黑" w:cs="Calibri" w:hint="eastAsia"/>
        </w:rPr>
        <w:t>：</w:t>
      </w:r>
      <w:r>
        <w:rPr>
          <w:rFonts w:ascii="微软雅黑" w:eastAsia="微软雅黑" w:hAnsi="微软雅黑" w:cs="Calibri" w:hint="eastAsia"/>
        </w:rPr>
        <w:t>15</w:t>
      </w:r>
      <w:r>
        <w:rPr>
          <w:rFonts w:ascii="微软雅黑" w:eastAsia="微软雅黑" w:hAnsi="微软雅黑" w:cs="Calibri" w:hint="eastAsia"/>
        </w:rPr>
        <w:t>－</w:t>
      </w:r>
      <w:r>
        <w:rPr>
          <w:rFonts w:ascii="微软雅黑" w:eastAsia="微软雅黑" w:hAnsi="微软雅黑" w:cs="Calibri" w:hint="eastAsia"/>
        </w:rPr>
        <w:t>9</w:t>
      </w:r>
      <w:r>
        <w:rPr>
          <w:rFonts w:ascii="微软雅黑" w:eastAsia="微软雅黑" w:hAnsi="微软雅黑" w:cs="Calibri" w:hint="eastAsia"/>
        </w:rPr>
        <w:t>：</w:t>
      </w:r>
      <w:r>
        <w:rPr>
          <w:rFonts w:ascii="微软雅黑" w:eastAsia="微软雅黑" w:hAnsi="微软雅黑" w:cs="Calibri" w:hint="eastAsia"/>
        </w:rPr>
        <w:t>25</w:t>
      </w:r>
      <w:r>
        <w:rPr>
          <w:rFonts w:ascii="微软雅黑" w:eastAsia="微软雅黑" w:hAnsi="微软雅黑" w:cs="Calibri" w:hint="eastAsia"/>
        </w:rPr>
        <w:t>为集合竞价交易时间；</w:t>
      </w:r>
      <w:r>
        <w:rPr>
          <w:rFonts w:ascii="微软雅黑" w:eastAsia="微软雅黑" w:hAnsi="微软雅黑" w:cs="Calibri" w:hint="eastAsia"/>
        </w:rPr>
        <w:t>9</w:t>
      </w:r>
      <w:r>
        <w:rPr>
          <w:rFonts w:ascii="微软雅黑" w:eastAsia="微软雅黑" w:hAnsi="微软雅黑" w:cs="Calibri" w:hint="eastAsia"/>
        </w:rPr>
        <w:t>：</w:t>
      </w:r>
      <w:r>
        <w:rPr>
          <w:rFonts w:ascii="微软雅黑" w:eastAsia="微软雅黑" w:hAnsi="微软雅黑" w:cs="Calibri" w:hint="eastAsia"/>
        </w:rPr>
        <w:t>30</w:t>
      </w:r>
      <w:r>
        <w:rPr>
          <w:rFonts w:ascii="微软雅黑" w:eastAsia="微软雅黑" w:hAnsi="微软雅黑" w:cs="Calibri" w:hint="eastAsia"/>
        </w:rPr>
        <w:t>－</w:t>
      </w:r>
      <w:r>
        <w:rPr>
          <w:rFonts w:ascii="微软雅黑" w:eastAsia="微软雅黑" w:hAnsi="微软雅黑" w:cs="Calibri" w:hint="eastAsia"/>
        </w:rPr>
        <w:t>11</w:t>
      </w:r>
      <w:r>
        <w:rPr>
          <w:rFonts w:ascii="微软雅黑" w:eastAsia="微软雅黑" w:hAnsi="微软雅黑" w:cs="Calibri" w:hint="eastAsia"/>
        </w:rPr>
        <w:t>：</w:t>
      </w:r>
      <w:r>
        <w:rPr>
          <w:rFonts w:ascii="微软雅黑" w:eastAsia="微软雅黑" w:hAnsi="微软雅黑" w:cs="Calibri" w:hint="eastAsia"/>
        </w:rPr>
        <w:t>30</w:t>
      </w:r>
      <w:r>
        <w:rPr>
          <w:rFonts w:ascii="微软雅黑" w:eastAsia="微软雅黑" w:hAnsi="微软雅黑" w:cs="Calibri" w:hint="eastAsia"/>
        </w:rPr>
        <w:t>，</w:t>
      </w:r>
      <w:r>
        <w:rPr>
          <w:rFonts w:ascii="微软雅黑" w:eastAsia="微软雅黑" w:hAnsi="微软雅黑" w:cs="Calibri" w:hint="eastAsia"/>
        </w:rPr>
        <w:t>13</w:t>
      </w:r>
      <w:r>
        <w:rPr>
          <w:rFonts w:ascii="微软雅黑" w:eastAsia="微软雅黑" w:hAnsi="微软雅黑" w:cs="Calibri" w:hint="eastAsia"/>
        </w:rPr>
        <w:t>：</w:t>
      </w:r>
      <w:r>
        <w:rPr>
          <w:rFonts w:ascii="微软雅黑" w:eastAsia="微软雅黑" w:hAnsi="微软雅黑" w:cs="Calibri" w:hint="eastAsia"/>
        </w:rPr>
        <w:t>00</w:t>
      </w:r>
      <w:r>
        <w:rPr>
          <w:rFonts w:ascii="微软雅黑" w:eastAsia="微软雅黑" w:hAnsi="微软雅黑" w:cs="Calibri" w:hint="eastAsia"/>
        </w:rPr>
        <w:t>－</w:t>
      </w:r>
      <w:r>
        <w:rPr>
          <w:rFonts w:ascii="微软雅黑" w:eastAsia="微软雅黑" w:hAnsi="微软雅黑" w:cs="Calibri" w:hint="eastAsia"/>
        </w:rPr>
        <w:t>15</w:t>
      </w:r>
      <w:r>
        <w:rPr>
          <w:rFonts w:ascii="微软雅黑" w:eastAsia="微软雅黑" w:hAnsi="微软雅黑" w:cs="Calibri" w:hint="eastAsia"/>
        </w:rPr>
        <w:t>：</w:t>
      </w:r>
      <w:r>
        <w:rPr>
          <w:rFonts w:ascii="微软雅黑" w:eastAsia="微软雅黑" w:hAnsi="微软雅黑" w:cs="Calibri" w:hint="eastAsia"/>
        </w:rPr>
        <w:t>00</w:t>
      </w:r>
      <w:r>
        <w:rPr>
          <w:rFonts w:ascii="微软雅黑" w:eastAsia="微软雅黑" w:hAnsi="微软雅黑" w:cs="Calibri" w:hint="eastAsia"/>
        </w:rPr>
        <w:t>为连续竞价交易时间。逢周六、周日及国内公众假期休市。值得注意的是，深圳</w:t>
      </w:r>
      <w:r>
        <w:rPr>
          <w:rFonts w:ascii="微软雅黑" w:eastAsia="微软雅黑" w:hAnsi="微软雅黑" w:cs="Calibri" w:hint="eastAsia"/>
        </w:rPr>
        <w:t>B</w:t>
      </w:r>
      <w:r>
        <w:rPr>
          <w:rFonts w:ascii="微软雅黑" w:eastAsia="微软雅黑" w:hAnsi="微软雅黑" w:cs="Calibri" w:hint="eastAsia"/>
        </w:rPr>
        <w:t>股在香港公众假期也休市，而上海</w:t>
      </w:r>
      <w:r>
        <w:rPr>
          <w:rFonts w:ascii="微软雅黑" w:eastAsia="微软雅黑" w:hAnsi="微软雅黑" w:cs="Calibri" w:hint="eastAsia"/>
        </w:rPr>
        <w:t>B</w:t>
      </w:r>
      <w:r>
        <w:rPr>
          <w:rFonts w:ascii="微软雅黑" w:eastAsia="微软雅黑" w:hAnsi="微软雅黑" w:cs="Calibri" w:hint="eastAsia"/>
        </w:rPr>
        <w:t>股则在香港公众假期时仍正常交易。</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2</w:t>
      </w:r>
      <w:r>
        <w:rPr>
          <w:rFonts w:ascii="微软雅黑" w:eastAsia="微软雅黑" w:hAnsi="微软雅黑" w:cs="Calibri" w:hint="eastAsia"/>
        </w:rPr>
        <w:t>）报价单位：上海</w:t>
      </w:r>
      <w:r>
        <w:rPr>
          <w:rFonts w:ascii="微软雅黑" w:eastAsia="微软雅黑" w:hAnsi="微软雅黑" w:cs="Calibri" w:hint="eastAsia"/>
        </w:rPr>
        <w:t>B</w:t>
      </w:r>
      <w:r>
        <w:rPr>
          <w:rFonts w:ascii="微软雅黑" w:eastAsia="微软雅黑" w:hAnsi="微软雅黑" w:cs="Calibri" w:hint="eastAsia"/>
        </w:rPr>
        <w:t>股为</w:t>
      </w:r>
      <w:r>
        <w:rPr>
          <w:rFonts w:ascii="微软雅黑" w:eastAsia="微软雅黑" w:hAnsi="微软雅黑" w:cs="Calibri" w:hint="eastAsia"/>
        </w:rPr>
        <w:t>0.001</w:t>
      </w:r>
      <w:r>
        <w:rPr>
          <w:rFonts w:ascii="微软雅黑" w:eastAsia="微软雅黑" w:hAnsi="微软雅黑" w:cs="Calibri" w:hint="eastAsia"/>
        </w:rPr>
        <w:t>美元；深圳</w:t>
      </w:r>
      <w:r>
        <w:rPr>
          <w:rFonts w:ascii="微软雅黑" w:eastAsia="微软雅黑" w:hAnsi="微软雅黑" w:cs="Calibri" w:hint="eastAsia"/>
        </w:rPr>
        <w:t>B</w:t>
      </w:r>
      <w:r>
        <w:rPr>
          <w:rFonts w:ascii="微软雅黑" w:eastAsia="微软雅黑" w:hAnsi="微软雅黑" w:cs="Calibri" w:hint="eastAsia"/>
        </w:rPr>
        <w:t>股的最小价格变动单位为</w:t>
      </w:r>
      <w:r>
        <w:rPr>
          <w:rFonts w:ascii="微软雅黑" w:eastAsia="微软雅黑" w:hAnsi="微软雅黑" w:cs="Calibri" w:hint="eastAsia"/>
        </w:rPr>
        <w:t>0.01</w:t>
      </w:r>
      <w:r>
        <w:rPr>
          <w:rFonts w:ascii="微软雅黑" w:eastAsia="微软雅黑" w:hAnsi="微软雅黑" w:cs="Calibri" w:hint="eastAsia"/>
        </w:rPr>
        <w:t>港元。</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3</w:t>
      </w:r>
      <w:r>
        <w:rPr>
          <w:rFonts w:ascii="微软雅黑" w:eastAsia="微软雅黑" w:hAnsi="微软雅黑" w:cs="Calibri" w:hint="eastAsia"/>
        </w:rPr>
        <w:t>）交易原则：价格优先，时间优</w:t>
      </w:r>
      <w:r>
        <w:rPr>
          <w:rFonts w:ascii="微软雅黑" w:eastAsia="微软雅黑" w:hAnsi="微软雅黑" w:cs="Calibri" w:hint="eastAsia"/>
        </w:rPr>
        <w:t>先。</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4</w:t>
      </w:r>
      <w:r>
        <w:rPr>
          <w:rFonts w:ascii="微软雅黑" w:eastAsia="微软雅黑" w:hAnsi="微软雅黑" w:cs="Calibri" w:hint="eastAsia"/>
        </w:rPr>
        <w:t>）交易单位：购买</w:t>
      </w:r>
      <w:r>
        <w:rPr>
          <w:rFonts w:ascii="微软雅黑" w:eastAsia="微软雅黑" w:hAnsi="微软雅黑" w:cs="Calibri" w:hint="eastAsia"/>
        </w:rPr>
        <w:t>B</w:t>
      </w:r>
      <w:r>
        <w:rPr>
          <w:rFonts w:ascii="微软雅黑" w:eastAsia="微软雅黑" w:hAnsi="微软雅黑" w:cs="Calibri" w:hint="eastAsia"/>
        </w:rPr>
        <w:t>股时以一手即</w:t>
      </w:r>
      <w:r>
        <w:rPr>
          <w:rFonts w:ascii="微软雅黑" w:eastAsia="微软雅黑" w:hAnsi="微软雅黑" w:cs="Calibri" w:hint="eastAsia"/>
        </w:rPr>
        <w:t>100</w:t>
      </w:r>
      <w:r>
        <w:rPr>
          <w:rFonts w:ascii="微软雅黑" w:eastAsia="微软雅黑" w:hAnsi="微软雅黑" w:cs="Calibri" w:hint="eastAsia"/>
        </w:rPr>
        <w:t>股或其整数倍为单位</w:t>
      </w:r>
      <w:r>
        <w:rPr>
          <w:rFonts w:ascii="微软雅黑" w:eastAsia="微软雅黑" w:hAnsi="微软雅黑" w:cs="Calibri" w:hint="eastAsia"/>
        </w:rPr>
        <w:t>(</w:t>
      </w:r>
      <w:r>
        <w:rPr>
          <w:rFonts w:ascii="微软雅黑" w:eastAsia="微软雅黑" w:hAnsi="微软雅黑" w:cs="Calibri" w:hint="eastAsia"/>
        </w:rPr>
        <w:t>卖出则无此下限</w:t>
      </w:r>
      <w:r>
        <w:rPr>
          <w:rFonts w:ascii="微软雅黑" w:eastAsia="微软雅黑" w:hAnsi="微软雅黑" w:cs="Calibri" w:hint="eastAsia"/>
        </w:rPr>
        <w:t xml:space="preserve">) </w:t>
      </w:r>
      <w:r>
        <w:rPr>
          <w:rFonts w:ascii="微软雅黑" w:eastAsia="微软雅黑" w:hAnsi="微软雅黑" w:cs="Calibri" w:hint="eastAsia"/>
        </w:rPr>
        <w:t>。</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lastRenderedPageBreak/>
        <w:t xml:space="preserve">　　（</w:t>
      </w:r>
      <w:r>
        <w:rPr>
          <w:rFonts w:ascii="微软雅黑" w:eastAsia="微软雅黑" w:hAnsi="微软雅黑" w:cs="Calibri" w:hint="eastAsia"/>
        </w:rPr>
        <w:t>5</w:t>
      </w:r>
      <w:r>
        <w:rPr>
          <w:rFonts w:ascii="微软雅黑" w:eastAsia="微软雅黑" w:hAnsi="微软雅黑" w:cs="Calibri" w:hint="eastAsia"/>
        </w:rPr>
        <w:t>）交易方式：深圳</w:t>
      </w:r>
      <w:r>
        <w:rPr>
          <w:rFonts w:ascii="微软雅黑" w:eastAsia="微软雅黑" w:hAnsi="微软雅黑" w:cs="Calibri" w:hint="eastAsia"/>
        </w:rPr>
        <w:t>B</w:t>
      </w:r>
      <w:r>
        <w:rPr>
          <w:rFonts w:ascii="微软雅黑" w:eastAsia="微软雅黑" w:hAnsi="微软雅黑" w:cs="Calibri" w:hint="eastAsia"/>
        </w:rPr>
        <w:t>股交易方式分为集中交易和对敲交易。</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6</w:t>
      </w:r>
      <w:r>
        <w:rPr>
          <w:rFonts w:ascii="微软雅黑" w:eastAsia="微软雅黑" w:hAnsi="微软雅黑" w:cs="Calibri" w:hint="eastAsia"/>
        </w:rPr>
        <w:t>）上市首日申报限制：深交所</w:t>
      </w:r>
      <w:r>
        <w:rPr>
          <w:rFonts w:ascii="微软雅黑" w:eastAsia="微软雅黑" w:hAnsi="微软雅黑" w:cs="Calibri" w:hint="eastAsia"/>
        </w:rPr>
        <w:t>B</w:t>
      </w:r>
      <w:r>
        <w:rPr>
          <w:rFonts w:ascii="微软雅黑" w:eastAsia="微软雅黑" w:hAnsi="微软雅黑" w:cs="Calibri" w:hint="eastAsia"/>
        </w:rPr>
        <w:t>股上市首日无涨跌幅限制，但</w:t>
      </w:r>
      <w:r>
        <w:rPr>
          <w:rFonts w:ascii="微软雅黑" w:eastAsia="微软雅黑" w:hAnsi="微软雅黑" w:cs="Calibri" w:hint="eastAsia"/>
        </w:rPr>
        <w:t>B</w:t>
      </w:r>
      <w:r>
        <w:rPr>
          <w:rFonts w:ascii="微软雅黑" w:eastAsia="微软雅黑" w:hAnsi="微软雅黑" w:cs="Calibri" w:hint="eastAsia"/>
        </w:rPr>
        <w:t>股上市首日集合竞价范围为发行价的上下</w:t>
      </w:r>
      <w:r>
        <w:rPr>
          <w:rFonts w:ascii="微软雅黑" w:eastAsia="微软雅黑" w:hAnsi="微软雅黑" w:cs="Calibri" w:hint="eastAsia"/>
        </w:rPr>
        <w:t>150</w:t>
      </w:r>
      <w:r>
        <w:rPr>
          <w:rFonts w:ascii="微软雅黑" w:eastAsia="微软雅黑" w:hAnsi="微软雅黑" w:cs="Calibri" w:hint="eastAsia"/>
        </w:rPr>
        <w:t>元，连续竞价的有效范围为最近成交价的上下</w:t>
      </w:r>
      <w:r>
        <w:rPr>
          <w:rFonts w:ascii="微软雅黑" w:eastAsia="微软雅黑" w:hAnsi="微软雅黑" w:cs="Calibri" w:hint="eastAsia"/>
        </w:rPr>
        <w:t>15</w:t>
      </w:r>
      <w:r>
        <w:rPr>
          <w:rFonts w:ascii="微软雅黑" w:eastAsia="微软雅黑" w:hAnsi="微软雅黑" w:cs="Calibri" w:hint="eastAsia"/>
        </w:rPr>
        <w:t>元。上交所无此限制。</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7</w:t>
      </w:r>
      <w:r>
        <w:rPr>
          <w:rFonts w:ascii="微软雅黑" w:eastAsia="微软雅黑" w:hAnsi="微软雅黑" w:cs="Calibri" w:hint="eastAsia"/>
        </w:rPr>
        <w:t>）交易与交收交易：</w:t>
      </w:r>
      <w:r>
        <w:rPr>
          <w:rFonts w:ascii="微软雅黑" w:eastAsia="微软雅黑" w:hAnsi="微软雅黑" w:cs="Calibri" w:hint="eastAsia"/>
        </w:rPr>
        <w:t>B</w:t>
      </w:r>
      <w:r>
        <w:rPr>
          <w:rFonts w:ascii="微软雅黑" w:eastAsia="微软雅黑" w:hAnsi="微软雅黑" w:cs="Calibri" w:hint="eastAsia"/>
        </w:rPr>
        <w:t>股实行</w:t>
      </w:r>
      <w:r>
        <w:rPr>
          <w:rFonts w:ascii="微软雅黑" w:eastAsia="微软雅黑" w:hAnsi="微软雅黑" w:cs="Calibri" w:hint="eastAsia"/>
        </w:rPr>
        <w:t>T+1</w:t>
      </w:r>
      <w:r>
        <w:rPr>
          <w:rFonts w:ascii="微软雅黑" w:eastAsia="微软雅黑" w:hAnsi="微软雅黑" w:cs="Calibri" w:hint="eastAsia"/>
        </w:rPr>
        <w:t>交易制度，也就是当天买进的股票最早第二天卖出。交收：</w:t>
      </w:r>
      <w:r>
        <w:rPr>
          <w:rFonts w:ascii="微软雅黑" w:eastAsia="微软雅黑" w:hAnsi="微软雅黑" w:cs="Calibri" w:hint="eastAsia"/>
        </w:rPr>
        <w:t>B</w:t>
      </w:r>
      <w:r>
        <w:rPr>
          <w:rFonts w:ascii="微软雅黑" w:eastAsia="微软雅黑" w:hAnsi="微软雅黑" w:cs="Calibri" w:hint="eastAsia"/>
        </w:rPr>
        <w:t>股的清算交收与</w:t>
      </w:r>
      <w:r>
        <w:rPr>
          <w:rFonts w:ascii="微软雅黑" w:eastAsia="微软雅黑" w:hAnsi="微软雅黑" w:cs="Calibri" w:hint="eastAsia"/>
        </w:rPr>
        <w:t>A</w:t>
      </w:r>
      <w:r>
        <w:rPr>
          <w:rFonts w:ascii="微软雅黑" w:eastAsia="微软雅黑" w:hAnsi="微软雅黑" w:cs="Calibri" w:hint="eastAsia"/>
        </w:rPr>
        <w:t>股不同，</w:t>
      </w:r>
      <w:r>
        <w:rPr>
          <w:rFonts w:ascii="微软雅黑" w:eastAsia="微软雅黑" w:hAnsi="微软雅黑" w:cs="Calibri" w:hint="eastAsia"/>
        </w:rPr>
        <w:t>B</w:t>
      </w:r>
      <w:r>
        <w:rPr>
          <w:rFonts w:ascii="微软雅黑" w:eastAsia="微软雅黑" w:hAnsi="微软雅黑" w:cs="Calibri" w:hint="eastAsia"/>
        </w:rPr>
        <w:t>股的交收期为</w:t>
      </w:r>
      <w:r>
        <w:rPr>
          <w:rFonts w:ascii="微软雅黑" w:eastAsia="微软雅黑" w:hAnsi="微软雅黑" w:cs="Calibri" w:hint="eastAsia"/>
        </w:rPr>
        <w:t>T+3</w:t>
      </w:r>
      <w:r>
        <w:rPr>
          <w:rFonts w:ascii="微软雅黑" w:eastAsia="微软雅黑" w:hAnsi="微软雅黑" w:cs="Calibri" w:hint="eastAsia"/>
        </w:rPr>
        <w:t>，即在成交日后的第三日完成。在此之前，投</w:t>
      </w:r>
      <w:r>
        <w:rPr>
          <w:rFonts w:ascii="微软雅黑" w:eastAsia="微软雅黑" w:hAnsi="微软雅黑" w:cs="Calibri" w:hint="eastAsia"/>
        </w:rPr>
        <w:t>资者不能提取卖出股票所得的资金和进行买入股票的转托管。</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三、基金</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证券投资基金是指通过公开发售基金份额募集资金，由基金托管人托管，由基金管理人管理和运用资金，为基金份额持有人的利益，以资产组合方式进行证券投资的一种利益共享、风险共担的集合投资方式。</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【开户】一般在证券公司开户可以购买代销的股票型、债券型、混合型、货币市场基金。</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【基金分类】</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1</w:t>
      </w:r>
      <w:r>
        <w:rPr>
          <w:rFonts w:ascii="微软雅黑" w:eastAsia="微软雅黑" w:hAnsi="微软雅黑" w:cs="Calibri" w:hint="eastAsia"/>
        </w:rPr>
        <w:t>）按基金的组织形式不同，可分为契约型基金和公司型基金。目前我国的基金全部都是契约型基金。</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2</w:t>
      </w:r>
      <w:r>
        <w:rPr>
          <w:rFonts w:ascii="微软雅黑" w:eastAsia="微软雅黑" w:hAnsi="微软雅黑" w:cs="Calibri" w:hint="eastAsia"/>
        </w:rPr>
        <w:t>）按基金运作方式不同，可分为封闭式基金和开放式基金。按投资标的划分，可分为国债基金。股票基金、货币市场基金等。</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3</w:t>
      </w:r>
      <w:r>
        <w:rPr>
          <w:rFonts w:ascii="微软雅黑" w:eastAsia="微软雅黑" w:hAnsi="微软雅黑" w:cs="Calibri" w:hint="eastAsia"/>
        </w:rPr>
        <w:t>）按投资目标划分，可分为成长型基金、收入型基金和平衡型基金。</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4</w:t>
      </w:r>
      <w:r>
        <w:rPr>
          <w:rFonts w:ascii="微软雅黑" w:eastAsia="微软雅黑" w:hAnsi="微软雅黑" w:cs="Calibri" w:hint="eastAsia"/>
        </w:rPr>
        <w:t>）交易所交易的开放式基金：交易所交易的开放式基金是传统封闭式基金的交易便利性与开放式基金可赎回性相结合的一种新型基金。目前，我国沪、深证券交易所已经分别推出交易型开放式指数基金和上市开放式基金两类变种。</w:t>
      </w:r>
      <w:r>
        <w:rPr>
          <w:rFonts w:ascii="微软雅黑" w:eastAsia="微软雅黑" w:hAnsi="微软雅黑" w:cs="Calibri" w:hint="eastAsia"/>
        </w:rPr>
        <w:t xml:space="preserve">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四、权证</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权证是基础证券发行人或其以外的第三人（以下简称“发行人”）发行的，约定持有人在规定</w:t>
      </w:r>
      <w:r>
        <w:rPr>
          <w:rFonts w:ascii="微软雅黑" w:eastAsia="微软雅黑" w:hAnsi="微软雅黑" w:cs="Calibri" w:hint="eastAsia"/>
        </w:rPr>
        <w:t>期间内或特定到期日，有权按约定价格向发行人购买或出售标的证券，或以现金结算方式收取结算差价的有价证券。从产品属性看，权证是一种期权类金融衍生产品。权证与交易所交易期权的主要区别在于，交易所挂牌交易的期权是交易所制定的标准化合约，具有同一基础资产、不同行权价格和行权时间的多个期权形成期权系列进行交易；而权证则是权证发行人发行的合约，发行人作为权利的授予者承担全部责任。</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【入市流程】投资者预约后到已经获得权证业务资格的证券营业部柜台申请办理权证业务。个人客户需带本人有效身份证原件及复印件、股东账户卡；代办</w:t>
      </w:r>
      <w:r>
        <w:rPr>
          <w:rFonts w:ascii="微软雅黑" w:eastAsia="微软雅黑" w:hAnsi="微软雅黑" w:cs="Calibri" w:hint="eastAsia"/>
        </w:rPr>
        <w:t>需携带两人的有效身份证原件及复印件，以及经过公证的授权书。其次，营业部业务人员审核客户资料无误后，向首次买卖权证的投资者全面介绍相关业务规则，充分揭示可能产生的风险，并要求签署风险揭示书。第三，营业部业务人员为客户开通权证交易权限。权证交易权限开通后，您可以同买卖普通股票一样的进行权证交易，可通过各种委托方式进行。</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分类】权证分两种：一种是认购权证，指持有人有权利在某段期间内以预先约定的价格向发行人购买特定数量的标的证券，其实质是一个看涨期权；另一种是认沽权证，指持有人有权利在某段期间内以预先约定的</w:t>
      </w:r>
      <w:r>
        <w:rPr>
          <w:rFonts w:ascii="微软雅黑" w:eastAsia="微软雅黑" w:hAnsi="微软雅黑" w:cs="Calibri" w:hint="eastAsia"/>
        </w:rPr>
        <w:t>价格向发行人出售特定数量的标的证券，其实质是一个看跌期权。认股权证亦分为欧式和美式认股权证。美式认股权证允许持有人在股证上市日至到期日期间任何时间均可行使其权利，而欧式认股权证的持有人只可以在到期日当日行使其权利。目前我国主要是欧式权证。</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【风险提示】</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1</w:t>
      </w:r>
      <w:r>
        <w:rPr>
          <w:rFonts w:ascii="微软雅黑" w:eastAsia="微软雅黑" w:hAnsi="微软雅黑" w:cs="Calibri" w:hint="eastAsia"/>
        </w:rPr>
        <w:t>）价格剧烈波动风险：权证是一种高杠杆投资工具，标的证券市价的微小变化可能会引起权证价格的剧烈波动。</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2</w:t>
      </w:r>
      <w:r>
        <w:rPr>
          <w:rFonts w:ascii="微软雅黑" w:eastAsia="微软雅黑" w:hAnsi="微软雅黑" w:cs="Calibri" w:hint="eastAsia"/>
        </w:rPr>
        <w:t>）价格误判风险：权证价格受到标的证券的价格走势、行权价格、到期时间、利率、权益分派和权证市场供求等诸多因素的影响，权证持有人对此等因</w:t>
      </w:r>
      <w:r>
        <w:rPr>
          <w:rFonts w:ascii="微软雅黑" w:eastAsia="微软雅黑" w:hAnsi="微软雅黑" w:cs="Calibri" w:hint="eastAsia"/>
        </w:rPr>
        <w:t>素的判断失误也可能导致投资损失。</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3</w:t>
      </w:r>
      <w:r>
        <w:rPr>
          <w:rFonts w:ascii="微软雅黑" w:eastAsia="微软雅黑" w:hAnsi="微软雅黑" w:cs="Calibri" w:hint="eastAsia"/>
        </w:rPr>
        <w:t>）时效性风险：权证与股票不同，有一定的存续期间，且其时间价值会随着到期日的临近而迅速递减。（</w:t>
      </w:r>
      <w:r>
        <w:rPr>
          <w:rFonts w:ascii="微软雅黑" w:eastAsia="微软雅黑" w:hAnsi="微软雅黑" w:cs="Calibri" w:hint="eastAsia"/>
        </w:rPr>
        <w:t>4</w:t>
      </w:r>
      <w:r>
        <w:rPr>
          <w:rFonts w:ascii="微软雅黑" w:eastAsia="微软雅黑" w:hAnsi="微软雅黑" w:cs="Calibri" w:hint="eastAsia"/>
        </w:rPr>
        <w:t>）履约风险：如果发行人发生财务风险，投资者有可能面临发行人不能履约的风险。</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五、债券</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债券是一种有价证券，是社会各类经济主体为筹集资金而向债券投资者出具的、承诺按一定利率定期支付利息并到期偿还本金的债权债务凭证。</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【票面要素】</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1</w:t>
      </w:r>
      <w:r>
        <w:rPr>
          <w:rFonts w:ascii="微软雅黑" w:eastAsia="微软雅黑" w:hAnsi="微软雅黑" w:cs="Calibri" w:hint="eastAsia"/>
        </w:rPr>
        <w:t>）债券的票面价值。债券的票面价值是债券票面标明的货币价值，是债券发行人承诺在债券到期日偿还给债券持有人的金额。</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w:t>
      </w:r>
      <w:r>
        <w:rPr>
          <w:rFonts w:ascii="微软雅黑" w:eastAsia="微软雅黑" w:hAnsi="微软雅黑" w:cs="Calibri" w:hint="eastAsia"/>
        </w:rPr>
        <w:t>2</w:t>
      </w:r>
      <w:r>
        <w:rPr>
          <w:rFonts w:ascii="微软雅黑" w:eastAsia="微软雅黑" w:hAnsi="微软雅黑" w:cs="Calibri" w:hint="eastAsia"/>
        </w:rPr>
        <w:t>）债券的到期期限。债券的到期期限。债券到期期限是指债券从发行之日起至偿清本息之日止的时间，也是债券发行人承诺履行合同义务的全部时间。</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3</w:t>
      </w:r>
      <w:r>
        <w:rPr>
          <w:rFonts w:ascii="微软雅黑" w:eastAsia="微软雅黑" w:hAnsi="微软雅黑" w:cs="Calibri" w:hint="eastAsia"/>
        </w:rPr>
        <w:t>）债券的票面利率。债券的票面利率。债券票面利率也称名义利率，是债券年利息与债券票面价值的比率，通常年利率用百分数表示。利率是债券票面要素中不可缺少的内容，通常受借贷资金市场利率水平、筹资者的资信、债券期限长短等几个因素的影响。</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4</w:t>
      </w:r>
      <w:r>
        <w:rPr>
          <w:rFonts w:ascii="微软雅黑" w:eastAsia="微软雅黑" w:hAnsi="微软雅黑" w:cs="Calibri" w:hint="eastAsia"/>
        </w:rPr>
        <w:t>）债券发行者名称。这一要素指明了该债券的债务主体，既明确了债券发行人应履行对债权人偿还本息的义务，也为债权人到期追索本金和利息</w:t>
      </w:r>
      <w:r>
        <w:rPr>
          <w:rFonts w:ascii="微软雅黑" w:eastAsia="微软雅黑" w:hAnsi="微软雅黑" w:cs="Calibri" w:hint="eastAsia"/>
        </w:rPr>
        <w:t>提供了证据。此外，债券票面上有时还包含一些其他要素，例如分期偿还时间表、赎回选择权条款等。</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【交易方式】上市债券的交易方式大致有债券现货交易、债券回购交易、债券期货交易。目前在深、沪证券交易所交易的债券有现货交易和回购交易。</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1</w:t>
      </w:r>
      <w:r>
        <w:rPr>
          <w:rFonts w:ascii="微软雅黑" w:eastAsia="微软雅黑" w:hAnsi="微软雅黑" w:cs="Calibri" w:hint="eastAsia"/>
        </w:rPr>
        <w:t>）现货交易，又叫现金现货交易，是债券买卖双方对债券的买卖价格均表示满意，在成交后立即办理交割，或在很短的时间内办理交割的一种交易方式。</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2</w:t>
      </w:r>
      <w:r>
        <w:rPr>
          <w:rFonts w:ascii="微软雅黑" w:eastAsia="微软雅黑" w:hAnsi="微软雅黑" w:cs="Calibri" w:hint="eastAsia"/>
        </w:rPr>
        <w:t>）回购交易，是指债券持有一方出券方和购券方在达成一笔交易的同时，规定出券方必须在未来某一约定时间以双方约定的价格再从购券方那</w:t>
      </w:r>
      <w:r>
        <w:rPr>
          <w:rFonts w:ascii="微软雅黑" w:eastAsia="微软雅黑" w:hAnsi="微软雅黑" w:cs="Calibri" w:hint="eastAsia"/>
        </w:rPr>
        <w:t>里购回原先售出的那笔债券，并以商定的利率（价格）支付利息。</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3</w:t>
      </w:r>
      <w:r>
        <w:rPr>
          <w:rFonts w:ascii="微软雅黑" w:eastAsia="微软雅黑" w:hAnsi="微软雅黑" w:cs="Calibri" w:hint="eastAsia"/>
        </w:rPr>
        <w:t>）债券期货交易，是交易双方成交以后，交割和清算按照期货合约中规定的价格在未来某一特定时间进行的交易。目前深、沪证券交易所均不开通债券期货交易。</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六、股指期货</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股指期货（</w:t>
      </w:r>
      <w:r>
        <w:rPr>
          <w:rFonts w:ascii="微软雅黑" w:eastAsia="微软雅黑" w:hAnsi="微软雅黑" w:cs="Calibri" w:hint="eastAsia"/>
        </w:rPr>
        <w:t>Stock Index Futures</w:t>
      </w:r>
      <w:r>
        <w:rPr>
          <w:rFonts w:ascii="微软雅黑" w:eastAsia="微软雅黑" w:hAnsi="微软雅黑" w:cs="Calibri" w:hint="eastAsia"/>
        </w:rPr>
        <w:t>）的全称是股票价格指数期货，也可称为股价指数期货、期指，是指以股价指数为标的物的标准化期货合约，双方约定在未来的某个特定日期，可以按照事先确定的股价指数的大小，进行标的指数的买卖。作为期货交易的一种类型，股指期货交易与普通商</w:t>
      </w:r>
      <w:r>
        <w:rPr>
          <w:rFonts w:ascii="微软雅黑" w:eastAsia="微软雅黑" w:hAnsi="微软雅黑" w:cs="Calibri" w:hint="eastAsia"/>
        </w:rPr>
        <w:t>品期货交易具有基本相同的特征和流程。</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【开户要求】</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1</w:t>
      </w:r>
      <w:r>
        <w:rPr>
          <w:rFonts w:ascii="微软雅黑" w:eastAsia="微软雅黑" w:hAnsi="微软雅黑" w:cs="Calibri" w:hint="eastAsia"/>
        </w:rPr>
        <w:t>）期货账户可用金</w:t>
      </w:r>
      <w:r>
        <w:rPr>
          <w:rFonts w:ascii="微软雅黑" w:eastAsia="微软雅黑" w:hAnsi="微软雅黑" w:cs="Calibri" w:hint="eastAsia"/>
        </w:rPr>
        <w:t>50</w:t>
      </w:r>
      <w:r>
        <w:rPr>
          <w:rFonts w:ascii="微软雅黑" w:eastAsia="微软雅黑" w:hAnsi="微软雅黑" w:cs="Calibri" w:hint="eastAsia"/>
        </w:rPr>
        <w:t>万以上。</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2</w:t>
      </w:r>
      <w:r>
        <w:rPr>
          <w:rFonts w:ascii="微软雅黑" w:eastAsia="微软雅黑" w:hAnsi="微软雅黑" w:cs="Calibri" w:hint="eastAsia"/>
        </w:rPr>
        <w:t>）客户本人通过股指期货知识测试（题型：</w:t>
      </w:r>
      <w:r>
        <w:rPr>
          <w:rFonts w:ascii="微软雅黑" w:eastAsia="微软雅黑" w:hAnsi="微软雅黑" w:cs="Calibri" w:hint="eastAsia"/>
        </w:rPr>
        <w:t>10</w:t>
      </w:r>
      <w:r>
        <w:rPr>
          <w:rFonts w:ascii="微软雅黑" w:eastAsia="微软雅黑" w:hAnsi="微软雅黑" w:cs="Calibri" w:hint="eastAsia"/>
        </w:rPr>
        <w:t>题判断，</w:t>
      </w:r>
      <w:r>
        <w:rPr>
          <w:rFonts w:ascii="微软雅黑" w:eastAsia="微软雅黑" w:hAnsi="微软雅黑" w:cs="Calibri" w:hint="eastAsia"/>
        </w:rPr>
        <w:t>20</w:t>
      </w:r>
      <w:r>
        <w:rPr>
          <w:rFonts w:ascii="微软雅黑" w:eastAsia="微软雅黑" w:hAnsi="微软雅黑" w:cs="Calibri" w:hint="eastAsia"/>
        </w:rPr>
        <w:t>题单选，须答对</w:t>
      </w:r>
      <w:r>
        <w:rPr>
          <w:rFonts w:ascii="微软雅黑" w:eastAsia="微软雅黑" w:hAnsi="微软雅黑" w:cs="Calibri" w:hint="eastAsia"/>
        </w:rPr>
        <w:t>24</w:t>
      </w:r>
      <w:r>
        <w:rPr>
          <w:rFonts w:ascii="微软雅黑" w:eastAsia="微软雅黑" w:hAnsi="微软雅黑" w:cs="Calibri" w:hint="eastAsia"/>
        </w:rPr>
        <w:t>题即</w:t>
      </w:r>
      <w:r>
        <w:rPr>
          <w:rFonts w:ascii="微软雅黑" w:eastAsia="微软雅黑" w:hAnsi="微软雅黑" w:cs="Calibri" w:hint="eastAsia"/>
        </w:rPr>
        <w:t>80</w:t>
      </w:r>
      <w:r>
        <w:rPr>
          <w:rFonts w:ascii="微软雅黑" w:eastAsia="微软雅黑" w:hAnsi="微软雅黑" w:cs="Calibri" w:hint="eastAsia"/>
        </w:rPr>
        <w:t>分以上为合格）。</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3</w:t>
      </w:r>
      <w:r>
        <w:rPr>
          <w:rFonts w:ascii="微软雅黑" w:eastAsia="微软雅黑" w:hAnsi="微软雅黑" w:cs="Calibri" w:hint="eastAsia"/>
        </w:rPr>
        <w:t>）交易经历：具有股指期货仿真交易累计</w:t>
      </w:r>
      <w:r>
        <w:rPr>
          <w:rFonts w:ascii="微软雅黑" w:eastAsia="微软雅黑" w:hAnsi="微软雅黑" w:cs="Calibri" w:hint="eastAsia"/>
        </w:rPr>
        <w:t>10</w:t>
      </w:r>
      <w:r>
        <w:rPr>
          <w:rFonts w:ascii="微软雅黑" w:eastAsia="微软雅黑" w:hAnsi="微软雅黑" w:cs="Calibri" w:hint="eastAsia"/>
        </w:rPr>
        <w:t>个交易日、</w:t>
      </w:r>
      <w:r>
        <w:rPr>
          <w:rFonts w:ascii="微软雅黑" w:eastAsia="微软雅黑" w:hAnsi="微软雅黑" w:cs="Calibri" w:hint="eastAsia"/>
        </w:rPr>
        <w:t>20</w:t>
      </w:r>
      <w:r>
        <w:rPr>
          <w:rFonts w:ascii="微软雅黑" w:eastAsia="微软雅黑" w:hAnsi="微软雅黑" w:cs="Calibri" w:hint="eastAsia"/>
        </w:rPr>
        <w:t>笔以上的成交记录或具有三年内十笔以上商品期货交易经历。</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4</w:t>
      </w:r>
      <w:r>
        <w:rPr>
          <w:rFonts w:ascii="微软雅黑" w:eastAsia="微软雅黑" w:hAnsi="微软雅黑" w:cs="Calibri" w:hint="eastAsia"/>
        </w:rPr>
        <w:t>）通过股指期货投资者适当性综合评估（总分</w:t>
      </w:r>
      <w:r>
        <w:rPr>
          <w:rFonts w:ascii="微软雅黑" w:eastAsia="微软雅黑" w:hAnsi="微软雅黑" w:cs="Calibri" w:hint="eastAsia"/>
        </w:rPr>
        <w:t>70</w:t>
      </w:r>
      <w:r>
        <w:rPr>
          <w:rFonts w:ascii="微软雅黑" w:eastAsia="微软雅黑" w:hAnsi="微软雅黑" w:cs="Calibri" w:hint="eastAsia"/>
        </w:rPr>
        <w:t>分以上）。</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【交易制度】</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1</w:t>
      </w:r>
      <w:r>
        <w:rPr>
          <w:rFonts w:ascii="微软雅黑" w:eastAsia="微软雅黑" w:hAnsi="微软雅黑" w:cs="Calibri" w:hint="eastAsia"/>
        </w:rPr>
        <w:t>）保证金制度：在关于沪深</w:t>
      </w:r>
      <w:r>
        <w:rPr>
          <w:rFonts w:ascii="微软雅黑" w:eastAsia="微软雅黑" w:hAnsi="微软雅黑" w:cs="Calibri" w:hint="eastAsia"/>
        </w:rPr>
        <w:t>300</w:t>
      </w:r>
      <w:r>
        <w:rPr>
          <w:rFonts w:ascii="微软雅黑" w:eastAsia="微软雅黑" w:hAnsi="微软雅黑" w:cs="Calibri" w:hint="eastAsia"/>
        </w:rPr>
        <w:t>股指期货合约上市交易有关事项的通知中，中金所规定股指期货近月合约保证金为</w:t>
      </w:r>
      <w:r>
        <w:rPr>
          <w:rFonts w:ascii="微软雅黑" w:eastAsia="微软雅黑" w:hAnsi="微软雅黑" w:cs="Calibri" w:hint="eastAsia"/>
        </w:rPr>
        <w:t>15%</w:t>
      </w:r>
      <w:r>
        <w:rPr>
          <w:rFonts w:ascii="微软雅黑" w:eastAsia="微软雅黑" w:hAnsi="微软雅黑" w:cs="Calibri" w:hint="eastAsia"/>
        </w:rPr>
        <w:t>，远月合约保证金为</w:t>
      </w:r>
      <w:r>
        <w:rPr>
          <w:rFonts w:ascii="微软雅黑" w:eastAsia="微软雅黑" w:hAnsi="微软雅黑" w:cs="Calibri" w:hint="eastAsia"/>
        </w:rPr>
        <w:t>18%</w:t>
      </w:r>
      <w:r>
        <w:rPr>
          <w:rFonts w:ascii="微软雅黑" w:eastAsia="微软雅黑" w:hAnsi="微软雅黑" w:cs="Calibri" w:hint="eastAsia"/>
        </w:rPr>
        <w:t>。</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2</w:t>
      </w:r>
      <w:r>
        <w:rPr>
          <w:rFonts w:ascii="微软雅黑" w:eastAsia="微软雅黑" w:hAnsi="微软雅黑" w:cs="Calibri" w:hint="eastAsia"/>
        </w:rPr>
        <w:t>）每日无负债结算制度：每日无负债结算制度也称为“逐日盯市”制度，简单说来，就是期货交易所要根据每日市场的价格波动对投资者所持有的合约计算盈亏并划转保证金账户中相应的资金。</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3</w:t>
      </w:r>
      <w:r>
        <w:rPr>
          <w:rFonts w:ascii="微软雅黑" w:eastAsia="微软雅黑" w:hAnsi="微软雅黑" w:cs="Calibri" w:hint="eastAsia"/>
        </w:rPr>
        <w:t>）价格限制制度：涨跌停板制度主要用来限制期货合约每日价格波动的最大幅度。根据涨跌停板的规定，某个期货合约在一个交易日中的交易价格波动不得高于或者低于交易所事先规定的涨跌幅度，超</w:t>
      </w:r>
      <w:r>
        <w:rPr>
          <w:rFonts w:ascii="微软雅黑" w:eastAsia="微软雅黑" w:hAnsi="微软雅黑" w:cs="Calibri" w:hint="eastAsia"/>
        </w:rPr>
        <w:t>过这一幅度的报价将被视为无效，不能成交。一个交易日内，股指期货的涨幅和跌幅限制设置为</w:t>
      </w:r>
      <w:r>
        <w:rPr>
          <w:rFonts w:ascii="微软雅黑" w:eastAsia="微软雅黑" w:hAnsi="微软雅黑" w:cs="Calibri" w:hint="eastAsia"/>
        </w:rPr>
        <w:t>10%</w:t>
      </w:r>
      <w:r>
        <w:rPr>
          <w:rFonts w:ascii="微软雅黑" w:eastAsia="微软雅黑" w:hAnsi="微软雅黑" w:cs="Calibri" w:hint="eastAsia"/>
        </w:rPr>
        <w:t>。</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4</w:t>
      </w:r>
      <w:r>
        <w:rPr>
          <w:rFonts w:ascii="微软雅黑" w:eastAsia="微软雅黑" w:hAnsi="微软雅黑" w:cs="Calibri" w:hint="eastAsia"/>
        </w:rPr>
        <w:t>）持仓限额制度：交易所为了防范市场操纵和少数投资者风险过度集中的情况，对会员和客户手中持有的合约数量上限进行一定的限制，这就是持仓限额制度。中金所将非套保交易的单个股指期货交易账户持仓限额由原先的</w:t>
      </w:r>
      <w:r>
        <w:rPr>
          <w:rFonts w:ascii="微软雅黑" w:eastAsia="微软雅黑" w:hAnsi="微软雅黑" w:cs="Calibri" w:hint="eastAsia"/>
        </w:rPr>
        <w:t>600</w:t>
      </w:r>
      <w:r>
        <w:rPr>
          <w:rFonts w:ascii="微软雅黑" w:eastAsia="微软雅黑" w:hAnsi="微软雅黑" w:cs="Calibri" w:hint="eastAsia"/>
        </w:rPr>
        <w:t>手调整为</w:t>
      </w:r>
      <w:r>
        <w:rPr>
          <w:rFonts w:ascii="微软雅黑" w:eastAsia="微软雅黑" w:hAnsi="微软雅黑" w:cs="Calibri" w:hint="eastAsia"/>
        </w:rPr>
        <w:t>100</w:t>
      </w:r>
      <w:r>
        <w:rPr>
          <w:rFonts w:ascii="微软雅黑" w:eastAsia="微软雅黑" w:hAnsi="微软雅黑" w:cs="Calibri" w:hint="eastAsia"/>
        </w:rPr>
        <w:t>手。进行套期保值交易和套利交易的客户号的持仓按照交易所有关规定执行。</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5</w:t>
      </w:r>
      <w:r>
        <w:rPr>
          <w:rFonts w:ascii="微软雅黑" w:eastAsia="微软雅黑" w:hAnsi="微软雅黑" w:cs="Calibri" w:hint="eastAsia"/>
        </w:rPr>
        <w:t>）强行平仓制度：当交易所会员或客户的交易保证金不足并未在规定时间内补足，或当会员或客户的持仓量超出规定的限额，或</w:t>
      </w:r>
      <w:r>
        <w:rPr>
          <w:rFonts w:ascii="微软雅黑" w:eastAsia="微软雅黑" w:hAnsi="微软雅黑" w:cs="Calibri" w:hint="eastAsia"/>
        </w:rPr>
        <w:t>当会员或客户违规时，交易所为了防止风险进一步扩大，将对其持有的未平仓合约进行强制性平仓处理，这就是强行平仓制度。</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6</w:t>
      </w:r>
      <w:r>
        <w:rPr>
          <w:rFonts w:ascii="微软雅黑" w:eastAsia="微软雅黑" w:hAnsi="微软雅黑" w:cs="Calibri" w:hint="eastAsia"/>
        </w:rPr>
        <w:t>）大户报告制度：大户报告制度是指当投资者的持仓量达到交易所规定的持仓限额时，应通过结算会员或交易会员向交易所或监管机构报告其资金和持仓情况。</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7</w:t>
      </w:r>
      <w:r>
        <w:rPr>
          <w:rFonts w:ascii="微软雅黑" w:eastAsia="微软雅黑" w:hAnsi="微软雅黑" w:cs="Calibri" w:hint="eastAsia"/>
        </w:rPr>
        <w:t>）结算担保金制度：结算担保金是指由结算会员依交易所的规定缴存的，用于应对结算会员违约风险的共同担保资金。当个别结算会员出现违约时，在动用完该违约结算会员缴纳的结算担保金之后，可要求其他会员的结算担保金要按比例共同承担该会员的履约责任。结</w:t>
      </w:r>
      <w:r>
        <w:rPr>
          <w:rFonts w:ascii="微软雅黑" w:eastAsia="微软雅黑" w:hAnsi="微软雅黑" w:cs="Calibri" w:hint="eastAsia"/>
        </w:rPr>
        <w:t>算会员联保机制的建立确保了市场在极端行情下的正常运作。</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七、融资融券</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国务院《证券公司监督管理条例》（以下简称《条例》）规定，融资融券业务是指在证券交易所或者国务院批准的其他证券交易场所进行的证券交易中，证券公司向客户出借资金供其买入证券或者出借证券供其卖出，并由客户交存相应担保物的经营活动。</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【开户要求】</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客户申请开立信用证券账户和信用资金账户应向证券公司提交下列材料：</w:t>
      </w:r>
      <w:r>
        <w:rPr>
          <w:rFonts w:ascii="微软雅黑" w:eastAsia="微软雅黑" w:hAnsi="微软雅黑" w:cs="Calibri" w:hint="eastAsia"/>
        </w:rPr>
        <w:t xml:space="preserve">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1.</w:t>
      </w:r>
      <w:r>
        <w:rPr>
          <w:rFonts w:ascii="微软雅黑" w:eastAsia="微软雅黑" w:hAnsi="微软雅黑" w:cs="Calibri" w:hint="eastAsia"/>
        </w:rPr>
        <w:t>个人客户须提供：</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1</w:t>
      </w:r>
      <w:r>
        <w:rPr>
          <w:rFonts w:ascii="微软雅黑" w:eastAsia="微软雅黑" w:hAnsi="微软雅黑" w:cs="Calibri" w:hint="eastAsia"/>
        </w:rPr>
        <w:t>）本人身份证明原件及复印件。</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2</w:t>
      </w:r>
      <w:r>
        <w:rPr>
          <w:rFonts w:ascii="微软雅黑" w:eastAsia="微软雅黑" w:hAnsi="微软雅黑" w:cs="Calibri" w:hint="eastAsia"/>
        </w:rPr>
        <w:t>）本人普通资金账户卡（或开户协议</w:t>
      </w:r>
      <w:r>
        <w:rPr>
          <w:rFonts w:ascii="微软雅黑" w:eastAsia="微软雅黑" w:hAnsi="微软雅黑" w:cs="Calibri" w:hint="eastAsia"/>
        </w:rPr>
        <w:t>原件）、普通证券账户卡原件及复印件。</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3</w:t>
      </w:r>
      <w:r>
        <w:rPr>
          <w:rFonts w:ascii="微软雅黑" w:eastAsia="微软雅黑" w:hAnsi="微软雅黑" w:cs="Calibri" w:hint="eastAsia"/>
        </w:rPr>
        <w:t>）填妥并由本人当面签名的“信用证券账户开户申请表”和“信用资金账户开户日申请表”。</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4</w:t>
      </w:r>
      <w:r>
        <w:rPr>
          <w:rFonts w:ascii="微软雅黑" w:eastAsia="微软雅黑" w:hAnsi="微软雅黑" w:cs="Calibri" w:hint="eastAsia"/>
        </w:rPr>
        <w:t>）专用于信用交易的银行卡。</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5</w:t>
      </w:r>
      <w:r>
        <w:rPr>
          <w:rFonts w:ascii="微软雅黑" w:eastAsia="微软雅黑" w:hAnsi="微软雅黑" w:cs="Calibri" w:hint="eastAsia"/>
        </w:rPr>
        <w:t>）银行及客户已盖章、签字的客户信用资金存管协议。</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2.</w:t>
      </w:r>
      <w:r>
        <w:rPr>
          <w:rFonts w:ascii="微软雅黑" w:eastAsia="微软雅黑" w:hAnsi="微软雅黑" w:cs="Calibri" w:hint="eastAsia"/>
        </w:rPr>
        <w:t>机构客户须提供：</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1</w:t>
      </w:r>
      <w:r>
        <w:rPr>
          <w:rFonts w:ascii="微软雅黑" w:eastAsia="微软雅黑" w:hAnsi="微软雅黑" w:cs="Calibri" w:hint="eastAsia"/>
        </w:rPr>
        <w:t>）营业执照副本等有效身份证明文件原件及复印。</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2</w:t>
      </w:r>
      <w:r>
        <w:rPr>
          <w:rFonts w:ascii="微软雅黑" w:eastAsia="微软雅黑" w:hAnsi="微软雅黑" w:cs="Calibri" w:hint="eastAsia"/>
        </w:rPr>
        <w:t>）法定代表人证明书原件及加盖公章的法定代表人身份证明复印件。</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3</w:t>
      </w:r>
      <w:r>
        <w:rPr>
          <w:rFonts w:ascii="微软雅黑" w:eastAsia="微软雅黑" w:hAnsi="微软雅黑" w:cs="Calibri" w:hint="eastAsia"/>
        </w:rPr>
        <w:t>）法定代表人授权书。</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4</w:t>
      </w:r>
      <w:r>
        <w:rPr>
          <w:rFonts w:ascii="微软雅黑" w:eastAsia="微软雅黑" w:hAnsi="微软雅黑" w:cs="Calibri" w:hint="eastAsia"/>
        </w:rPr>
        <w:t>）授权经办人身份证明原件及复印件。</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5</w:t>
      </w:r>
      <w:r>
        <w:rPr>
          <w:rFonts w:ascii="微软雅黑" w:eastAsia="微软雅黑" w:hAnsi="微软雅黑" w:cs="Calibri" w:hint="eastAsia"/>
        </w:rPr>
        <w:t>）加盖公章的预留印鉴卡。</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6</w:t>
      </w:r>
      <w:r>
        <w:rPr>
          <w:rFonts w:ascii="微软雅黑" w:eastAsia="微软雅黑" w:hAnsi="微软雅黑" w:cs="Calibri" w:hint="eastAsia"/>
        </w:rPr>
        <w:t>）机构普通资金账户卡（或开户协议原件）、普通证券账户卡原件及复印件。</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7</w:t>
      </w:r>
      <w:r>
        <w:rPr>
          <w:rFonts w:ascii="微软雅黑" w:eastAsia="微软雅黑" w:hAnsi="微软雅黑" w:cs="Calibri" w:hint="eastAsia"/>
        </w:rPr>
        <w:t>）填妥并加盖机构公章的“信用证券账户开户申请表”和“信用资金账户开户申请表”。</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8</w:t>
      </w:r>
      <w:r>
        <w:rPr>
          <w:rFonts w:ascii="微软雅黑" w:eastAsia="微软雅黑" w:hAnsi="微软雅黑" w:cs="Calibri" w:hint="eastAsia"/>
        </w:rPr>
        <w:t>）加盖银行章的专用于信用交易的银行账户。</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9</w:t>
      </w:r>
      <w:r>
        <w:rPr>
          <w:rFonts w:ascii="微软雅黑" w:eastAsia="微软雅黑" w:hAnsi="微软雅黑" w:cs="Calibri" w:hint="eastAsia"/>
        </w:rPr>
        <w:t>）银行及机构盖章的客户信用资金存管协议。</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八、创业板</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创业板</w:t>
      </w:r>
      <w:r>
        <w:rPr>
          <w:rFonts w:ascii="微软雅黑" w:eastAsia="微软雅黑" w:hAnsi="微软雅黑" w:cs="Calibri" w:hint="eastAsia"/>
        </w:rPr>
        <w:t xml:space="preserve">GEM </w:t>
      </w:r>
      <w:r>
        <w:rPr>
          <w:rFonts w:ascii="微软雅黑" w:eastAsia="微软雅黑" w:hAnsi="微软雅黑" w:cs="Calibri" w:hint="eastAsia"/>
        </w:rPr>
        <w:t>（</w:t>
      </w:r>
      <w:r>
        <w:rPr>
          <w:rFonts w:ascii="微软雅黑" w:eastAsia="微软雅黑" w:hAnsi="微软雅黑" w:cs="Calibri" w:hint="eastAsia"/>
        </w:rPr>
        <w:t xml:space="preserve">Growth Enterprises Market </w:t>
      </w:r>
      <w:r>
        <w:rPr>
          <w:rFonts w:ascii="微软雅黑" w:eastAsia="微软雅黑" w:hAnsi="微软雅黑" w:cs="Calibri" w:hint="eastAsia"/>
        </w:rPr>
        <w:t>）</w:t>
      </w:r>
      <w:r>
        <w:rPr>
          <w:rFonts w:ascii="微软雅黑" w:eastAsia="微软雅黑" w:hAnsi="微软雅黑" w:cs="Calibri" w:hint="eastAsia"/>
        </w:rPr>
        <w:t>board</w:t>
      </w:r>
      <w:r>
        <w:rPr>
          <w:rFonts w:ascii="微软雅黑" w:eastAsia="微软雅黑" w:hAnsi="微软雅黑" w:cs="Calibri" w:hint="eastAsia"/>
        </w:rPr>
        <w:t>是地位次于主板市场的二板证券市场，以</w:t>
      </w:r>
      <w:r>
        <w:rPr>
          <w:rFonts w:ascii="微软雅黑" w:eastAsia="微软雅黑" w:hAnsi="微软雅黑" w:cs="Calibri" w:hint="eastAsia"/>
        </w:rPr>
        <w:t>NASDAQ</w:t>
      </w:r>
      <w:r>
        <w:rPr>
          <w:rFonts w:ascii="微软雅黑" w:eastAsia="微软雅黑" w:hAnsi="微软雅黑" w:cs="Calibri" w:hint="eastAsia"/>
        </w:rPr>
        <w:t>市场为代表，在中国特指深圳创业板。在上市门槛、监管制度、信息披露、交易者条件、投资风险等</w:t>
      </w:r>
      <w:r>
        <w:rPr>
          <w:rFonts w:ascii="微软雅黑" w:eastAsia="微软雅黑" w:hAnsi="微软雅黑" w:cs="Calibri" w:hint="eastAsia"/>
        </w:rPr>
        <w:t>方面和主板市场有较大区别。其目的主要是扶持中小企业，尤其是高成长性企业，为风险投资和创投企业建立正常的退出机制，为自主创新国家战略提供融资平台，为多层次的资本市场体系建设添砖加瓦。</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【开户流程】</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1</w:t>
      </w:r>
      <w:r>
        <w:rPr>
          <w:rFonts w:ascii="微软雅黑" w:eastAsia="微软雅黑" w:hAnsi="微软雅黑" w:cs="Calibri" w:hint="eastAsia"/>
        </w:rPr>
        <w:t>、投资者应客观评估自身的风险承受能力，审慎决定是否申请开通创业板市场交易。</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2</w:t>
      </w:r>
      <w:r>
        <w:rPr>
          <w:rFonts w:ascii="微软雅黑" w:eastAsia="微软雅黑" w:hAnsi="微软雅黑" w:cs="Calibri" w:hint="eastAsia"/>
        </w:rPr>
        <w:t>、投资者要通过到证券公司营业部现场提出开通创业板市场交易的申请。</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3</w:t>
      </w:r>
      <w:r>
        <w:rPr>
          <w:rFonts w:ascii="微软雅黑" w:eastAsia="微软雅黑" w:hAnsi="微软雅黑" w:cs="Calibri" w:hint="eastAsia"/>
        </w:rPr>
        <w:t>、投资者应向证券公司提供本人身份、财产与收入状况、风险偏好等基本信息。证券公司将据此对投资者的风险承担能力进行测评，并将测评结果告知投资者。如果风</w:t>
      </w:r>
      <w:r>
        <w:rPr>
          <w:rFonts w:ascii="微软雅黑" w:eastAsia="微软雅黑" w:hAnsi="微软雅黑" w:cs="Calibri" w:hint="eastAsia"/>
        </w:rPr>
        <w:t>险承受能力较弱，投资者应审慎考虑是否参与创业板交易。</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4</w:t>
      </w:r>
      <w:r>
        <w:rPr>
          <w:rFonts w:ascii="微软雅黑" w:eastAsia="微软雅黑" w:hAnsi="微软雅黑" w:cs="Calibri" w:hint="eastAsia"/>
        </w:rPr>
        <w:t>、投资者需按照要求到证券公司的营业部现场签署风险揭示书</w:t>
      </w:r>
      <w:r>
        <w:rPr>
          <w:rFonts w:ascii="微软雅黑" w:eastAsia="微软雅黑" w:hAnsi="微软雅黑" w:cs="Calibri" w:hint="eastAsia"/>
        </w:rPr>
        <w:t>(</w:t>
      </w:r>
      <w:r>
        <w:rPr>
          <w:rFonts w:ascii="微软雅黑" w:eastAsia="微软雅黑" w:hAnsi="微软雅黑" w:cs="Calibri" w:hint="eastAsia"/>
        </w:rPr>
        <w:t>未具备两年交易经验的投资者还应抄录“特别声明”</w:t>
      </w:r>
      <w:r>
        <w:rPr>
          <w:rFonts w:ascii="微软雅黑" w:eastAsia="微软雅黑" w:hAnsi="微软雅黑" w:cs="Calibri" w:hint="eastAsia"/>
        </w:rPr>
        <w:t>)</w:t>
      </w:r>
      <w:r>
        <w:rPr>
          <w:rFonts w:ascii="微软雅黑" w:eastAsia="微软雅黑" w:hAnsi="微软雅黑" w:cs="Calibri" w:hint="eastAsia"/>
        </w:rPr>
        <w:t>。</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（国泰君安证券股份有限公司提供）</w:t>
      </w:r>
      <w:r>
        <w:rPr>
          <w:rFonts w:ascii="微软雅黑" w:eastAsia="微软雅黑" w:hAnsi="微软雅黑" w:cs="Calibri" w:hint="eastAsia"/>
        </w:rPr>
        <w:t> </w:t>
      </w:r>
    </w:p>
    <w:p w:rsidR="00000000" w:rsidRDefault="005F498B">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 xml:space="preserve">　　</w:t>
      </w:r>
      <w:r>
        <w:rPr>
          <w:rFonts w:ascii="微软雅黑" w:eastAsia="微软雅黑" w:hAnsi="微软雅黑" w:cs="Calibri" w:hint="eastAsia"/>
        </w:rPr>
        <w:t>  </w:t>
      </w:r>
    </w:p>
    <w:p w:rsidR="00000000" w:rsidRDefault="005F498B">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5F498B">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F498B">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《看姐理财》笔记</w:t>
      </w:r>
    </w:p>
    <w:p w:rsidR="00000000" w:rsidRDefault="005F498B">
      <w:pPr>
        <w:pStyle w:val="a3"/>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2020</w:t>
      </w:r>
      <w:r>
        <w:rPr>
          <w:rFonts w:ascii="微软雅黑" w:eastAsia="微软雅黑" w:hAnsi="微软雅黑" w:cs="Calibri" w:hint="eastAsia"/>
          <w:color w:val="767676"/>
          <w:sz w:val="20"/>
          <w:szCs w:val="20"/>
        </w:rPr>
        <w:t>年</w:t>
      </w:r>
      <w:r>
        <w:rPr>
          <w:rFonts w:ascii="Calibri" w:hAnsi="Calibri" w:cs="Calibri"/>
          <w:color w:val="767676"/>
          <w:sz w:val="20"/>
          <w:szCs w:val="20"/>
        </w:rPr>
        <w:t>8</w:t>
      </w:r>
      <w:r>
        <w:rPr>
          <w:rFonts w:ascii="微软雅黑" w:eastAsia="微软雅黑" w:hAnsi="微软雅黑" w:cs="Calibri" w:hint="eastAsia"/>
          <w:color w:val="767676"/>
          <w:sz w:val="20"/>
          <w:szCs w:val="20"/>
        </w:rPr>
        <w:t>月</w:t>
      </w:r>
      <w:r>
        <w:rPr>
          <w:rFonts w:ascii="Calibri" w:hAnsi="Calibri" w:cs="Calibri"/>
          <w:color w:val="767676"/>
          <w:sz w:val="20"/>
          <w:szCs w:val="20"/>
        </w:rPr>
        <w:t>12</w:t>
      </w:r>
      <w:r>
        <w:rPr>
          <w:rFonts w:ascii="微软雅黑" w:eastAsia="微软雅黑" w:hAnsi="微软雅黑" w:cs="Calibri" w:hint="eastAsia"/>
          <w:color w:val="767676"/>
          <w:sz w:val="20"/>
          <w:szCs w:val="20"/>
        </w:rPr>
        <w:t>日</w:t>
      </w:r>
    </w:p>
    <w:p w:rsidR="00000000" w:rsidRDefault="005F498B">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17:07</w:t>
      </w:r>
    </w:p>
    <w:p w:rsidR="00000000" w:rsidRDefault="005F498B">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F498B">
      <w:pPr>
        <w:pStyle w:val="1"/>
        <w:spacing w:before="0" w:beforeAutospacing="0" w:after="0" w:afterAutospacing="0"/>
        <w:rPr>
          <w:rFonts w:ascii="微软雅黑" w:eastAsia="微软雅黑" w:hAnsi="微软雅黑" w:cs="Calibri"/>
          <w:color w:val="1E4E79"/>
          <w:sz w:val="32"/>
          <w:szCs w:val="32"/>
        </w:rPr>
      </w:pPr>
      <w:r>
        <w:rPr>
          <w:rFonts w:ascii="微软雅黑" w:eastAsia="微软雅黑" w:hAnsi="微软雅黑" w:cs="Calibri" w:hint="eastAsia"/>
          <w:color w:val="1E4E79"/>
          <w:sz w:val="32"/>
          <w:szCs w:val="32"/>
        </w:rPr>
        <w:t>基金类型</w:t>
      </w:r>
    </w:p>
    <w:p w:rsidR="00000000" w:rsidRDefault="005F498B">
      <w:pPr>
        <w:numPr>
          <w:ilvl w:val="0"/>
          <w:numId w:val="2"/>
        </w:numPr>
        <w:ind w:left="540"/>
        <w:textAlignment w:val="center"/>
        <w:rPr>
          <w:rFonts w:ascii="微软雅黑" w:eastAsia="微软雅黑" w:hAnsi="微软雅黑" w:cs="Calibri" w:hint="eastAsia"/>
          <w:sz w:val="22"/>
          <w:szCs w:val="22"/>
        </w:rPr>
      </w:pPr>
      <w:r>
        <w:rPr>
          <w:rFonts w:ascii="微软雅黑" w:eastAsia="微软雅黑" w:hAnsi="微软雅黑" w:cs="Calibri" w:hint="eastAsia"/>
          <w:sz w:val="22"/>
          <w:szCs w:val="22"/>
        </w:rPr>
        <w:t>主动基金</w:t>
      </w:r>
    </w:p>
    <w:p w:rsidR="00000000" w:rsidRDefault="005F498B">
      <w:pPr>
        <w:numPr>
          <w:ilvl w:val="0"/>
          <w:numId w:val="2"/>
        </w:numPr>
        <w:ind w:left="540"/>
        <w:textAlignment w:val="center"/>
        <w:rPr>
          <w:rFonts w:ascii="微软雅黑" w:eastAsia="微软雅黑" w:hAnsi="微软雅黑" w:cs="Calibri" w:hint="eastAsia"/>
          <w:sz w:val="22"/>
          <w:szCs w:val="22"/>
        </w:rPr>
      </w:pPr>
      <w:r>
        <w:rPr>
          <w:rFonts w:ascii="微软雅黑" w:eastAsia="微软雅黑" w:hAnsi="微软雅黑" w:cs="Calibri" w:hint="eastAsia"/>
          <w:sz w:val="22"/>
          <w:szCs w:val="22"/>
        </w:rPr>
        <w:t>指数基金</w:t>
      </w:r>
    </w:p>
    <w:p w:rsidR="00000000" w:rsidRDefault="005F498B">
      <w:pPr>
        <w:numPr>
          <w:ilvl w:val="1"/>
          <w:numId w:val="3"/>
        </w:numPr>
        <w:ind w:left="1080"/>
        <w:textAlignment w:val="center"/>
        <w:rPr>
          <w:rFonts w:ascii="微软雅黑" w:eastAsia="微软雅黑" w:hAnsi="微软雅黑" w:cs="Calibri" w:hint="eastAsia"/>
          <w:sz w:val="22"/>
          <w:szCs w:val="22"/>
        </w:rPr>
      </w:pPr>
      <w:r>
        <w:rPr>
          <w:rFonts w:ascii="微软雅黑" w:eastAsia="微软雅黑" w:hAnsi="微软雅黑" w:cs="Calibri" w:hint="eastAsia"/>
          <w:sz w:val="22"/>
          <w:szCs w:val="22"/>
        </w:rPr>
        <w:t>宽基指数（覆盖行业比较广的基金）</w:t>
      </w:r>
    </w:p>
    <w:p w:rsidR="00000000" w:rsidRDefault="005F498B">
      <w:pPr>
        <w:numPr>
          <w:ilvl w:val="1"/>
          <w:numId w:val="3"/>
        </w:numPr>
        <w:ind w:left="1080"/>
        <w:textAlignment w:val="center"/>
        <w:rPr>
          <w:rFonts w:ascii="微软雅黑" w:eastAsia="微软雅黑" w:hAnsi="微软雅黑" w:cs="Calibri" w:hint="eastAsia"/>
          <w:sz w:val="22"/>
          <w:szCs w:val="22"/>
        </w:rPr>
      </w:pPr>
      <w:r>
        <w:rPr>
          <w:rFonts w:ascii="微软雅黑" w:eastAsia="微软雅黑" w:hAnsi="微软雅黑" w:cs="Calibri" w:hint="eastAsia"/>
          <w:sz w:val="22"/>
          <w:szCs w:val="22"/>
        </w:rPr>
        <w:t>行业指数（覆盖某一行业范围）</w:t>
      </w:r>
    </w:p>
    <w:p w:rsidR="00000000" w:rsidRDefault="005F498B">
      <w:pPr>
        <w:numPr>
          <w:ilvl w:val="0"/>
          <w:numId w:val="3"/>
        </w:numPr>
        <w:ind w:left="540"/>
        <w:textAlignment w:val="center"/>
        <w:rPr>
          <w:rFonts w:ascii="微软雅黑" w:eastAsia="微软雅黑" w:hAnsi="微软雅黑" w:cs="Calibri" w:hint="eastAsia"/>
          <w:sz w:val="22"/>
          <w:szCs w:val="22"/>
        </w:rPr>
      </w:pPr>
      <w:r>
        <w:rPr>
          <w:rFonts w:ascii="微软雅黑" w:eastAsia="微软雅黑" w:hAnsi="微软雅黑" w:cs="Calibri" w:hint="eastAsia"/>
          <w:sz w:val="22"/>
          <w:szCs w:val="22"/>
        </w:rPr>
        <w:t>货币基金</w:t>
      </w:r>
    </w:p>
    <w:p w:rsidR="00000000" w:rsidRDefault="005F498B">
      <w:pPr>
        <w:pStyle w:val="1"/>
        <w:spacing w:before="0" w:beforeAutospacing="0" w:after="0" w:afterAutospacing="0"/>
        <w:rPr>
          <w:rFonts w:ascii="微软雅黑" w:eastAsia="微软雅黑" w:hAnsi="微软雅黑" w:cs="Calibri" w:hint="eastAsia"/>
          <w:color w:val="1E4E79"/>
          <w:sz w:val="32"/>
          <w:szCs w:val="32"/>
        </w:rPr>
      </w:pPr>
      <w:r>
        <w:rPr>
          <w:rFonts w:ascii="微软雅黑" w:eastAsia="微软雅黑" w:hAnsi="微软雅黑" w:cs="Calibri" w:hint="eastAsia"/>
          <w:color w:val="1E4E79"/>
          <w:sz w:val="32"/>
          <w:szCs w:val="32"/>
        </w:rPr>
        <w:t>重要数据网站</w:t>
      </w:r>
    </w:p>
    <w:p w:rsidR="00000000" w:rsidRDefault="005F49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中证指数有限公司</w:t>
      </w:r>
    </w:p>
    <w:p w:rsidR="00000000" w:rsidRDefault="005F498B">
      <w:pPr>
        <w:pStyle w:val="a3"/>
        <w:spacing w:before="0" w:beforeAutospacing="0" w:after="0" w:afterAutospacing="0"/>
        <w:rPr>
          <w:rFonts w:ascii="微软雅黑" w:eastAsia="微软雅黑" w:hAnsi="微软雅黑" w:cs="Calibri" w:hint="eastAsia"/>
          <w:sz w:val="22"/>
          <w:szCs w:val="22"/>
        </w:rPr>
      </w:pPr>
      <w:hyperlink r:id="rId8" w:history="1">
        <w:r>
          <w:rPr>
            <w:rStyle w:val="a4"/>
            <w:rFonts w:ascii="微软雅黑" w:eastAsia="微软雅黑" w:hAnsi="微软雅黑" w:cs="Calibri" w:hint="eastAsia"/>
            <w:sz w:val="22"/>
            <w:szCs w:val="22"/>
          </w:rPr>
          <w:t>http://www.csindex.com.cn/</w:t>
        </w:r>
      </w:hyperlink>
    </w:p>
    <w:p w:rsidR="00000000" w:rsidRDefault="005F498B">
      <w:pPr>
        <w:pStyle w:val="1"/>
        <w:spacing w:before="0" w:beforeAutospacing="0" w:after="0" w:afterAutospacing="0"/>
        <w:rPr>
          <w:rFonts w:ascii="微软雅黑" w:eastAsia="微软雅黑" w:hAnsi="微软雅黑" w:cs="Calibri" w:hint="eastAsia"/>
          <w:color w:val="1E4E79"/>
          <w:sz w:val="32"/>
          <w:szCs w:val="32"/>
        </w:rPr>
      </w:pPr>
      <w:r>
        <w:rPr>
          <w:rFonts w:ascii="微软雅黑" w:eastAsia="微软雅黑" w:hAnsi="微软雅黑" w:cs="Calibri" w:hint="eastAsia"/>
          <w:color w:val="1E4E79"/>
          <w:sz w:val="32"/>
          <w:szCs w:val="32"/>
        </w:rPr>
        <w:t>混合基金按照股票仓位分类</w:t>
      </w:r>
    </w:p>
    <w:p w:rsidR="00000000" w:rsidRDefault="005F498B">
      <w:pPr>
        <w:pStyle w:val="a3"/>
        <w:spacing w:before="0" w:beforeAutospacing="0" w:after="0" w:afterAutospacing="0"/>
        <w:rPr>
          <w:rFonts w:ascii="Calibri" w:hAnsi="Calibri" w:cs="Calibri" w:hint="eastAsia"/>
          <w:sz w:val="22"/>
          <w:szCs w:val="22"/>
        </w:rPr>
      </w:pPr>
      <w:r>
        <w:rPr>
          <w:rFonts w:ascii="Calibri" w:hAnsi="Calibri" w:cs="Calibri"/>
          <w:sz w:val="22"/>
          <w:szCs w:val="22"/>
        </w:rPr>
        <w:t xml:space="preserve">0-30% </w:t>
      </w:r>
      <w:r>
        <w:rPr>
          <w:rFonts w:ascii="微软雅黑" w:eastAsia="微软雅黑" w:hAnsi="微软雅黑" w:cs="Calibri" w:hint="eastAsia"/>
          <w:sz w:val="22"/>
          <w:szCs w:val="22"/>
        </w:rPr>
        <w:t>偏债型混合基金</w:t>
      </w:r>
    </w:p>
    <w:p w:rsidR="00000000" w:rsidRDefault="005F498B">
      <w:pPr>
        <w:pStyle w:val="a3"/>
        <w:spacing w:before="0" w:beforeAutospacing="0" w:after="0" w:afterAutospacing="0"/>
        <w:rPr>
          <w:rFonts w:ascii="Calibri" w:hAnsi="Calibri" w:cs="Calibri"/>
          <w:sz w:val="22"/>
          <w:szCs w:val="22"/>
        </w:rPr>
      </w:pPr>
      <w:r>
        <w:rPr>
          <w:rFonts w:ascii="Calibri" w:hAnsi="Calibri" w:cs="Calibri"/>
          <w:sz w:val="22"/>
          <w:szCs w:val="22"/>
        </w:rPr>
        <w:t xml:space="preserve">60%-95% </w:t>
      </w:r>
      <w:r>
        <w:rPr>
          <w:rFonts w:ascii="微软雅黑" w:eastAsia="微软雅黑" w:hAnsi="微软雅黑" w:cs="Calibri" w:hint="eastAsia"/>
          <w:sz w:val="22"/>
          <w:szCs w:val="22"/>
        </w:rPr>
        <w:t>偏股型混合基金</w:t>
      </w:r>
    </w:p>
    <w:p w:rsidR="00000000" w:rsidRDefault="005F498B">
      <w:pPr>
        <w:pStyle w:val="a3"/>
        <w:spacing w:before="0" w:beforeAutospacing="0" w:after="0" w:afterAutospacing="0"/>
        <w:rPr>
          <w:rFonts w:ascii="Calibri" w:hAnsi="Calibri" w:cs="Calibri"/>
          <w:sz w:val="22"/>
          <w:szCs w:val="22"/>
        </w:rPr>
      </w:pPr>
      <w:r>
        <w:rPr>
          <w:rFonts w:ascii="Calibri" w:hAnsi="Calibri" w:cs="Calibri"/>
          <w:sz w:val="22"/>
          <w:szCs w:val="22"/>
        </w:rPr>
        <w:t xml:space="preserve">0-95% </w:t>
      </w:r>
      <w:r>
        <w:rPr>
          <w:rFonts w:ascii="微软雅黑" w:eastAsia="微软雅黑" w:hAnsi="微软雅黑" w:cs="Calibri" w:hint="eastAsia"/>
          <w:sz w:val="22"/>
          <w:szCs w:val="22"/>
        </w:rPr>
        <w:t>灵活配置型混合基金</w:t>
      </w:r>
    </w:p>
    <w:p w:rsidR="00000000" w:rsidRDefault="005F498B">
      <w:pPr>
        <w:pStyle w:val="1"/>
        <w:spacing w:before="0" w:beforeAutospacing="0" w:after="0" w:afterAutospacing="0"/>
        <w:rPr>
          <w:rFonts w:ascii="微软雅黑" w:eastAsia="微软雅黑" w:hAnsi="微软雅黑" w:cs="Calibri"/>
          <w:color w:val="1E4E79"/>
          <w:sz w:val="32"/>
          <w:szCs w:val="32"/>
        </w:rPr>
      </w:pPr>
      <w:r>
        <w:rPr>
          <w:rFonts w:ascii="微软雅黑" w:eastAsia="微软雅黑" w:hAnsi="微软雅黑" w:cs="Calibri" w:hint="eastAsia"/>
          <w:color w:val="1E4E79"/>
          <w:sz w:val="32"/>
          <w:szCs w:val="32"/>
        </w:rPr>
        <w:t>混合债券基金（普通债券基金）</w:t>
      </w:r>
    </w:p>
    <w:p w:rsidR="00000000" w:rsidRDefault="005F498B">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股票类资产</w:t>
      </w:r>
      <w:r>
        <w:rPr>
          <w:rFonts w:ascii="Calibri" w:hAnsi="Calibri" w:cs="Calibri"/>
          <w:sz w:val="22"/>
          <w:szCs w:val="22"/>
        </w:rPr>
        <w:t xml:space="preserve">&lt;10% </w:t>
      </w:r>
      <w:r>
        <w:rPr>
          <w:rFonts w:ascii="微软雅黑" w:eastAsia="微软雅黑" w:hAnsi="微软雅黑" w:cs="Calibri" w:hint="eastAsia"/>
          <w:sz w:val="22"/>
          <w:szCs w:val="22"/>
        </w:rPr>
        <w:t>一级债基</w:t>
      </w:r>
    </w:p>
    <w:p w:rsidR="00000000" w:rsidRDefault="005F498B">
      <w:pPr>
        <w:pStyle w:val="a3"/>
        <w:spacing w:before="0" w:beforeAutospacing="0" w:after="0" w:afterAutospacing="0"/>
        <w:rPr>
          <w:rFonts w:ascii="Calibri" w:hAnsi="Calibri" w:cs="Calibri"/>
          <w:sz w:val="22"/>
          <w:szCs w:val="22"/>
        </w:rPr>
      </w:pPr>
      <w:r>
        <w:rPr>
          <w:rFonts w:ascii="Calibri" w:hAnsi="Calibri" w:cs="Calibri"/>
          <w:sz w:val="22"/>
          <w:szCs w:val="22"/>
        </w:rPr>
        <w:t>10%&lt;=</w:t>
      </w:r>
      <w:r>
        <w:rPr>
          <w:rFonts w:ascii="微软雅黑" w:eastAsia="微软雅黑" w:hAnsi="微软雅黑" w:cs="Calibri" w:hint="eastAsia"/>
          <w:sz w:val="22"/>
          <w:szCs w:val="22"/>
        </w:rPr>
        <w:t>股票类资产</w:t>
      </w:r>
      <w:r>
        <w:rPr>
          <w:rFonts w:ascii="Calibri" w:hAnsi="Calibri" w:cs="Calibri"/>
          <w:sz w:val="22"/>
          <w:szCs w:val="22"/>
        </w:rPr>
        <w:t xml:space="preserve">&lt;20% </w:t>
      </w:r>
      <w:r>
        <w:rPr>
          <w:rFonts w:ascii="微软雅黑" w:eastAsia="微软雅黑" w:hAnsi="微软雅黑" w:cs="Calibri" w:hint="eastAsia"/>
          <w:sz w:val="22"/>
          <w:szCs w:val="22"/>
        </w:rPr>
        <w:t>二级债基</w:t>
      </w:r>
    </w:p>
    <w:p w:rsidR="00000000" w:rsidRDefault="005F498B">
      <w:pPr>
        <w:pStyle w:val="1"/>
        <w:spacing w:before="0" w:beforeAutospacing="0" w:after="0" w:afterAutospacing="0"/>
        <w:rPr>
          <w:rFonts w:ascii="Calibri" w:hAnsi="Calibri" w:cs="Calibri"/>
          <w:color w:val="1E4E79"/>
          <w:sz w:val="32"/>
          <w:szCs w:val="32"/>
        </w:rPr>
      </w:pPr>
      <w:r>
        <w:rPr>
          <w:rFonts w:ascii="Calibri" w:hAnsi="Calibri" w:cs="Calibri"/>
          <w:color w:val="1E4E79"/>
          <w:sz w:val="32"/>
          <w:szCs w:val="32"/>
        </w:rPr>
        <w:t>ETF</w:t>
      </w:r>
      <w:r>
        <w:rPr>
          <w:rFonts w:ascii="微软雅黑" w:eastAsia="微软雅黑" w:hAnsi="微软雅黑" w:cs="Calibri" w:hint="eastAsia"/>
          <w:color w:val="1E4E79"/>
          <w:sz w:val="32"/>
          <w:szCs w:val="32"/>
        </w:rPr>
        <w:t>基金列表</w:t>
      </w:r>
    </w:p>
    <w:p w:rsidR="00000000" w:rsidRDefault="005F498B">
      <w:pPr>
        <w:pStyle w:val="a3"/>
        <w:spacing w:before="0" w:beforeAutospacing="0" w:after="0" w:afterAutospacing="0"/>
        <w:rPr>
          <w:rFonts w:ascii="微软雅黑" w:eastAsia="微软雅黑" w:hAnsi="微软雅黑" w:cs="Calibri"/>
          <w:sz w:val="22"/>
          <w:szCs w:val="22"/>
        </w:rPr>
      </w:pPr>
      <w:hyperlink r:id="rId9" w:history="1">
        <w:r>
          <w:rPr>
            <w:rStyle w:val="a4"/>
            <w:rFonts w:ascii="微软雅黑" w:eastAsia="微软雅黑" w:hAnsi="微软雅黑" w:cs="Calibri" w:hint="eastAsia"/>
            <w:sz w:val="22"/>
            <w:szCs w:val="22"/>
          </w:rPr>
          <w:t>http://www.sse.com.cn/assortment/fund/etf/list/</w:t>
        </w:r>
      </w:hyperlink>
    </w:p>
    <w:p w:rsidR="00000000" w:rsidRDefault="005F498B">
      <w:pPr>
        <w:pStyle w:val="1"/>
        <w:spacing w:before="0" w:beforeAutospacing="0" w:after="0" w:afterAutospacing="0"/>
        <w:rPr>
          <w:rFonts w:ascii="微软雅黑" w:eastAsia="微软雅黑" w:hAnsi="微软雅黑" w:cs="Calibri" w:hint="eastAsia"/>
          <w:color w:val="1E4E79"/>
          <w:sz w:val="32"/>
          <w:szCs w:val="32"/>
        </w:rPr>
      </w:pPr>
      <w:r>
        <w:rPr>
          <w:rFonts w:ascii="微软雅黑" w:eastAsia="微软雅黑" w:hAnsi="微软雅黑" w:cs="Calibri" w:hint="eastAsia"/>
          <w:color w:val="1E4E79"/>
          <w:sz w:val="32"/>
          <w:szCs w:val="32"/>
        </w:rPr>
        <w:t>封闭式基金</w:t>
      </w:r>
    </w:p>
    <w:p w:rsidR="00000000" w:rsidRDefault="005F49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科创封闭基金</w:t>
      </w:r>
    </w:p>
    <w:p w:rsidR="00000000" w:rsidRDefault="005F498B">
      <w:pPr>
        <w:pStyle w:val="1"/>
        <w:spacing w:before="0" w:beforeAutospacing="0" w:after="0" w:afterAutospacing="0"/>
        <w:rPr>
          <w:rFonts w:ascii="Calibri" w:hAnsi="Calibri" w:cs="Calibri" w:hint="eastAsia"/>
          <w:color w:val="1E4E79"/>
          <w:sz w:val="32"/>
          <w:szCs w:val="32"/>
        </w:rPr>
      </w:pPr>
      <w:r>
        <w:rPr>
          <w:rFonts w:ascii="Calibri" w:hAnsi="Calibri" w:cs="Calibri"/>
          <w:color w:val="1E4E79"/>
          <w:sz w:val="32"/>
          <w:szCs w:val="32"/>
        </w:rPr>
        <w:t>ETF</w:t>
      </w:r>
      <w:r>
        <w:rPr>
          <w:rFonts w:ascii="微软雅黑" w:eastAsia="微软雅黑" w:hAnsi="微软雅黑" w:cs="Calibri" w:hint="eastAsia"/>
          <w:color w:val="1E4E79"/>
          <w:sz w:val="32"/>
          <w:szCs w:val="32"/>
        </w:rPr>
        <w:t>、</w:t>
      </w:r>
      <w:r>
        <w:rPr>
          <w:rFonts w:ascii="Calibri" w:hAnsi="Calibri" w:cs="Calibri"/>
          <w:color w:val="1E4E79"/>
          <w:sz w:val="32"/>
          <w:szCs w:val="32"/>
        </w:rPr>
        <w:t>LOF</w:t>
      </w:r>
      <w:r>
        <w:rPr>
          <w:rFonts w:ascii="微软雅黑" w:eastAsia="微软雅黑" w:hAnsi="微软雅黑" w:cs="Calibri" w:hint="eastAsia"/>
          <w:color w:val="1E4E79"/>
          <w:sz w:val="32"/>
          <w:szCs w:val="32"/>
        </w:rPr>
        <w:t>、</w:t>
      </w:r>
      <w:r>
        <w:rPr>
          <w:rFonts w:ascii="Calibri" w:hAnsi="Calibri" w:cs="Calibri"/>
          <w:color w:val="1E4E79"/>
          <w:sz w:val="32"/>
          <w:szCs w:val="32"/>
        </w:rPr>
        <w:t>FOF</w:t>
      </w:r>
    </w:p>
    <w:p w:rsidR="00000000" w:rsidRDefault="005F498B">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ETF</w:t>
      </w:r>
      <w:r>
        <w:rPr>
          <w:rFonts w:ascii="微软雅黑" w:eastAsia="微软雅黑" w:hAnsi="微软雅黑" w:cs="Calibri" w:hint="eastAsia"/>
          <w:sz w:val="22"/>
          <w:szCs w:val="22"/>
        </w:rPr>
        <w:t>跟踪某一个指数，又可以在证券交易所交易的开放式基金产品</w:t>
      </w:r>
    </w:p>
    <w:p w:rsidR="00000000" w:rsidRDefault="005F49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LOF</w:t>
      </w:r>
      <w:r>
        <w:rPr>
          <w:rFonts w:ascii="微软雅黑" w:eastAsia="微软雅黑" w:hAnsi="微软雅黑" w:cs="Calibri" w:hint="eastAsia"/>
          <w:sz w:val="22"/>
          <w:szCs w:val="22"/>
        </w:rPr>
        <w:t>可以在指定网点（基金公司，支付宝、银行）申购和赎回基金，也可以在交易所买卖这个基金</w:t>
      </w:r>
    </w:p>
    <w:p w:rsidR="00000000" w:rsidRDefault="005F49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FOF</w:t>
      </w:r>
      <w:r>
        <w:rPr>
          <w:rFonts w:ascii="微软雅黑" w:eastAsia="微软雅黑" w:hAnsi="微软雅黑" w:cs="Calibri" w:hint="eastAsia"/>
          <w:sz w:val="22"/>
          <w:szCs w:val="22"/>
        </w:rPr>
        <w:t>投资基金的基金</w:t>
      </w:r>
    </w:p>
    <w:p w:rsidR="00000000" w:rsidRDefault="005F498B">
      <w:pPr>
        <w:pStyle w:val="1"/>
        <w:spacing w:before="0" w:beforeAutospacing="0" w:after="0" w:afterAutospacing="0"/>
        <w:rPr>
          <w:rFonts w:ascii="微软雅黑" w:eastAsia="微软雅黑" w:hAnsi="微软雅黑" w:cs="Calibri" w:hint="eastAsia"/>
          <w:color w:val="1E4E79"/>
          <w:sz w:val="32"/>
          <w:szCs w:val="32"/>
        </w:rPr>
      </w:pPr>
      <w:r>
        <w:rPr>
          <w:rFonts w:ascii="微软雅黑" w:eastAsia="微软雅黑" w:hAnsi="微软雅黑" w:cs="Calibri" w:hint="eastAsia"/>
          <w:color w:val="1E4E79"/>
          <w:sz w:val="32"/>
          <w:szCs w:val="32"/>
        </w:rPr>
        <w:t>产品</w:t>
      </w:r>
    </w:p>
    <w:p w:rsidR="00000000" w:rsidRDefault="005F49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嘉实新兴产业股票</w:t>
      </w:r>
    </w:p>
    <w:p w:rsidR="00000000" w:rsidRDefault="005F49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广发双擎升级混合</w:t>
      </w:r>
      <w:r>
        <w:rPr>
          <w:rFonts w:ascii="微软雅黑" w:eastAsia="微软雅黑" w:hAnsi="微软雅黑" w:cs="Calibri" w:hint="eastAsia"/>
          <w:sz w:val="22"/>
          <w:szCs w:val="22"/>
        </w:rPr>
        <w:t>A</w:t>
      </w:r>
    </w:p>
    <w:p w:rsidR="00000000" w:rsidRDefault="005F49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b/>
          <w:bCs/>
          <w:sz w:val="22"/>
          <w:szCs w:val="22"/>
        </w:rPr>
        <w:t>鹏华丰禄</w:t>
      </w:r>
      <w:r>
        <w:rPr>
          <w:rFonts w:ascii="微软雅黑" w:eastAsia="微软雅黑" w:hAnsi="微软雅黑" w:cs="Calibri" w:hint="eastAsia"/>
          <w:sz w:val="22"/>
          <w:szCs w:val="22"/>
        </w:rPr>
        <w:t>、产业债；富国泰利、强回报；南方弘利（纯债基金，长债基金）</w:t>
      </w:r>
    </w:p>
    <w:p w:rsidR="00000000" w:rsidRDefault="005F49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平安中短债；创金合信鑫日享短债；嘉实中短债；招商鑫悦（短债基金）</w:t>
      </w:r>
    </w:p>
    <w:p w:rsidR="00000000" w:rsidRDefault="005F498B">
      <w:pPr>
        <w:pStyle w:val="1"/>
        <w:spacing w:before="0" w:beforeAutospacing="0" w:after="0" w:afterAutospacing="0"/>
        <w:rPr>
          <w:rFonts w:ascii="微软雅黑" w:eastAsia="微软雅黑" w:hAnsi="微软雅黑" w:cs="Calibri" w:hint="eastAsia"/>
          <w:color w:val="1E4E79"/>
          <w:sz w:val="32"/>
          <w:szCs w:val="32"/>
        </w:rPr>
      </w:pPr>
      <w:r>
        <w:rPr>
          <w:rFonts w:ascii="微软雅黑" w:eastAsia="微软雅黑" w:hAnsi="微软雅黑" w:cs="Calibri" w:hint="eastAsia"/>
          <w:color w:val="1E4E79"/>
          <w:sz w:val="32"/>
          <w:szCs w:val="32"/>
        </w:rPr>
        <w:t>基础概念</w:t>
      </w:r>
    </w:p>
    <w:p w:rsidR="00000000" w:rsidRDefault="005F498B">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基金单位净值</w:t>
      </w:r>
      <w:r>
        <w:rPr>
          <w:rFonts w:ascii="Calibri" w:hAnsi="Calibri" w:cs="Calibri"/>
          <w:sz w:val="22"/>
          <w:szCs w:val="22"/>
        </w:rPr>
        <w:t>=</w:t>
      </w:r>
      <w:r>
        <w:rPr>
          <w:rFonts w:ascii="微软雅黑" w:eastAsia="微软雅黑" w:hAnsi="微软雅黑" w:cs="Calibri" w:hint="eastAsia"/>
          <w:sz w:val="22"/>
          <w:szCs w:val="22"/>
        </w:rPr>
        <w:t>总净资产</w:t>
      </w:r>
      <w:r>
        <w:rPr>
          <w:rFonts w:ascii="Calibri" w:hAnsi="Calibri" w:cs="Calibri"/>
          <w:sz w:val="22"/>
          <w:szCs w:val="22"/>
        </w:rPr>
        <w:t>/</w:t>
      </w:r>
      <w:r>
        <w:rPr>
          <w:rFonts w:ascii="微软雅黑" w:eastAsia="微软雅黑" w:hAnsi="微软雅黑" w:cs="Calibri" w:hint="eastAsia"/>
          <w:sz w:val="22"/>
          <w:szCs w:val="22"/>
        </w:rPr>
        <w:t>基金份额</w:t>
      </w:r>
    </w:p>
    <w:p w:rsidR="00000000" w:rsidRDefault="005F498B">
      <w:pPr>
        <w:pStyle w:val="1"/>
        <w:spacing w:before="0" w:beforeAutospacing="0" w:after="0" w:afterAutospacing="0"/>
        <w:rPr>
          <w:rFonts w:ascii="微软雅黑" w:eastAsia="微软雅黑" w:hAnsi="微软雅黑" w:cs="Calibri"/>
          <w:color w:val="1E4E79"/>
          <w:sz w:val="32"/>
          <w:szCs w:val="32"/>
        </w:rPr>
      </w:pPr>
      <w:r>
        <w:rPr>
          <w:rFonts w:ascii="微软雅黑" w:eastAsia="微软雅黑" w:hAnsi="微软雅黑" w:cs="Calibri" w:hint="eastAsia"/>
          <w:color w:val="1E4E79"/>
          <w:sz w:val="32"/>
          <w:szCs w:val="32"/>
        </w:rPr>
        <w:t>基金止盈</w:t>
      </w:r>
    </w:p>
    <w:p w:rsidR="00000000" w:rsidRDefault="005F49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纯债基金——债券基金的主要收益就是吃的时间成本，时间越长收益积累越多</w:t>
      </w:r>
    </w:p>
    <w:p w:rsidR="00000000" w:rsidRDefault="005F49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二级债或主动权益类产品——首先要看下你买的产品它是什么风格的，大部分主动权益类的产品整个仓位调整和股票调仓都是基金经理需要考虑的事情，只是有的产品风格适合震荡行情，有的适合牛市，有的适合下跌行情，所以止盈不需要太频繁，选他就要信任他</w:t>
      </w:r>
    </w:p>
    <w:p w:rsidR="00000000" w:rsidRDefault="005F498B">
      <w:pPr>
        <w:pStyle w:val="1"/>
        <w:spacing w:before="0" w:beforeAutospacing="0" w:after="0" w:afterAutospacing="0"/>
        <w:rPr>
          <w:rFonts w:ascii="微软雅黑" w:eastAsia="微软雅黑" w:hAnsi="微软雅黑" w:cs="Calibri" w:hint="eastAsia"/>
          <w:color w:val="1E4E79"/>
          <w:sz w:val="32"/>
          <w:szCs w:val="32"/>
        </w:rPr>
      </w:pPr>
      <w:r>
        <w:rPr>
          <w:rFonts w:ascii="微软雅黑" w:eastAsia="微软雅黑" w:hAnsi="微软雅黑" w:cs="Calibri" w:hint="eastAsia"/>
          <w:color w:val="1E4E79"/>
          <w:sz w:val="32"/>
          <w:szCs w:val="32"/>
        </w:rPr>
        <w:t>工具网站</w:t>
      </w:r>
    </w:p>
    <w:p w:rsidR="00000000" w:rsidRDefault="005F498B">
      <w:pPr>
        <w:pStyle w:val="a3"/>
        <w:spacing w:before="0" w:beforeAutospacing="0" w:after="0" w:afterAutospacing="0"/>
        <w:rPr>
          <w:rFonts w:ascii="Calibri" w:hAnsi="Calibri" w:cs="Calibri" w:hint="eastAsia"/>
          <w:sz w:val="22"/>
          <w:szCs w:val="22"/>
        </w:rPr>
      </w:pPr>
      <w:hyperlink r:id="rId10" w:history="1">
        <w:r>
          <w:rPr>
            <w:rStyle w:val="a4"/>
            <w:rFonts w:ascii="Calibri" w:hAnsi="Calibri" w:cs="Calibri"/>
            <w:sz w:val="22"/>
            <w:szCs w:val="22"/>
          </w:rPr>
          <w:t>Choice</w:t>
        </w:r>
        <w:r>
          <w:rPr>
            <w:rStyle w:val="a4"/>
            <w:rFonts w:ascii="微软雅黑" w:eastAsia="微软雅黑" w:hAnsi="微软雅黑" w:cs="Calibri" w:hint="eastAsia"/>
            <w:sz w:val="22"/>
            <w:szCs w:val="22"/>
          </w:rPr>
          <w:t>数据</w:t>
        </w:r>
      </w:hyperlink>
    </w:p>
    <w:p w:rsidR="00000000" w:rsidRDefault="005F498B">
      <w:pPr>
        <w:pStyle w:val="a3"/>
        <w:spacing w:before="0" w:beforeAutospacing="0" w:after="0" w:afterAutospacing="0"/>
        <w:rPr>
          <w:rFonts w:ascii="微软雅黑" w:eastAsia="微软雅黑" w:hAnsi="微软雅黑" w:cs="Calibri"/>
          <w:sz w:val="22"/>
          <w:szCs w:val="22"/>
        </w:rPr>
      </w:pPr>
      <w:hyperlink r:id="rId11" w:history="1">
        <w:r>
          <w:rPr>
            <w:rStyle w:val="a4"/>
            <w:rFonts w:ascii="微软雅黑" w:eastAsia="微软雅黑" w:hAnsi="微软雅黑" w:cs="Calibri" w:hint="eastAsia"/>
            <w:sz w:val="22"/>
            <w:szCs w:val="22"/>
          </w:rPr>
          <w:t>晨星网</w:t>
        </w:r>
      </w:hyperlink>
    </w:p>
    <w:p w:rsidR="00000000" w:rsidRDefault="005F498B">
      <w:pPr>
        <w:pStyle w:val="a3"/>
        <w:spacing w:before="0" w:beforeAutospacing="0" w:after="0" w:afterAutospacing="0"/>
        <w:rPr>
          <w:rFonts w:ascii="微软雅黑" w:eastAsia="微软雅黑" w:hAnsi="微软雅黑" w:cs="Calibri" w:hint="eastAsia"/>
          <w:sz w:val="22"/>
          <w:szCs w:val="22"/>
        </w:rPr>
      </w:pPr>
      <w:hyperlink r:id="rId12" w:history="1">
        <w:r>
          <w:rPr>
            <w:rStyle w:val="a4"/>
            <w:rFonts w:ascii="微软雅黑" w:eastAsia="微软雅黑" w:hAnsi="微软雅黑" w:cs="Calibri" w:hint="eastAsia"/>
            <w:sz w:val="22"/>
            <w:szCs w:val="22"/>
          </w:rPr>
          <w:t>天天基金网</w:t>
        </w:r>
      </w:hyperlink>
    </w:p>
    <w:p w:rsidR="00000000" w:rsidRDefault="005F49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万得咨询</w:t>
      </w:r>
      <w:r>
        <w:rPr>
          <w:rFonts w:ascii="微软雅黑" w:eastAsia="微软雅黑" w:hAnsi="微软雅黑" w:cs="Calibri" w:hint="eastAsia"/>
          <w:sz w:val="22"/>
          <w:szCs w:val="22"/>
        </w:rPr>
        <w:t>F9</w:t>
      </w:r>
      <w:r>
        <w:rPr>
          <w:rFonts w:ascii="微软雅黑" w:eastAsia="微软雅黑" w:hAnsi="微软雅黑" w:cs="Calibri" w:hint="eastAsia"/>
          <w:sz w:val="22"/>
          <w:szCs w:val="22"/>
        </w:rPr>
        <w:t>（查询基金经理的情况）</w:t>
      </w:r>
    </w:p>
    <w:p w:rsidR="00000000" w:rsidRDefault="005F498B">
      <w:pPr>
        <w:pStyle w:val="1"/>
        <w:spacing w:before="0" w:beforeAutospacing="0" w:after="0" w:afterAutospacing="0"/>
        <w:rPr>
          <w:rFonts w:ascii="微软雅黑" w:eastAsia="微软雅黑" w:hAnsi="微软雅黑" w:cs="Calibri" w:hint="eastAsia"/>
          <w:color w:val="1E4E79"/>
          <w:sz w:val="32"/>
          <w:szCs w:val="32"/>
        </w:rPr>
      </w:pPr>
      <w:r>
        <w:rPr>
          <w:rFonts w:ascii="微软雅黑" w:eastAsia="微软雅黑" w:hAnsi="微软雅黑" w:cs="Calibri" w:hint="eastAsia"/>
          <w:color w:val="1E4E79"/>
          <w:sz w:val="32"/>
          <w:szCs w:val="32"/>
        </w:rPr>
        <w:t>十年期国债收益率历史数据</w:t>
      </w:r>
    </w:p>
    <w:p w:rsidR="00000000" w:rsidRDefault="005F498B">
      <w:pPr>
        <w:pStyle w:val="a3"/>
        <w:spacing w:before="0" w:beforeAutospacing="0" w:after="0" w:afterAutospacing="0"/>
        <w:rPr>
          <w:rFonts w:ascii="微软雅黑" w:eastAsia="微软雅黑" w:hAnsi="微软雅黑" w:cs="Calibri" w:hint="eastAsia"/>
          <w:sz w:val="22"/>
          <w:szCs w:val="22"/>
        </w:rPr>
      </w:pPr>
      <w:hyperlink r:id="rId13" w:history="1">
        <w:r>
          <w:rPr>
            <w:rStyle w:val="a4"/>
            <w:rFonts w:ascii="微软雅黑" w:eastAsia="微软雅黑" w:hAnsi="微软雅黑" w:cs="Calibri" w:hint="eastAsia"/>
            <w:sz w:val="22"/>
            <w:szCs w:val="22"/>
          </w:rPr>
          <w:t>https://cn.investing.com/rates-bonds/china-10-year-bond-yield-</w:t>
        </w:r>
        <w:r>
          <w:rPr>
            <w:rStyle w:val="a4"/>
            <w:rFonts w:ascii="微软雅黑" w:eastAsia="微软雅黑" w:hAnsi="微软雅黑" w:cs="Calibri" w:hint="eastAsia"/>
            <w:sz w:val="22"/>
            <w:szCs w:val="22"/>
          </w:rPr>
          <w:t>historical-data</w:t>
        </w:r>
      </w:hyperlink>
    </w:p>
    <w:p w:rsidR="00000000" w:rsidRDefault="005F498B">
      <w:pPr>
        <w:pStyle w:val="1"/>
        <w:spacing w:before="0" w:beforeAutospacing="0" w:after="0" w:afterAutospacing="0"/>
        <w:rPr>
          <w:rFonts w:ascii="微软雅黑" w:eastAsia="微软雅黑" w:hAnsi="微软雅黑" w:cs="Calibri" w:hint="eastAsia"/>
          <w:color w:val="1E4E79"/>
          <w:sz w:val="32"/>
          <w:szCs w:val="32"/>
        </w:rPr>
      </w:pPr>
      <w:r>
        <w:rPr>
          <w:rFonts w:ascii="微软雅黑" w:eastAsia="微软雅黑" w:hAnsi="微软雅黑" w:cs="Calibri" w:hint="eastAsia"/>
          <w:color w:val="1E4E79"/>
          <w:sz w:val="32"/>
          <w:szCs w:val="32"/>
        </w:rPr>
        <w:t>基金经理</w:t>
      </w:r>
    </w:p>
    <w:p w:rsidR="00000000" w:rsidRDefault="005F49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张坤（易方达）</w:t>
      </w:r>
    </w:p>
    <w:p w:rsidR="00000000" w:rsidRDefault="005F49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交行施罗德三剑客</w:t>
      </w:r>
    </w:p>
    <w:p w:rsidR="00000000" w:rsidRDefault="005F498B">
      <w:pPr>
        <w:pStyle w:val="1"/>
        <w:spacing w:before="0" w:beforeAutospacing="0" w:after="0" w:afterAutospacing="0"/>
        <w:rPr>
          <w:rFonts w:ascii="微软雅黑" w:eastAsia="微软雅黑" w:hAnsi="微软雅黑" w:cs="Calibri" w:hint="eastAsia"/>
          <w:color w:val="1E4E79"/>
          <w:sz w:val="32"/>
          <w:szCs w:val="32"/>
        </w:rPr>
      </w:pPr>
      <w:r>
        <w:rPr>
          <w:rFonts w:ascii="微软雅黑" w:eastAsia="微软雅黑" w:hAnsi="微软雅黑" w:cs="Calibri" w:hint="eastAsia"/>
          <w:color w:val="1E4E79"/>
          <w:sz w:val="32"/>
          <w:szCs w:val="32"/>
        </w:rPr>
        <w:t>选择基金经理的标准</w:t>
      </w:r>
    </w:p>
    <w:p w:rsidR="00000000" w:rsidRDefault="005F49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穿越牛熊、稳定性、一致性</w:t>
      </w:r>
    </w:p>
    <w:p w:rsidR="00000000" w:rsidRDefault="005F498B">
      <w:pPr>
        <w:pStyle w:val="1"/>
        <w:spacing w:before="0" w:beforeAutospacing="0" w:after="0" w:afterAutospacing="0"/>
        <w:rPr>
          <w:rFonts w:ascii="微软雅黑" w:eastAsia="微软雅黑" w:hAnsi="微软雅黑" w:cs="Calibri" w:hint="eastAsia"/>
          <w:color w:val="1E4E79"/>
          <w:sz w:val="32"/>
          <w:szCs w:val="32"/>
        </w:rPr>
      </w:pPr>
      <w:r>
        <w:rPr>
          <w:rFonts w:ascii="微软雅黑" w:eastAsia="微软雅黑" w:hAnsi="微软雅黑" w:cs="Calibri" w:hint="eastAsia"/>
          <w:color w:val="1E4E79"/>
          <w:sz w:val="32"/>
          <w:szCs w:val="32"/>
        </w:rPr>
        <w:t>投资框架</w:t>
      </w:r>
    </w:p>
    <w:p w:rsidR="00000000" w:rsidRDefault="005F49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宏观——行业——公司</w:t>
      </w:r>
    </w:p>
    <w:p w:rsidR="00000000" w:rsidRDefault="005F498B">
      <w:pPr>
        <w:pStyle w:val="3"/>
        <w:spacing w:before="0" w:beforeAutospacing="0" w:after="0" w:afterAutospacing="0"/>
        <w:rPr>
          <w:rFonts w:ascii="微软雅黑" w:eastAsia="微软雅黑" w:hAnsi="微软雅黑" w:cs="Calibri" w:hint="eastAsia"/>
          <w:color w:val="5B9BD5"/>
          <w:sz w:val="24"/>
          <w:szCs w:val="24"/>
        </w:rPr>
      </w:pPr>
      <w:r>
        <w:rPr>
          <w:rFonts w:ascii="微软雅黑" w:eastAsia="微软雅黑" w:hAnsi="微软雅黑" w:cs="Calibri" w:hint="eastAsia"/>
          <w:color w:val="5B9BD5"/>
          <w:sz w:val="24"/>
          <w:szCs w:val="24"/>
        </w:rPr>
        <w:t>要素</w:t>
      </w:r>
    </w:p>
    <w:p w:rsidR="00000000" w:rsidRDefault="005F498B">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管理层分析、财务报表、健康状况、大股东是否减持回购</w:t>
      </w:r>
    </w:p>
    <w:p w:rsidR="00000000" w:rsidRDefault="005F498B">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5F498B">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F498B">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基金经理</w:t>
      </w:r>
    </w:p>
    <w:p w:rsidR="00000000" w:rsidRDefault="005F498B">
      <w:pPr>
        <w:pStyle w:val="a3"/>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2020</w:t>
      </w:r>
      <w:r>
        <w:rPr>
          <w:rFonts w:ascii="微软雅黑" w:eastAsia="微软雅黑" w:hAnsi="微软雅黑" w:cs="Calibri" w:hint="eastAsia"/>
          <w:color w:val="767676"/>
          <w:sz w:val="20"/>
          <w:szCs w:val="20"/>
        </w:rPr>
        <w:t>年</w:t>
      </w:r>
      <w:r>
        <w:rPr>
          <w:rFonts w:ascii="Calibri" w:hAnsi="Calibri" w:cs="Calibri"/>
          <w:color w:val="767676"/>
          <w:sz w:val="20"/>
          <w:szCs w:val="20"/>
        </w:rPr>
        <w:t>10</w:t>
      </w:r>
      <w:r>
        <w:rPr>
          <w:rFonts w:ascii="微软雅黑" w:eastAsia="微软雅黑" w:hAnsi="微软雅黑" w:cs="Calibri" w:hint="eastAsia"/>
          <w:color w:val="767676"/>
          <w:sz w:val="20"/>
          <w:szCs w:val="20"/>
        </w:rPr>
        <w:t>月</w:t>
      </w:r>
      <w:r>
        <w:rPr>
          <w:rFonts w:ascii="Calibri" w:hAnsi="Calibri" w:cs="Calibri"/>
          <w:color w:val="767676"/>
          <w:sz w:val="20"/>
          <w:szCs w:val="20"/>
        </w:rPr>
        <w:t>26</w:t>
      </w:r>
      <w:r>
        <w:rPr>
          <w:rFonts w:ascii="微软雅黑" w:eastAsia="微软雅黑" w:hAnsi="微软雅黑" w:cs="Calibri" w:hint="eastAsia"/>
          <w:color w:val="767676"/>
          <w:sz w:val="20"/>
          <w:szCs w:val="20"/>
        </w:rPr>
        <w:t>日</w:t>
      </w:r>
    </w:p>
    <w:p w:rsidR="00000000" w:rsidRDefault="005F498B">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7:46</w:t>
      </w:r>
    </w:p>
    <w:p w:rsidR="00000000" w:rsidRDefault="005F498B">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F498B">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朱少醒</w:t>
      </w:r>
    </w:p>
    <w:p w:rsidR="00000000" w:rsidRDefault="005F498B">
      <w:pPr>
        <w:pStyle w:val="a3"/>
        <w:spacing w:before="0" w:beforeAutospacing="0" w:after="0" w:afterAutospacing="0"/>
        <w:rPr>
          <w:rFonts w:ascii="微软雅黑" w:eastAsia="微软雅黑" w:hAnsi="微软雅黑" w:cs="Calibri" w:hint="eastAsia"/>
          <w:sz w:val="22"/>
          <w:szCs w:val="22"/>
        </w:rPr>
      </w:pPr>
      <w:hyperlink r:id="rId14" w:history="1">
        <w:r>
          <w:rPr>
            <w:rStyle w:val="a4"/>
            <w:rFonts w:ascii="微软雅黑" w:eastAsia="微软雅黑" w:hAnsi="微软雅黑" w:cs="Calibri" w:hint="eastAsia"/>
            <w:sz w:val="22"/>
            <w:szCs w:val="22"/>
          </w:rPr>
          <w:t>http://fund.eastmoney.com/manager/30040544.html</w:t>
        </w:r>
      </w:hyperlink>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98B" w:rsidRDefault="005F498B" w:rsidP="005F498B">
      <w:r>
        <w:separator/>
      </w:r>
    </w:p>
  </w:endnote>
  <w:endnote w:type="continuationSeparator" w:id="0">
    <w:p w:rsidR="005F498B" w:rsidRDefault="005F498B" w:rsidP="005F4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Light">
    <w:altName w:val="Microsoft YaHei Light"/>
    <w:charset w:val="86"/>
    <w:family w:val="swiss"/>
    <w:pitch w:val="variable"/>
    <w:sig w:usb0="80000287" w:usb1="2ACF0010" w:usb2="00000016" w:usb3="00000000" w:csb0="0004001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98B" w:rsidRDefault="005F498B" w:rsidP="005F498B">
      <w:r>
        <w:separator/>
      </w:r>
    </w:p>
  </w:footnote>
  <w:footnote w:type="continuationSeparator" w:id="0">
    <w:p w:rsidR="005F498B" w:rsidRDefault="005F498B" w:rsidP="005F49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052AC"/>
    <w:multiLevelType w:val="multilevel"/>
    <w:tmpl w:val="92067C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num>
  <w:num w:numId="3">
    <w:abstractNumId w:val="0"/>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F498B"/>
    <w:rsid w:val="005F4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7EB4F15C-949E-4D03-85CA-71BAD079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30">
    <w:name w:val="标题 3 字符"/>
    <w:basedOn w:val="a0"/>
    <w:link w:val="3"/>
    <w:uiPriority w:val="9"/>
    <w:semiHidden/>
    <w:rPr>
      <w:rFonts w:ascii="宋体" w:eastAsia="宋体" w:hAnsi="宋体" w:cs="宋体"/>
      <w:b/>
      <w:bCs/>
      <w:sz w:val="32"/>
      <w:szCs w:val="32"/>
    </w:rPr>
  </w:style>
  <w:style w:type="paragraph" w:styleId="a6">
    <w:name w:val="header"/>
    <w:basedOn w:val="a"/>
    <w:link w:val="a7"/>
    <w:uiPriority w:val="99"/>
    <w:unhideWhenUsed/>
    <w:rsid w:val="005F498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F498B"/>
    <w:rPr>
      <w:rFonts w:ascii="宋体" w:eastAsia="宋体" w:hAnsi="宋体" w:cs="宋体"/>
      <w:sz w:val="18"/>
      <w:szCs w:val="18"/>
    </w:rPr>
  </w:style>
  <w:style w:type="paragraph" w:styleId="a8">
    <w:name w:val="footer"/>
    <w:basedOn w:val="a"/>
    <w:link w:val="a9"/>
    <w:uiPriority w:val="99"/>
    <w:unhideWhenUsed/>
    <w:rsid w:val="005F498B"/>
    <w:pPr>
      <w:tabs>
        <w:tab w:val="center" w:pos="4153"/>
        <w:tab w:val="right" w:pos="8306"/>
      </w:tabs>
      <w:snapToGrid w:val="0"/>
    </w:pPr>
    <w:rPr>
      <w:sz w:val="18"/>
      <w:szCs w:val="18"/>
    </w:rPr>
  </w:style>
  <w:style w:type="character" w:customStyle="1" w:styleId="a9">
    <w:name w:val="页脚 字符"/>
    <w:basedOn w:val="a0"/>
    <w:link w:val="a8"/>
    <w:uiPriority w:val="99"/>
    <w:rsid w:val="005F498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index.com.cn/" TargetMode="External"/><Relationship Id="rId13" Type="http://schemas.openxmlformats.org/officeDocument/2006/relationships/hyperlink" Target="https://cn.investing.com/rates-bonds/china-10-year-bond-yield-historical-data" TargetMode="External"/><Relationship Id="rId3" Type="http://schemas.openxmlformats.org/officeDocument/2006/relationships/settings" Target="settings.xml"/><Relationship Id="rId7" Type="http://schemas.openxmlformats.org/officeDocument/2006/relationships/hyperlink" Target="https://tzz.sac.net.cn/rsbd/tzxz/201512/t20151209_126716.html" TargetMode="External"/><Relationship Id="rId12" Type="http://schemas.openxmlformats.org/officeDocument/2006/relationships/hyperlink" Target="https://fund.eastmoney.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n.morningstar.com/main/default.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hoice.eastmoney.com/" TargetMode="External"/><Relationship Id="rId4" Type="http://schemas.openxmlformats.org/officeDocument/2006/relationships/webSettings" Target="webSettings.xml"/><Relationship Id="rId9" Type="http://schemas.openxmlformats.org/officeDocument/2006/relationships/hyperlink" Target="http://www.sse.com.cn/assortment/fund/etf/list/" TargetMode="External"/><Relationship Id="rId14" Type="http://schemas.openxmlformats.org/officeDocument/2006/relationships/hyperlink" Target="http://fund.eastmoney.com/manager/3004054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1159</Words>
  <Characters>6611</Characters>
  <Application>Microsoft Office Word</Application>
  <DocSecurity>0</DocSecurity>
  <Lines>55</Lines>
  <Paragraphs>15</Paragraphs>
  <ScaleCrop>false</ScaleCrop>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宋健</dc:creator>
  <cp:keywords/>
  <dc:description/>
  <cp:lastModifiedBy>宋健</cp:lastModifiedBy>
  <cp:revision>2</cp:revision>
  <dcterms:created xsi:type="dcterms:W3CDTF">2021-03-26T14:34:00Z</dcterms:created>
  <dcterms:modified xsi:type="dcterms:W3CDTF">2021-03-26T14:34:00Z</dcterms:modified>
</cp:coreProperties>
</file>